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C5E0DB" w14:textId="77777777" w:rsidR="006E5D69" w:rsidRDefault="006E5D69" w:rsidP="006E5D69">
      <w:pPr>
        <w:pStyle w:val="Heading3"/>
        <w:spacing w:before="0" w:after="160" w:line="360" w:lineRule="auto"/>
        <w:rPr>
          <w:rFonts w:ascii="Times New Roman" w:hAnsi="Times New Roman" w:cs="Times New Roman"/>
          <w:i/>
          <w:color w:val="auto"/>
        </w:rPr>
      </w:pPr>
      <w:bookmarkStart w:id="0" w:name="_Toc522987705"/>
      <w:r>
        <w:rPr>
          <w:rFonts w:ascii="Times New Roman" w:hAnsi="Times New Roman" w:cs="Times New Roman"/>
          <w:i/>
          <w:color w:val="auto"/>
        </w:rPr>
        <w:t>2.2 Statistical analysis</w:t>
      </w:r>
      <w:bookmarkEnd w:id="0"/>
    </w:p>
    <w:p w14:paraId="0D501478" w14:textId="77777777" w:rsidR="006E5D69" w:rsidRPr="00AC4380" w:rsidRDefault="006E5D69" w:rsidP="006E5D69">
      <w:pPr>
        <w:spacing w:after="0" w:line="360" w:lineRule="auto"/>
        <w:jc w:val="both"/>
        <w:rPr>
          <w:rFonts w:ascii="Times New Roman" w:hAnsi="Times New Roman" w:cs="Times New Roman"/>
          <w:b/>
          <w:color w:val="000000"/>
          <w:sz w:val="24"/>
          <w:szCs w:val="24"/>
          <w:lang w:val="en-US"/>
        </w:rPr>
      </w:pPr>
      <w:r>
        <w:rPr>
          <w:rFonts w:ascii="Times New Roman" w:hAnsi="Times New Roman" w:cs="Times New Roman"/>
          <w:sz w:val="24"/>
          <w:szCs w:val="24"/>
          <w:lang w:val="en-US"/>
        </w:rPr>
        <w:t>Preliminary analyses were carried out to investigate the potential presence of spatial autocorrelation and serial correlation of the data using the Global Moran Index [24]</w:t>
      </w:r>
      <w:r>
        <w:fldChar w:fldCharType="begin"/>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[24]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and the Autocorrelation Function (</w:t>
      </w:r>
      <w:bookmarkStart w:id="1" w:name="__Fieldmark__1410_29314344811"/>
      <w:bookmarkStart w:id="2" w:name="__Fieldmark__1507_33306403441"/>
      <w:bookmarkStart w:id="3" w:name="__Fieldmark__5966_33306403441"/>
      <w:bookmarkStart w:id="4" w:name="__Fieldmark__4619_33882323691"/>
      <w:r>
        <w:rPr>
          <w:rFonts w:ascii="Times New Roman" w:hAnsi="Times New Roman" w:cs="Times New Roman"/>
          <w:sz w:val="24"/>
          <w:szCs w:val="24"/>
          <w:lang w:val="en-US"/>
        </w:rPr>
        <w:t>A</w:t>
      </w:r>
      <w:bookmarkStart w:id="5" w:name="__Fieldmark__1216_36080362701"/>
      <w:r>
        <w:rPr>
          <w:rFonts w:ascii="Times New Roman" w:hAnsi="Times New Roman" w:cs="Times New Roman"/>
          <w:sz w:val="24"/>
          <w:szCs w:val="24"/>
          <w:lang w:val="en-US"/>
        </w:rPr>
        <w:t>C</w:t>
      </w:r>
      <w:bookmarkEnd w:id="1"/>
      <w:bookmarkEnd w:id="2"/>
      <w:bookmarkEnd w:id="3"/>
      <w:bookmarkEnd w:id="4"/>
      <w:bookmarkEnd w:id="5"/>
      <w:r>
        <w:rPr>
          <w:rFonts w:ascii="Times New Roman" w:hAnsi="Times New Roman" w:cs="Times New Roman"/>
          <w:sz w:val="24"/>
          <w:szCs w:val="24"/>
          <w:lang w:val="en-US"/>
        </w:rPr>
        <w:t xml:space="preserve">F). Furthermore, a Bayesian </w:t>
      </w:r>
      <w:proofErr w:type="spellStart"/>
      <w:r>
        <w:rPr>
          <w:rFonts w:ascii="Times New Roman" w:hAnsi="Times New Roman" w:cs="Times New Roman"/>
          <w:sz w:val="24"/>
          <w:szCs w:val="24"/>
          <w:lang w:val="en-US"/>
        </w:rPr>
        <w:t>spatio</w:t>
      </w:r>
      <w:proofErr w:type="spellEnd"/>
      <w:r>
        <w:rPr>
          <w:rFonts w:ascii="Times New Roman" w:hAnsi="Times New Roman" w:cs="Times New Roman"/>
          <w:sz w:val="24"/>
          <w:szCs w:val="24"/>
          <w:lang w:val="en-US"/>
        </w:rPr>
        <w:t xml:space="preserve">-temporal model was used to model the potential spatial and temporal child mortality risk. Assuming the child mortality risk, </w:t>
      </w:r>
      <m:oMath>
        <m:sSub>
          <m:sSubPr>
            <m:ctrlPr>
              <w:rPr>
                <w:rFonts w:ascii="Cambria Math" w:hAnsi="Cambria Math"/>
              </w:rPr>
            </m:ctrlPr>
          </m:sSubPr>
          <m:e>
            <m:r>
              <w:rPr>
                <w:rFonts w:ascii="Cambria Math" w:hAnsi="Cambria Math"/>
              </w:rPr>
              <m:t>y</m:t>
            </m:r>
          </m:e>
          <m:sub>
            <m:r>
              <w:rPr>
                <w:rFonts w:ascii="Cambria Math" w:hAnsi="Cambria Math"/>
              </w:rPr>
              <m:t>it</m:t>
            </m:r>
          </m:sub>
        </m:sSub>
      </m:oMath>
      <w:r>
        <w:rPr>
          <w:rFonts w:ascii="Times New Roman" w:hAnsi="Times New Roman" w:cs="Times New Roman"/>
          <w:sz w:val="24"/>
          <w:szCs w:val="24"/>
          <w:lang w:val="en-US"/>
        </w:rPr>
        <w:t xml:space="preserve"> in the municipality </w:t>
      </w:r>
      <m:oMath>
        <m:r>
          <w:rPr>
            <w:rFonts w:ascii="Cambria Math" w:hAnsi="Cambria Math"/>
          </w:rPr>
          <m:t>i</m:t>
        </m:r>
      </m:oMath>
      <w:r>
        <w:rPr>
          <w:rFonts w:ascii="Times New Roman" w:hAnsi="Times New Roman" w:cs="Times New Roman"/>
          <w:sz w:val="24"/>
          <w:szCs w:val="24"/>
          <w:lang w:val="en-US"/>
        </w:rPr>
        <w:t xml:space="preserve">, at a given period </w:t>
      </w:r>
      <m:oMath>
        <m:r>
          <w:rPr>
            <w:rFonts w:ascii="Cambria Math" w:hAnsi="Cambria Math"/>
          </w:rPr>
          <m:t>t</m:t>
        </m:r>
      </m:oMath>
      <w:r>
        <w:rPr>
          <w:rFonts w:ascii="Times New Roman" w:hAnsi="Times New Roman" w:cs="Times New Roman"/>
          <w:sz w:val="24"/>
          <w:szCs w:val="24"/>
          <w:lang w:val="en-US"/>
        </w:rPr>
        <w:t xml:space="preserve"> (=2011, 2013, …, 2017) follows a bin</w:t>
      </w:r>
      <w:proofErr w:type="spellStart"/>
      <w:r>
        <w:rPr>
          <w:rFonts w:ascii="Times New Roman" w:hAnsi="Times New Roman" w:cs="Times New Roman"/>
          <w:sz w:val="24"/>
          <w:szCs w:val="24"/>
          <w:lang w:val="en-US"/>
        </w:rPr>
        <w:t>omial</w:t>
      </w:r>
      <w:proofErr w:type="spellEnd"/>
      <w:r>
        <w:rPr>
          <w:rFonts w:ascii="Times New Roman" w:hAnsi="Times New Roman" w:cs="Times New Roman"/>
          <w:sz w:val="24"/>
          <w:szCs w:val="24"/>
          <w:lang w:val="en-US"/>
        </w:rPr>
        <w:t xml:space="preserve"> distribution </w:t>
      </w:r>
      <w:r>
        <w:fldChar w:fldCharType="begin"/>
      </w:r>
      <w:r>
        <w:rPr>
          <w:rFonts w:ascii="Times New Roman" w:hAnsi="Times New Roman" w:cs="Times New Roman"/>
          <w:sz w:val="24"/>
          <w:szCs w:val="24"/>
          <w:lang w:val="en-US"/>
        </w:rPr>
        <w:instrText>ADDIN CSL_CITATION {"citationItems":[{"id":"ITEM-1","itemData":{"ISBN":"0203753739","author":[{"dropping-particle":"","family":"McCullagh","given":"Peter","non-dropping-particle":"","parse-names":false,"suffix":""}],"id":"ITEM-1","issued":{"date-parts":[["2019"]]},"publisher":"Routledge","title":"Generalized linear models","type":"book"},"uris":["http://www.mendeley.com/documents/?uuid=301ffea9-1663-42ec-a38e-bc42bced02d2"]}],"mendeley":{"formattedCitation":"[25]","plainTextFormattedCitation":"[25]","previouslyFormattedCitation":"[25]"},"properties":{"noteIndex":0},"schema":"https://github.com/citation-style-language/schema/raw/master/csl-citation.json"}</w:instrText>
      </w:r>
      <w:r>
        <w:rPr>
          <w:rFonts w:ascii="Times New Roman" w:hAnsi="Times New Roman" w:cs="Times New Roman"/>
          <w:sz w:val="24"/>
          <w:szCs w:val="24"/>
          <w:lang w:val="en-US"/>
        </w:rPr>
        <w:fldChar w:fldCharType="separate"/>
      </w:r>
      <w:bookmarkStart w:id="6" w:name="__Fieldmark__4652_3388232369"/>
      <w:r>
        <w:rPr>
          <w:rFonts w:ascii="Times New Roman" w:hAnsi="Times New Roman" w:cs="Times New Roman"/>
          <w:sz w:val="24"/>
          <w:szCs w:val="24"/>
          <w:lang w:val="en-US"/>
        </w:rPr>
        <w:t>[</w:t>
      </w:r>
      <w:bookmarkStart w:id="7" w:name="__Fieldmark__5999_3330640344"/>
      <w:r>
        <w:rPr>
          <w:rFonts w:ascii="Times New Roman" w:hAnsi="Times New Roman" w:cs="Times New Roman"/>
          <w:sz w:val="24"/>
          <w:szCs w:val="24"/>
          <w:lang w:val="en-US"/>
        </w:rPr>
        <w:t>2</w:t>
      </w:r>
      <w:bookmarkStart w:id="8" w:name="__Fieldmark__1540_3330640344"/>
      <w:r>
        <w:rPr>
          <w:rFonts w:ascii="Times New Roman" w:hAnsi="Times New Roman" w:cs="Times New Roman"/>
          <w:sz w:val="24"/>
          <w:szCs w:val="24"/>
          <w:lang w:val="en-US"/>
        </w:rPr>
        <w:t>5</w:t>
      </w:r>
      <w:bookmarkStart w:id="9" w:name="__Fieldmark__1443_2931434481"/>
      <w:r>
        <w:rPr>
          <w:rFonts w:ascii="Times New Roman" w:hAnsi="Times New Roman" w:cs="Times New Roman"/>
          <w:sz w:val="24"/>
          <w:szCs w:val="24"/>
          <w:lang w:val="en-US"/>
        </w:rPr>
        <w:t>]</w:t>
      </w:r>
      <w:bookmarkStart w:id="10" w:name="__Fieldmark__1249_3608036270"/>
      <w:r>
        <w:rPr>
          <w:rFonts w:ascii="Times New Roman" w:hAnsi="Times New Roman" w:cs="Times New Roman"/>
          <w:sz w:val="24"/>
          <w:szCs w:val="24"/>
          <w:lang w:val="en-US"/>
        </w:rPr>
        <w:fldChar w:fldCharType="end"/>
      </w:r>
      <w:bookmarkStart w:id="11" w:name="__Fieldmark__832_1004872872"/>
      <w:bookmarkStart w:id="12" w:name="__Fieldmark__563_764764431"/>
      <w:bookmarkStart w:id="13" w:name="__Fieldmark__3924_1653188140"/>
      <w:bookmarkStart w:id="14" w:name="__Fieldmark__1096_3401069794"/>
      <w:bookmarkStart w:id="15" w:name="__Fieldmark__2467_937858342"/>
      <w:bookmarkStart w:id="16" w:name="__Fieldmark__749_1945620222"/>
      <w:bookmarkStart w:id="17" w:name="__Fieldmark__925_2099061544"/>
      <w:bookmarkStart w:id="18" w:name="__Fieldmark__1175_4225242957"/>
      <w:bookmarkEnd w:id="6"/>
      <w:bookmarkEnd w:id="7"/>
      <w:bookmarkEnd w:id="8"/>
      <w:bookmarkEnd w:id="9"/>
      <w:bookmarkEnd w:id="10"/>
      <w:bookmarkEnd w:id="11"/>
      <w:bookmarkEnd w:id="12"/>
      <w:bookmarkEnd w:id="13"/>
      <w:bookmarkEnd w:id="14"/>
      <w:bookmarkEnd w:id="15"/>
      <w:bookmarkEnd w:id="16"/>
      <w:bookmarkEnd w:id="17"/>
      <w:bookmarkEnd w:id="18"/>
      <w:r>
        <w:rPr>
          <w:rFonts w:ascii="Times New Roman" w:hAnsi="Times New Roman" w:cs="Times New Roman"/>
          <w:sz w:val="24"/>
          <w:szCs w:val="24"/>
          <w:lang w:val="en-US"/>
        </w:rPr>
        <w:t xml:space="preserve">, </w:t>
      </w:r>
      <m:oMath>
        <m:sSub>
          <m:sSubPr>
            <m:ctrlPr>
              <w:rPr>
                <w:rFonts w:ascii="Cambria Math" w:hAnsi="Cambria Math"/>
              </w:rPr>
            </m:ctrlPr>
          </m:sSubPr>
          <m:e>
            <m:r>
              <w:rPr>
                <w:rFonts w:ascii="Cambria Math" w:hAnsi="Cambria Math"/>
              </w:rPr>
              <m:t>y</m:t>
            </m:r>
          </m:e>
          <m:sub>
            <m:r>
              <w:rPr>
                <w:rFonts w:ascii="Cambria Math" w:hAnsi="Cambria Math"/>
              </w:rPr>
              <m:t>it</m:t>
            </m:r>
          </m:sub>
        </m:sSub>
        <m:r>
          <w:rPr>
            <w:rFonts w:ascii="Cambria Math" w:hAnsi="Cambria Math"/>
          </w:rPr>
          <m:t>Binomial</m:t>
        </m:r>
        <m:d>
          <m:dPr>
            <m:ctrlPr>
              <w:rPr>
                <w:rFonts w:ascii="Cambria Math" w:hAnsi="Cambria Math"/>
              </w:rPr>
            </m:ctrlPr>
          </m:dPr>
          <m:e>
            <m:sSub>
              <m:sSubPr>
                <m:ctrlPr>
                  <w:rPr>
                    <w:rFonts w:ascii="Cambria Math" w:hAnsi="Cambria Math"/>
                  </w:rPr>
                </m:ctrlPr>
              </m:sSubPr>
              <m:e>
                <m:r>
                  <w:rPr>
                    <w:rFonts w:ascii="Cambria Math" w:hAnsi="Cambria Math"/>
                  </w:rPr>
                  <m:t>n</m:t>
                </m:r>
              </m:e>
              <m:sub>
                <m:r>
                  <w:rPr>
                    <w:rFonts w:ascii="Cambria Math" w:hAnsi="Cambria Math"/>
                  </w:rPr>
                  <m:t>it</m:t>
                </m:r>
              </m:sub>
            </m:sSub>
            <m:r>
              <w:rPr>
                <w:rFonts w:ascii="Cambria Math" w:hAnsi="Cambria Math"/>
                <w:lang w:val="en-US"/>
              </w:rPr>
              <m:t>,</m:t>
            </m:r>
            <m:sSub>
              <m:sSubPr>
                <m:ctrlPr>
                  <w:rPr>
                    <w:rFonts w:ascii="Cambria Math" w:hAnsi="Cambria Math"/>
                  </w:rPr>
                </m:ctrlPr>
              </m:sSubPr>
              <m:e>
                <m:r>
                  <w:rPr>
                    <w:rFonts w:ascii="Cambria Math" w:hAnsi="Cambria Math"/>
                  </w:rPr>
                  <m:t>μ</m:t>
                </m:r>
              </m:e>
              <m:sub>
                <m:r>
                  <w:rPr>
                    <w:rFonts w:ascii="Cambria Math" w:hAnsi="Cambria Math"/>
                  </w:rPr>
                  <m:t>it</m:t>
                </m:r>
              </m:sub>
            </m:sSub>
          </m:e>
        </m:d>
      </m:oMath>
      <w:r>
        <w:rPr>
          <w:rFonts w:ascii="Times New Roman" w:hAnsi="Times New Roman" w:cs="Times New Roman"/>
          <w:sz w:val="24"/>
          <w:szCs w:val="24"/>
          <w:lang w:val="en-US"/>
        </w:rPr>
        <w:t xml:space="preserve">. Where </w:t>
      </w:r>
      <m:oMath>
        <m:sSub>
          <m:sSubPr>
            <m:ctrlPr>
              <w:rPr>
                <w:rFonts w:ascii="Cambria Math" w:hAnsi="Cambria Math"/>
              </w:rPr>
            </m:ctrlPr>
          </m:sSubPr>
          <m:e>
            <m:r>
              <w:rPr>
                <w:rFonts w:ascii="Cambria Math" w:hAnsi="Cambria Math"/>
              </w:rPr>
              <m:t>n</m:t>
            </m:r>
          </m:e>
          <m:sub>
            <m:r>
              <w:rPr>
                <w:rFonts w:ascii="Cambria Math" w:hAnsi="Cambria Math"/>
              </w:rPr>
              <m:t>it</m:t>
            </m:r>
          </m:sub>
        </m:sSub>
      </m:oMath>
      <w:r>
        <w:rPr>
          <w:rFonts w:ascii="Times New Roman" w:hAnsi="Times New Roman" w:cs="Times New Roman"/>
          <w:sz w:val="24"/>
          <w:szCs w:val="24"/>
          <w:lang w:val="en-US"/>
        </w:rPr>
        <w:t xml:space="preserve"> represents the total number of live births in the municipality </w:t>
      </w:r>
      <m:oMath>
        <m:r>
          <w:rPr>
            <w:rFonts w:ascii="Cambria Math" w:hAnsi="Cambria Math"/>
          </w:rPr>
          <m:t>i</m:t>
        </m:r>
      </m:oMath>
      <w:r>
        <w:rPr>
          <w:rFonts w:ascii="Times New Roman" w:hAnsi="Times New Roman" w:cs="Times New Roman"/>
          <w:sz w:val="24"/>
          <w:szCs w:val="24"/>
          <w:lang w:val="en-US"/>
        </w:rPr>
        <w:t xml:space="preserve"> at period </w:t>
      </w:r>
      <m:oMath>
        <m:r>
          <w:rPr>
            <w:rFonts w:ascii="Cambria Math" w:hAnsi="Cambria Math"/>
          </w:rPr>
          <m:t>t</m:t>
        </m:r>
      </m:oMath>
      <w:r>
        <w:rPr>
          <w:rFonts w:ascii="Times New Roman" w:hAnsi="Times New Roman" w:cs="Times New Roman"/>
          <w:sz w:val="24"/>
          <w:szCs w:val="24"/>
          <w:lang w:val="en-US"/>
        </w:rPr>
        <w:t xml:space="preserve">; and </w:t>
      </w:r>
      <m:oMath>
        <m:sSub>
          <m:sSubPr>
            <m:ctrlPr>
              <w:rPr>
                <w:rFonts w:ascii="Cambria Math" w:hAnsi="Cambria Math"/>
              </w:rPr>
            </m:ctrlPr>
          </m:sSubPr>
          <m:e>
            <m:r>
              <w:rPr>
                <w:rFonts w:ascii="Cambria Math" w:hAnsi="Cambria Math"/>
              </w:rPr>
              <m:t>μ</m:t>
            </m:r>
          </m:e>
          <m:sub>
            <m:r>
              <w:rPr>
                <w:rFonts w:ascii="Cambria Math" w:hAnsi="Cambria Math"/>
              </w:rPr>
              <m:t>it</m:t>
            </m:r>
          </m:sub>
        </m:sSub>
      </m:oMath>
      <w:r>
        <w:rPr>
          <w:rFonts w:ascii="Times New Roman" w:hAnsi="Times New Roman" w:cs="Times New Roman"/>
          <w:sz w:val="24"/>
          <w:szCs w:val="24"/>
          <w:lang w:val="en-US"/>
        </w:rPr>
        <w:t xml:space="preserve"> denotes the number of child deaths in the municipality </w:t>
      </w:r>
      <m:oMath>
        <m:r>
          <w:rPr>
            <w:rFonts w:ascii="Cambria Math" w:hAnsi="Cambria Math"/>
          </w:rPr>
          <m:t>i</m:t>
        </m:r>
      </m:oMath>
      <w:r>
        <w:rPr>
          <w:rFonts w:ascii="Times New Roman" w:hAnsi="Times New Roman" w:cs="Times New Roman"/>
          <w:sz w:val="24"/>
          <w:szCs w:val="24"/>
          <w:lang w:val="en-US"/>
        </w:rPr>
        <w:t xml:space="preserve"> at period </w:t>
      </w:r>
      <m:oMath>
        <m:r>
          <w:rPr>
            <w:rFonts w:ascii="Cambria Math" w:hAnsi="Cambria Math"/>
          </w:rPr>
          <m:t>t</m:t>
        </m:r>
      </m:oMath>
      <w:r>
        <w:rPr>
          <w:rFonts w:ascii="Times New Roman" w:hAnsi="Times New Roman" w:cs="Times New Roman"/>
          <w:sz w:val="24"/>
          <w:szCs w:val="24"/>
          <w:lang w:val="en-US"/>
        </w:rPr>
        <w:t xml:space="preserve">. According to Law et al. </w:t>
      </w:r>
      <w:r>
        <w:fldChar w:fldCharType="begin"/>
      </w:r>
      <w:r>
        <w:rPr>
          <w:rFonts w:ascii="Times New Roman" w:hAnsi="Times New Roman" w:cs="Times New Roman"/>
          <w:sz w:val="24"/>
          <w:szCs w:val="24"/>
          <w:lang w:val="en-US"/>
        </w:rPr>
        <w:instrText>ADDIN CSL_CITATION {"citationItems":[{"id":"ITEM-1","itemData":{"ISSN":"0748-4518","author":[{"dropping-particle":"","family":"Law","given":"Jane","non-dropping-particle":"","parse-names":false,"suffix":""},{"dropping-particle":"","family":"Quick","given":"Matthew","non-dropping-particle":"","parse-names":false,"suffix":""},{"dropping-particle":"","family":"Chan","given":"Ping","non-dropping-particle":"","parse-names":false,"suffix":""}],"container-title":"Journal of quantitative criminology","id":"ITEM-1","issue":"1","issued":{"date-parts":[["2014"]]},"page":"57-78","publisher":"Springer","title":"Bayesian spatio-temporal modeling for analysing local patterns of crime over time at the small-area level","type":"article-journal","volume":"30"},"uris":["http://www.mendeley.com/documents/?uuid=4845b816-ad82-462b-bb01-1520d10346fd"]}],"mendeley":{"formattedCitation":"[26]","plainTextFormattedCitation":"[26]","previouslyFormattedCitation":"[26]"},"properties":{"noteIndex":0},"schema":"https://github.com/citation-style-language/schema/raw/master/csl-citation.json"}</w:instrText>
      </w:r>
      <w:r>
        <w:rPr>
          <w:rFonts w:ascii="Times New Roman" w:hAnsi="Times New Roman" w:cs="Times New Roman"/>
          <w:sz w:val="24"/>
          <w:szCs w:val="24"/>
          <w:lang w:val="en-US"/>
        </w:rPr>
        <w:fldChar w:fldCharType="separate"/>
      </w:r>
      <w:bookmarkStart w:id="19" w:name="__Fieldmark__4714_3388232369"/>
      <w:r>
        <w:rPr>
          <w:rFonts w:ascii="Times New Roman" w:hAnsi="Times New Roman" w:cs="Times New Roman"/>
          <w:sz w:val="24"/>
          <w:szCs w:val="24"/>
          <w:lang w:val="en-US"/>
        </w:rPr>
        <w:t>[</w:t>
      </w:r>
      <w:bookmarkStart w:id="20" w:name="__Fieldmark__6058_3330640344"/>
      <w:r>
        <w:rPr>
          <w:rFonts w:ascii="Times New Roman" w:hAnsi="Times New Roman" w:cs="Times New Roman"/>
          <w:sz w:val="24"/>
          <w:szCs w:val="24"/>
          <w:lang w:val="en-US"/>
        </w:rPr>
        <w:t>2</w:t>
      </w:r>
      <w:bookmarkStart w:id="21" w:name="__Fieldmark__1596_3330640344"/>
      <w:r>
        <w:rPr>
          <w:rFonts w:ascii="Times New Roman" w:hAnsi="Times New Roman" w:cs="Times New Roman"/>
          <w:sz w:val="24"/>
          <w:szCs w:val="24"/>
          <w:lang w:val="en-US"/>
        </w:rPr>
        <w:t>6</w:t>
      </w:r>
      <w:bookmarkStart w:id="22" w:name="__Fieldmark__1496_2931434481"/>
      <w:r>
        <w:rPr>
          <w:rFonts w:ascii="Times New Roman" w:hAnsi="Times New Roman" w:cs="Times New Roman"/>
          <w:sz w:val="24"/>
          <w:szCs w:val="24"/>
          <w:lang w:val="en-US"/>
        </w:rPr>
        <w:t>]</w:t>
      </w:r>
      <w:bookmarkStart w:id="23" w:name="__Fieldmark__1299_3608036270"/>
      <w:r>
        <w:rPr>
          <w:rFonts w:ascii="Times New Roman" w:hAnsi="Times New Roman" w:cs="Times New Roman"/>
          <w:sz w:val="24"/>
          <w:szCs w:val="24"/>
          <w:lang w:val="en-US"/>
        </w:rPr>
        <w:fldChar w:fldCharType="end"/>
      </w:r>
      <w:bookmarkStart w:id="24" w:name="__Fieldmark__1222_4225242957"/>
      <w:bookmarkStart w:id="25" w:name="__Fieldmark__866_1004872872"/>
      <w:bookmarkStart w:id="26" w:name="__Fieldmark__589_764764431"/>
      <w:bookmarkStart w:id="27" w:name="__Fieldmark__2508_937858342"/>
      <w:bookmarkStart w:id="28" w:name="__Fieldmark__1140_3401069794"/>
      <w:bookmarkStart w:id="29" w:name="__Fieldmark__960_2099061544"/>
      <w:bookmarkStart w:id="30" w:name="__Fieldmark__3962_1653188140"/>
      <w:bookmarkStart w:id="31" w:name="__Fieldmark__779_1945620222"/>
      <w:bookmarkEnd w:id="19"/>
      <w:bookmarkEnd w:id="20"/>
      <w:bookmarkEnd w:id="21"/>
      <w:bookmarkEnd w:id="22"/>
      <w:bookmarkEnd w:id="23"/>
      <w:bookmarkEnd w:id="24"/>
      <w:bookmarkEnd w:id="25"/>
      <w:bookmarkEnd w:id="26"/>
      <w:bookmarkEnd w:id="27"/>
      <w:bookmarkEnd w:id="28"/>
      <w:bookmarkEnd w:id="29"/>
      <w:bookmarkEnd w:id="30"/>
      <w:bookmarkEnd w:id="31"/>
      <w:r>
        <w:rPr>
          <w:rFonts w:ascii="Times New Roman" w:hAnsi="Times New Roman" w:cs="Times New Roman"/>
          <w:sz w:val="24"/>
          <w:szCs w:val="24"/>
          <w:lang w:val="en-US"/>
        </w:rPr>
        <w:t xml:space="preserve">  and Li et al. </w:t>
      </w:r>
      <w:r>
        <w:fldChar w:fldCharType="begin"/>
      </w:r>
      <w:r>
        <w:rPr>
          <w:rFonts w:ascii="Times New Roman" w:hAnsi="Times New Roman" w:cs="Times New Roman"/>
          <w:sz w:val="24"/>
          <w:szCs w:val="24"/>
          <w:lang w:val="en-US"/>
        </w:rPr>
        <w:instrText>ADDIN CSL_CITATION {"citationItems":[{"id":"ITEM-1","itemData":{"DOI":"10.1016/j.spasta.2014.03.006","ISSN":"22116753","abstract":"Modelling spatio-temporal offence data contributes to our understanding of the spatio-temporal characteristics of the risk of becoming a victim of crime and has implications for policing. Space-time interactions are deeply embedded both empirically and theoretically into many areas of criminology. In this paper, we apply a familiar Bayesian spatio-temporal model to explore the space-time variation in burglary risk in Peterborough, England, between 2005 and 2008. However, we extend earlier work with this model by presenting a novel two-stage method for classifying areas into crime hotspots, coldspots or neither and studying the temporal dynamics of areas within each risk category. A further contribution of this paper is the inclusion of covariates into the model in order to explain the space-time classification of areas. We discuss the advantages of, and identify future directions for, this form of modelling for analysing offence patterns in space and time. Implications for crime research and policing are also discussed.","author":[{"dropping-particle":"","family":"Li","given":"G.","non-dropping-particle":"","parse-names":false,"suffix":""},{"dropping-particle":"","family":"Haining","given":"R.","non-dropping-particle":"","parse-names":false,"suffix":""},{"dropping-particle":"","family":"Richardson","given":"S.","non-dropping-particle":"","parse-names":false,"suffix":""},{"dropping-particle":"","family":"Best","given":"N.","non-dropping-particle":"","parse-names":false,"suffix":""}],"container-title":"Spatial Statistics","id":"ITEM-1","issue":"C","issued":{"date-parts":[["2014"]]},"page":"180-191","title":"Space-time variability in burglary risk: A Bayesian spatio-temporal modelling approach","type":"article-journal","volume":"9"},"uris":["http://www.mendeley.com/documents/?uuid=20c38b5d-25c6-4276-8f86-e62a81b98da5"]}],"mendeley":{"formattedCitation":"[19]","plainTextFormattedCitation":"[19]","previouslyFormattedCitation":"[19]"},"properties":{"noteIndex":0},"schema":"https://github.com/citation-style-language/schema/raw/master/csl-citation.json"}</w:instrText>
      </w:r>
      <w:r>
        <w:rPr>
          <w:rFonts w:ascii="Times New Roman" w:hAnsi="Times New Roman" w:cs="Times New Roman"/>
          <w:sz w:val="24"/>
          <w:szCs w:val="24"/>
          <w:lang w:val="en-US"/>
        </w:rPr>
        <w:fldChar w:fldCharType="separate"/>
      </w:r>
      <w:bookmarkStart w:id="32" w:name="__Fieldmark__4757_3388232369"/>
      <w:r>
        <w:rPr>
          <w:rFonts w:ascii="Times New Roman" w:hAnsi="Times New Roman" w:cs="Times New Roman"/>
          <w:sz w:val="24"/>
          <w:szCs w:val="24"/>
          <w:lang w:val="en-US"/>
        </w:rPr>
        <w:t>[</w:t>
      </w:r>
      <w:bookmarkStart w:id="33" w:name="__Fieldmark__6098_3330640344"/>
      <w:r>
        <w:rPr>
          <w:rFonts w:ascii="Times New Roman" w:hAnsi="Times New Roman" w:cs="Times New Roman"/>
          <w:sz w:val="24"/>
          <w:szCs w:val="24"/>
          <w:lang w:val="en-US"/>
        </w:rPr>
        <w:t>1</w:t>
      </w:r>
      <w:bookmarkStart w:id="34" w:name="__Fieldmark__1633_3330640344"/>
      <w:r>
        <w:rPr>
          <w:rFonts w:ascii="Times New Roman" w:hAnsi="Times New Roman" w:cs="Times New Roman"/>
          <w:sz w:val="24"/>
          <w:szCs w:val="24"/>
          <w:lang w:val="en-US"/>
        </w:rPr>
        <w:t>9</w:t>
      </w:r>
      <w:bookmarkStart w:id="35" w:name="__Fieldmark__1530_2931434481"/>
      <w:r>
        <w:rPr>
          <w:rFonts w:ascii="Times New Roman" w:hAnsi="Times New Roman" w:cs="Times New Roman"/>
          <w:sz w:val="24"/>
          <w:szCs w:val="24"/>
          <w:lang w:val="en-US"/>
        </w:rPr>
        <w:t>]</w:t>
      </w:r>
      <w:bookmarkStart w:id="36" w:name="__Fieldmark__1330_3608036270"/>
      <w:r>
        <w:rPr>
          <w:rFonts w:ascii="Times New Roman" w:hAnsi="Times New Roman" w:cs="Times New Roman"/>
          <w:sz w:val="24"/>
          <w:szCs w:val="24"/>
          <w:lang w:val="en-US"/>
        </w:rPr>
        <w:fldChar w:fldCharType="end"/>
      </w:r>
      <w:bookmarkStart w:id="37" w:name="__Fieldmark__1250_4225242957"/>
      <w:bookmarkStart w:id="38" w:name="__Fieldmark__2530_937858342"/>
      <w:bookmarkStart w:id="39" w:name="__Fieldmark__967_2099061544"/>
      <w:bookmarkStart w:id="40" w:name="__Fieldmark__790_1945620222"/>
      <w:bookmarkStart w:id="41" w:name="__Fieldmark__881_1004872872"/>
      <w:bookmarkStart w:id="42" w:name="__Fieldmark__1165_3401069794"/>
      <w:bookmarkStart w:id="43" w:name="__Fieldmark__596_764764431"/>
      <w:bookmarkStart w:id="44" w:name="__Fieldmark__3981_1653188140"/>
      <w:bookmarkEnd w:id="32"/>
      <w:bookmarkEnd w:id="33"/>
      <w:bookmarkEnd w:id="34"/>
      <w:bookmarkEnd w:id="35"/>
      <w:bookmarkEnd w:id="36"/>
      <w:bookmarkEnd w:id="37"/>
      <w:bookmarkEnd w:id="38"/>
      <w:bookmarkEnd w:id="39"/>
      <w:bookmarkEnd w:id="40"/>
      <w:bookmarkEnd w:id="41"/>
      <w:bookmarkEnd w:id="42"/>
      <w:bookmarkEnd w:id="43"/>
      <w:bookmarkEnd w:id="44"/>
      <w:r>
        <w:rPr>
          <w:rFonts w:ascii="Times New Roman" w:hAnsi="Times New Roman" w:cs="Times New Roman"/>
          <w:sz w:val="24"/>
          <w:szCs w:val="24"/>
          <w:lang w:val="en-US"/>
        </w:rPr>
        <w:t xml:space="preserve"> child mortality risk can be modelled as:</w:t>
      </w:r>
    </w:p>
    <w:p w14:paraId="542DEA14" w14:textId="77777777" w:rsidR="006E5D69" w:rsidRDefault="006E5D69" w:rsidP="006E5D69">
      <w:pPr>
        <w:spacing w:after="0" w:line="360" w:lineRule="auto"/>
        <w:jc w:val="both"/>
        <w:rPr>
          <w:rFonts w:ascii="Times New Roman" w:hAnsi="Times New Roman" w:cs="Times New Roman"/>
          <w:sz w:val="24"/>
          <w:szCs w:val="24"/>
          <w:lang w:val="en-US"/>
        </w:rPr>
      </w:pPr>
    </w:p>
    <w:p w14:paraId="0079DABC" w14:textId="77777777" w:rsidR="006E5D69" w:rsidRPr="00AC4380" w:rsidRDefault="006E5D69" w:rsidP="006E5D69">
      <w:pPr>
        <w:spacing w:after="0" w:line="360" w:lineRule="auto"/>
        <w:jc w:val="right"/>
        <w:rPr>
          <w:rFonts w:ascii="Times New Roman" w:hAnsi="Times New Roman" w:cs="Times New Roman"/>
          <w:b/>
          <w:color w:val="000000"/>
          <w:sz w:val="24"/>
          <w:szCs w:val="24"/>
          <w:lang w:val="en-US"/>
        </w:rPr>
      </w:pPr>
      <m:oMath>
        <m:r>
          <w:rPr>
            <w:rFonts w:ascii="Cambria Math" w:hAnsi="Cambria Math"/>
          </w:rPr>
          <m:t>logit</m:t>
        </m:r>
        <m:d>
          <m:dPr>
            <m:ctrlPr>
              <w:rPr>
                <w:rFonts w:ascii="Cambria Math" w:hAnsi="Cambria Math"/>
              </w:rPr>
            </m:ctrlPr>
          </m:dPr>
          <m:e>
            <m:sSub>
              <m:sSubPr>
                <m:ctrlPr>
                  <w:rPr>
                    <w:rFonts w:ascii="Cambria Math" w:hAnsi="Cambria Math"/>
                  </w:rPr>
                </m:ctrlPr>
              </m:sSubPr>
              <m:e>
                <m:r>
                  <w:rPr>
                    <w:rFonts w:ascii="Cambria Math" w:hAnsi="Cambria Math"/>
                  </w:rPr>
                  <m:t>μ</m:t>
                </m:r>
              </m:e>
              <m:sub>
                <m:r>
                  <w:rPr>
                    <w:rFonts w:ascii="Cambria Math" w:hAnsi="Cambria Math"/>
                  </w:rPr>
                  <m:t>it</m:t>
                </m:r>
              </m:sub>
            </m:sSub>
          </m:e>
        </m:d>
        <m:r>
          <w:rPr>
            <w:rFonts w:ascii="Cambria Math" w:hAnsi="Cambria Math"/>
            <w:lang w:val="en-US"/>
          </w:rPr>
          <m:t>=</m:t>
        </m:r>
        <m:r>
          <w:rPr>
            <w:rFonts w:ascii="Cambria Math" w:hAnsi="Cambria Math"/>
          </w:rPr>
          <m:t>α</m:t>
        </m:r>
        <m:r>
          <w:rPr>
            <w:rFonts w:ascii="Cambria Math" w:hAnsi="Cambria Math"/>
            <w:lang w:val="en-US"/>
          </w:rPr>
          <m:t>+</m:t>
        </m:r>
        <m:d>
          <m:dPr>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i</m:t>
                </m:r>
              </m:sub>
            </m:sSub>
            <m:r>
              <w:rPr>
                <w:rFonts w:ascii="Cambria Math" w:hAnsi="Cambria Math"/>
                <w:lang w:val="en-US"/>
              </w:rPr>
              <m:t>+</m:t>
            </m:r>
            <m:sSub>
              <m:sSubPr>
                <m:ctrlPr>
                  <w:rPr>
                    <w:rFonts w:ascii="Cambria Math" w:hAnsi="Cambria Math"/>
                  </w:rPr>
                </m:ctrlPr>
              </m:sSubPr>
              <m:e>
                <m:r>
                  <w:rPr>
                    <w:rFonts w:ascii="Cambria Math" w:hAnsi="Cambria Math"/>
                  </w:rPr>
                  <m:t>u</m:t>
                </m:r>
              </m:e>
              <m:sub>
                <m:r>
                  <w:rPr>
                    <w:rFonts w:ascii="Cambria Math" w:hAnsi="Cambria Math"/>
                  </w:rPr>
                  <m:t>i</m:t>
                </m:r>
              </m:sub>
            </m:sSub>
          </m:e>
        </m:d>
        <m:r>
          <w:rPr>
            <w:rFonts w:ascii="Cambria Math" w:hAnsi="Cambria Math"/>
            <w:lang w:val="en-US"/>
          </w:rPr>
          <m:t>+</m:t>
        </m:r>
        <m:sSub>
          <m:sSubPr>
            <m:ctrlPr>
              <w:rPr>
                <w:rFonts w:ascii="Cambria Math" w:hAnsi="Cambria Math"/>
              </w:rPr>
            </m:ctrlPr>
          </m:sSubPr>
          <m:e>
            <m:r>
              <w:rPr>
                <w:rFonts w:ascii="Cambria Math" w:hAnsi="Cambria Math"/>
              </w:rPr>
              <m:t>d</m:t>
            </m:r>
          </m:e>
          <m:sub>
            <m:r>
              <w:rPr>
                <w:rFonts w:ascii="Cambria Math" w:hAnsi="Cambria Math"/>
                <w:lang w:val="en-US"/>
              </w:rPr>
              <m:t>0</m:t>
            </m:r>
          </m:sub>
        </m:sSub>
        <m:sSup>
          <m:sSupPr>
            <m:ctrlPr>
              <w:rPr>
                <w:rFonts w:ascii="Cambria Math" w:hAnsi="Cambria Math"/>
              </w:rPr>
            </m:ctrlPr>
          </m:sSupPr>
          <m:e>
            <m:r>
              <w:rPr>
                <w:rFonts w:ascii="Cambria Math" w:hAnsi="Cambria Math"/>
              </w:rPr>
              <m:t>t</m:t>
            </m:r>
          </m:e>
          <m:sup>
            <m:r>
              <w:rPr>
                <w:rFonts w:ascii="Cambria Math" w:hAnsi="Cambria Math"/>
                <w:lang w:val="en-US"/>
              </w:rPr>
              <m:t>*</m:t>
            </m:r>
          </m:sup>
        </m:sSup>
        <m:r>
          <w:rPr>
            <w:rFonts w:ascii="Cambria Math" w:hAnsi="Cambria Math"/>
            <w:lang w:val="en-US"/>
          </w:rPr>
          <m:t>+</m:t>
        </m:r>
        <m:sSub>
          <m:sSubPr>
            <m:ctrlPr>
              <w:rPr>
                <w:rFonts w:ascii="Cambria Math" w:hAnsi="Cambria Math"/>
              </w:rPr>
            </m:ctrlPr>
          </m:sSubPr>
          <m:e>
            <m:r>
              <w:rPr>
                <w:rFonts w:ascii="Cambria Math" w:hAnsi="Cambria Math"/>
              </w:rPr>
              <m:t>v</m:t>
            </m:r>
          </m:e>
          <m:sub>
            <m:r>
              <w:rPr>
                <w:rFonts w:ascii="Cambria Math" w:hAnsi="Cambria Math"/>
              </w:rPr>
              <m:t>t</m:t>
            </m:r>
          </m:sub>
        </m:sSub>
        <m:r>
          <w:rPr>
            <w:rFonts w:ascii="Cambria Math" w:hAnsi="Cambria Math"/>
            <w:lang w:val="en-US"/>
          </w:rPr>
          <m:t>+</m:t>
        </m:r>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sSup>
          <m:sSupPr>
            <m:ctrlPr>
              <w:rPr>
                <w:rFonts w:ascii="Cambria Math" w:hAnsi="Cambria Math"/>
              </w:rPr>
            </m:ctrlPr>
          </m:sSupPr>
          <m:e>
            <m:r>
              <w:rPr>
                <w:rFonts w:ascii="Cambria Math" w:hAnsi="Cambria Math"/>
              </w:rPr>
              <m:t>t</m:t>
            </m:r>
          </m:e>
          <m:sup>
            <m:r>
              <w:rPr>
                <w:rFonts w:ascii="Cambria Math" w:hAnsi="Cambria Math"/>
                <w:lang w:val="en-US"/>
              </w:rPr>
              <m:t>*</m:t>
            </m:r>
          </m:sup>
        </m:sSup>
        <m:r>
          <w:rPr>
            <w:rFonts w:ascii="Cambria Math" w:hAnsi="Cambria Math"/>
            <w:lang w:val="en-US"/>
          </w:rPr>
          <m:t>+</m:t>
        </m:r>
        <m:sSub>
          <m:sSubPr>
            <m:ctrlPr>
              <w:rPr>
                <w:rFonts w:ascii="Cambria Math" w:hAnsi="Cambria Math"/>
              </w:rPr>
            </m:ctrlPr>
          </m:sSubPr>
          <m:e>
            <m:r>
              <w:rPr>
                <w:rFonts w:ascii="Cambria Math" w:hAnsi="Cambria Math"/>
              </w:rPr>
              <m:t>ε</m:t>
            </m:r>
          </m:e>
          <m:sub>
            <m:r>
              <w:rPr>
                <w:rFonts w:ascii="Cambria Math" w:hAnsi="Cambria Math"/>
              </w:rPr>
              <m:t>it</m:t>
            </m:r>
          </m:sub>
        </m:sSub>
      </m:oMath>
      <w:r>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     (1)</w:t>
      </w:r>
    </w:p>
    <w:p w14:paraId="5DC90D20" w14:textId="77777777" w:rsidR="006E5D69" w:rsidRDefault="006E5D69" w:rsidP="006E5D69">
      <w:pPr>
        <w:spacing w:after="0" w:line="360" w:lineRule="auto"/>
        <w:jc w:val="both"/>
        <w:rPr>
          <w:rFonts w:ascii="Times New Roman" w:hAnsi="Times New Roman" w:cs="Times New Roman"/>
          <w:sz w:val="24"/>
          <w:szCs w:val="24"/>
          <w:lang w:val="en-US"/>
        </w:rPr>
      </w:pPr>
    </w:p>
    <w:p w14:paraId="050972A0" w14:textId="77777777" w:rsidR="006E5D69" w:rsidRDefault="006E5D69" w:rsidP="006E5D69">
      <w:pPr>
        <w:spacing w:after="159"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where </w:t>
      </w:r>
      <w:r w:rsidRPr="00AC4380">
        <w:rPr>
          <w:rFonts w:ascii="Times New Roman" w:hAnsi="Times New Roman" w:cs="Times New Roman"/>
          <w:sz w:val="24"/>
          <w:szCs w:val="24"/>
          <w:lang w:val="en-US"/>
        </w:rPr>
        <w:t>α</w:t>
      </w:r>
      <w:r>
        <w:rPr>
          <w:rFonts w:ascii="Times New Roman" w:hAnsi="Times New Roman" w:cs="Times New Roman"/>
          <w:sz w:val="24"/>
          <w:szCs w:val="24"/>
          <w:lang w:val="en-US"/>
        </w:rPr>
        <w:t xml:space="preserve"> is the overall</w:t>
      </w:r>
      <w:r>
        <w:rPr>
          <w:rFonts w:ascii="Times New Roman" w:hAnsi="Times New Roman" w:cs="Times New Roman"/>
          <w:sz w:val="24"/>
          <w:szCs w:val="24"/>
          <w:highlight w:val="white"/>
          <w:lang w:val="en-US"/>
        </w:rPr>
        <w:t xml:space="preserve"> logit child mortality risk across the 7-year period and the terms </w:t>
      </w:r>
      <w:r w:rsidRPr="00371E76">
        <w:rPr>
          <w:rFonts w:ascii="Times New Roman" w:hAnsi="Times New Roman" w:cs="Times New Roman"/>
          <w:sz w:val="24"/>
          <w:szCs w:val="24"/>
          <w:shd w:val="clear" w:color="auto" w:fill="FFFFFF" w:themeFill="background1"/>
          <w:lang w:val="en-US"/>
        </w:rPr>
        <w:t xml:space="preserve"> </w:t>
      </w:r>
      <m:oMath>
        <m:sSub>
          <m:sSubPr>
            <m:ctrlPr>
              <w:rPr>
                <w:rFonts w:ascii="Cambria Math" w:hAnsi="Cambria Math" w:cs="Times New Roman"/>
                <w:i/>
                <w:sz w:val="24"/>
                <w:szCs w:val="24"/>
                <w:shd w:val="clear" w:color="auto" w:fill="FFFFFF" w:themeFill="background1"/>
              </w:rPr>
            </m:ctrlPr>
          </m:sSubPr>
          <m:e>
            <m:r>
              <w:rPr>
                <w:rFonts w:ascii="Cambria Math" w:hAnsi="Cambria Math" w:cs="Times New Roman"/>
                <w:sz w:val="24"/>
                <w:szCs w:val="24"/>
                <w:shd w:val="clear" w:color="auto" w:fill="FFFFFF" w:themeFill="background1"/>
              </w:rPr>
              <m:t>s</m:t>
            </m:r>
          </m:e>
          <m:sub>
            <m:r>
              <w:rPr>
                <w:rFonts w:ascii="Cambria Math" w:hAnsi="Cambria Math" w:cs="Times New Roman"/>
                <w:sz w:val="24"/>
                <w:szCs w:val="24"/>
                <w:shd w:val="clear" w:color="auto" w:fill="FFFFFF" w:themeFill="background1"/>
              </w:rPr>
              <m:t>i</m:t>
            </m:r>
          </m:sub>
        </m:sSub>
      </m:oMath>
      <w:r w:rsidRPr="00371E76">
        <w:rPr>
          <w:rFonts w:ascii="Times New Roman" w:eastAsiaTheme="minorEastAsia" w:hAnsi="Times New Roman" w:cs="Times New Roman"/>
          <w:sz w:val="24"/>
          <w:szCs w:val="24"/>
          <w:shd w:val="clear" w:color="auto" w:fill="FFFFFF" w:themeFill="background1"/>
          <w:lang w:val="en-US"/>
        </w:rPr>
        <w:t xml:space="preserve"> </w:t>
      </w:r>
      <w:r w:rsidRPr="00371E76">
        <w:rPr>
          <w:rFonts w:ascii="Times New Roman" w:hAnsi="Times New Roman" w:cs="Times New Roman"/>
          <w:sz w:val="24"/>
          <w:szCs w:val="24"/>
          <w:shd w:val="clear" w:color="auto" w:fill="FFFFFF" w:themeFill="background1"/>
          <w:lang w:val="en-US"/>
        </w:rPr>
        <w:t xml:space="preserve">and </w:t>
      </w:r>
      <m:oMath>
        <m:sSub>
          <m:sSubPr>
            <m:ctrlPr>
              <w:rPr>
                <w:rFonts w:ascii="Cambria Math" w:hAnsi="Cambria Math" w:cs="Times New Roman"/>
                <w:i/>
                <w:sz w:val="24"/>
                <w:szCs w:val="24"/>
                <w:shd w:val="clear" w:color="auto" w:fill="FFFFFF" w:themeFill="background1"/>
              </w:rPr>
            </m:ctrlPr>
          </m:sSubPr>
          <m:e>
            <m:r>
              <w:rPr>
                <w:rFonts w:ascii="Cambria Math" w:hAnsi="Cambria Math" w:cs="Times New Roman"/>
                <w:sz w:val="24"/>
                <w:szCs w:val="24"/>
                <w:shd w:val="clear" w:color="auto" w:fill="FFFFFF" w:themeFill="background1"/>
              </w:rPr>
              <m:t>u</m:t>
            </m:r>
          </m:e>
          <m:sub>
            <m:r>
              <w:rPr>
                <w:rFonts w:ascii="Cambria Math" w:hAnsi="Cambria Math" w:cs="Times New Roman"/>
                <w:sz w:val="24"/>
                <w:szCs w:val="24"/>
                <w:shd w:val="clear" w:color="auto" w:fill="FFFFFF" w:themeFill="background1"/>
              </w:rPr>
              <m:t>i</m:t>
            </m:r>
          </m:sub>
        </m:sSub>
      </m:oMath>
      <w:r w:rsidRPr="00371E76">
        <w:rPr>
          <w:rFonts w:ascii="Times New Roman" w:eastAsiaTheme="minorEastAsia" w:hAnsi="Times New Roman" w:cs="Times New Roman"/>
          <w:sz w:val="24"/>
          <w:szCs w:val="24"/>
          <w:shd w:val="clear" w:color="auto" w:fill="FFFFFF" w:themeFill="background1"/>
          <w:lang w:val="en-US"/>
        </w:rPr>
        <w:t xml:space="preserve"> </w:t>
      </w:r>
      <w:r>
        <w:rPr>
          <w:rFonts w:ascii="Times New Roman" w:hAnsi="Times New Roman" w:cs="Times New Roman"/>
          <w:sz w:val="24"/>
          <w:szCs w:val="24"/>
          <w:highlight w:val="white"/>
          <w:lang w:val="en-US"/>
        </w:rPr>
        <w:t xml:space="preserve">are the spatial components, which capture the spatial structure and unstructured effects of the data respectively. These components are common among the study period. Additionally, </w:t>
      </w:r>
      <m:oMath>
        <m:sSub>
          <m:sSubPr>
            <m:ctrlPr>
              <w:rPr>
                <w:rFonts w:ascii="Cambria Math" w:hAnsi="Cambria Math"/>
              </w:rPr>
            </m:ctrlPr>
          </m:sSubPr>
          <m:e>
            <m:r>
              <w:rPr>
                <w:rFonts w:ascii="Cambria Math" w:hAnsi="Cambria Math"/>
              </w:rPr>
              <m:t>d</m:t>
            </m:r>
          </m:e>
          <m:sub>
            <m:r>
              <w:rPr>
                <w:rFonts w:ascii="Cambria Math" w:hAnsi="Cambria Math"/>
                <w:lang w:val="en-US"/>
              </w:rPr>
              <m:t>0</m:t>
            </m:r>
          </m:sub>
        </m:sSub>
        <m:sSup>
          <m:sSupPr>
            <m:ctrlPr>
              <w:rPr>
                <w:rFonts w:ascii="Cambria Math" w:hAnsi="Cambria Math"/>
              </w:rPr>
            </m:ctrlPr>
          </m:sSupPr>
          <m:e>
            <m:r>
              <w:rPr>
                <w:rFonts w:ascii="Cambria Math" w:hAnsi="Cambria Math"/>
              </w:rPr>
              <m:t>t</m:t>
            </m:r>
          </m:e>
          <m:sup>
            <m:r>
              <w:rPr>
                <w:rFonts w:ascii="Cambria Math" w:hAnsi="Cambria Math"/>
                <w:lang w:val="en-US"/>
              </w:rPr>
              <m:t>*</m:t>
            </m:r>
          </m:sup>
        </m:sSup>
        <m:r>
          <w:rPr>
            <w:rFonts w:ascii="Cambria Math" w:hAnsi="Cambria Math"/>
            <w:lang w:val="en-US"/>
          </w:rPr>
          <m:t>+</m:t>
        </m:r>
        <m:sSub>
          <m:sSubPr>
            <m:ctrlPr>
              <w:rPr>
                <w:rFonts w:ascii="Cambria Math" w:hAnsi="Cambria Math"/>
              </w:rPr>
            </m:ctrlPr>
          </m:sSubPr>
          <m:e>
            <m:r>
              <w:rPr>
                <w:rFonts w:ascii="Cambria Math" w:hAnsi="Cambria Math"/>
              </w:rPr>
              <m:t>v</m:t>
            </m:r>
          </m:e>
          <m:sub>
            <m:r>
              <w:rPr>
                <w:rFonts w:ascii="Cambria Math" w:hAnsi="Cambria Math"/>
              </w:rPr>
              <m:t>t</m:t>
            </m:r>
          </m:sub>
        </m:sSub>
      </m:oMath>
      <w:r>
        <w:rPr>
          <w:rFonts w:ascii="Times New Roman" w:hAnsi="Times New Roman" w:cs="Times New Roman"/>
          <w:sz w:val="24"/>
          <w:szCs w:val="24"/>
          <w:highlight w:val="white"/>
          <w:lang w:val="en-US"/>
        </w:rPr>
        <w:t xml:space="preserve"> is the overall time trend in </w:t>
      </w:r>
      <w:proofErr w:type="gramStart"/>
      <w:r>
        <w:rPr>
          <w:rFonts w:ascii="Times New Roman" w:hAnsi="Times New Roman" w:cs="Times New Roman"/>
          <w:sz w:val="24"/>
          <w:szCs w:val="24"/>
          <w:highlight w:val="white"/>
          <w:lang w:val="en-US"/>
        </w:rPr>
        <w:t>all of</w:t>
      </w:r>
      <w:proofErr w:type="gramEnd"/>
      <w:r>
        <w:rPr>
          <w:rFonts w:ascii="Times New Roman" w:hAnsi="Times New Roman" w:cs="Times New Roman"/>
          <w:sz w:val="24"/>
          <w:szCs w:val="24"/>
          <w:highlight w:val="white"/>
          <w:lang w:val="en-US"/>
        </w:rPr>
        <w:t xml:space="preserve"> the municipalities. The fir</w:t>
      </w:r>
      <w:proofErr w:type="spellStart"/>
      <w:r>
        <w:rPr>
          <w:rFonts w:ascii="Times New Roman" w:hAnsi="Times New Roman" w:cs="Times New Roman"/>
          <w:sz w:val="24"/>
          <w:szCs w:val="24"/>
          <w:highlight w:val="white"/>
          <w:lang w:val="en-US"/>
        </w:rPr>
        <w:t>st</w:t>
      </w:r>
      <w:proofErr w:type="spellEnd"/>
      <w:r>
        <w:rPr>
          <w:rFonts w:ascii="Times New Roman" w:hAnsi="Times New Roman" w:cs="Times New Roman"/>
          <w:sz w:val="24"/>
          <w:szCs w:val="24"/>
          <w:highlight w:val="white"/>
          <w:lang w:val="en-US"/>
        </w:rPr>
        <w:t xml:space="preserve"> term </w:t>
      </w:r>
      <w:r w:rsidRPr="002027C8">
        <w:rPr>
          <w:rFonts w:ascii="Times New Roman" w:eastAsiaTheme="minorEastAsia" w:hAnsi="Times New Roman" w:cs="Times New Roman"/>
          <w:sz w:val="24"/>
          <w:szCs w:val="24"/>
          <w:shd w:val="clear" w:color="auto" w:fill="FFFFFF" w:themeFill="background1"/>
          <w:lang w:val="en-US"/>
        </w:rPr>
        <w:t>(</w:t>
      </w:r>
      <m:oMath>
        <m:sSub>
          <m:sSubPr>
            <m:ctrlPr>
              <w:rPr>
                <w:rFonts w:ascii="Cambria Math" w:hAnsi="Cambria Math" w:cs="Times New Roman"/>
                <w:i/>
                <w:sz w:val="24"/>
                <w:szCs w:val="24"/>
                <w:shd w:val="clear" w:color="auto" w:fill="FFFFFF" w:themeFill="background1"/>
              </w:rPr>
            </m:ctrlPr>
          </m:sSubPr>
          <m:e>
            <m:r>
              <w:rPr>
                <w:rFonts w:ascii="Cambria Math" w:hAnsi="Cambria Math" w:cs="Times New Roman"/>
                <w:sz w:val="24"/>
                <w:szCs w:val="24"/>
                <w:shd w:val="clear" w:color="auto" w:fill="FFFFFF" w:themeFill="background1"/>
              </w:rPr>
              <m:t>d</m:t>
            </m:r>
          </m:e>
          <m:sub>
            <m:r>
              <w:rPr>
                <w:rFonts w:ascii="Cambria Math" w:hAnsi="Cambria Math" w:cs="Times New Roman"/>
                <w:sz w:val="24"/>
                <w:szCs w:val="24"/>
                <w:shd w:val="clear" w:color="auto" w:fill="FFFFFF" w:themeFill="background1"/>
                <w:lang w:val="en-US"/>
              </w:rPr>
              <m:t>0</m:t>
            </m:r>
          </m:sub>
        </m:sSub>
        <m:sSup>
          <m:sSupPr>
            <m:ctrlPr>
              <w:rPr>
                <w:rFonts w:ascii="Cambria Math" w:hAnsi="Cambria Math" w:cs="Times New Roman"/>
                <w:i/>
                <w:sz w:val="24"/>
                <w:szCs w:val="24"/>
                <w:shd w:val="clear" w:color="auto" w:fill="FFFFFF" w:themeFill="background1"/>
              </w:rPr>
            </m:ctrlPr>
          </m:sSupPr>
          <m:e>
            <m:r>
              <w:rPr>
                <w:rFonts w:ascii="Cambria Math" w:hAnsi="Cambria Math" w:cs="Times New Roman"/>
                <w:sz w:val="24"/>
                <w:szCs w:val="24"/>
                <w:shd w:val="clear" w:color="auto" w:fill="FFFFFF" w:themeFill="background1"/>
              </w:rPr>
              <m:t>t</m:t>
            </m:r>
          </m:e>
          <m:sup>
            <m:r>
              <w:rPr>
                <w:rFonts w:ascii="Cambria Math" w:hAnsi="Cambria Math" w:cs="Times New Roman"/>
                <w:sz w:val="24"/>
                <w:szCs w:val="24"/>
                <w:shd w:val="clear" w:color="auto" w:fill="FFFFFF" w:themeFill="background1"/>
                <w:lang w:val="en-US"/>
              </w:rPr>
              <m:t>*</m:t>
            </m:r>
          </m:sup>
        </m:sSup>
      </m:oMath>
      <w:r w:rsidRPr="002027C8">
        <w:rPr>
          <w:rFonts w:ascii="Times New Roman" w:eastAsiaTheme="minorEastAsia" w:hAnsi="Times New Roman" w:cs="Times New Roman"/>
          <w:sz w:val="24"/>
          <w:szCs w:val="24"/>
          <w:shd w:val="clear" w:color="auto" w:fill="FFFFFF" w:themeFill="background1"/>
          <w:lang w:val="en-US"/>
        </w:rPr>
        <w:t>)</w:t>
      </w:r>
      <w:r>
        <w:rPr>
          <w:rFonts w:ascii="Times New Roman" w:hAnsi="Times New Roman" w:cs="Times New Roman"/>
          <w:sz w:val="24"/>
          <w:szCs w:val="24"/>
          <w:highlight w:val="white"/>
          <w:lang w:val="en-US"/>
        </w:rPr>
        <w:t xml:space="preserve"> assesses the linear trend, and the second</w:t>
      </w:r>
      <w:r w:rsidRPr="002027C8">
        <w:rPr>
          <w:rFonts w:ascii="Times New Roman" w:eastAsiaTheme="minorEastAsia" w:hAnsi="Times New Roman" w:cs="Times New Roman"/>
          <w:sz w:val="24"/>
          <w:szCs w:val="24"/>
          <w:shd w:val="clear" w:color="auto" w:fill="FFFFFF" w:themeFill="background1"/>
          <w:lang w:val="en-US"/>
        </w:rPr>
        <w:t xml:space="preserve"> </w:t>
      </w:r>
      <w:r>
        <w:rPr>
          <w:rFonts w:ascii="Times New Roman" w:eastAsiaTheme="minorEastAsia" w:hAnsi="Times New Roman" w:cs="Times New Roman"/>
          <w:sz w:val="24"/>
          <w:szCs w:val="24"/>
          <w:shd w:val="clear" w:color="auto" w:fill="FFFFFF" w:themeFill="background1"/>
          <w:lang w:val="en-US"/>
        </w:rPr>
        <w:t>(</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t</m:t>
            </m:r>
          </m:sub>
        </m:sSub>
      </m:oMath>
      <w:r w:rsidRPr="00AC4380">
        <w:rPr>
          <w:rFonts w:ascii="Times New Roman" w:eastAsiaTheme="minorEastAsia" w:hAnsi="Times New Roman" w:cs="Times New Roman"/>
          <w:sz w:val="24"/>
          <w:szCs w:val="24"/>
          <w:lang w:val="en-US"/>
        </w:rPr>
        <w:t>)</w:t>
      </w:r>
      <w:r w:rsidRPr="002027C8">
        <w:rPr>
          <w:rFonts w:ascii="Times New Roman" w:eastAsiaTheme="minorEastAsia" w:hAnsi="Times New Roman" w:cs="Times New Roman"/>
          <w:sz w:val="24"/>
          <w:szCs w:val="24"/>
          <w:shd w:val="clear" w:color="auto" w:fill="FFFFFF" w:themeFill="background1"/>
          <w:lang w:val="en-US"/>
        </w:rPr>
        <w:t>,</w:t>
      </w:r>
      <w:r>
        <w:rPr>
          <w:rFonts w:ascii="Times New Roman" w:hAnsi="Times New Roman" w:cs="Times New Roman"/>
          <w:sz w:val="24"/>
          <w:szCs w:val="24"/>
          <w:lang w:val="en-US"/>
        </w:rPr>
        <w:t xml:space="preserve"> with additional Gaussian noise, allows for nonlinearity </w:t>
      </w:r>
      <w:r w:rsidRPr="00047B39">
        <w:rPr>
          <w:rFonts w:ascii="Times New Roman" w:hAnsi="Times New Roman" w:cs="Times New Roman"/>
          <w:sz w:val="24"/>
          <w:szCs w:val="24"/>
          <w:lang w:val="en-US"/>
        </w:rPr>
        <w:t xml:space="preserve">in the overall trend pattern;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t</m:t>
            </m:r>
          </m:sub>
        </m:sSub>
        <m:r>
          <w:rPr>
            <w:rFonts w:ascii="Cambria Math" w:hAnsi="Cambria Math" w:cs="Times New Roman"/>
            <w:sz w:val="24"/>
            <w:szCs w:val="24"/>
            <w:lang w:val="en-US"/>
          </w:rPr>
          <m:t xml:space="preserve"> </m:t>
        </m:r>
      </m:oMath>
      <w:r w:rsidRPr="00047B39">
        <w:rPr>
          <w:rFonts w:ascii="Times New Roman" w:hAnsi="Times New Roman" w:cs="Times New Roman"/>
          <w:sz w:val="24"/>
          <w:szCs w:val="24"/>
          <w:lang w:val="en-US"/>
        </w:rPr>
        <w:t xml:space="preserve">follows a normal distribution,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t</m:t>
            </m:r>
          </m:sub>
        </m:sSub>
        <m:r>
          <w:rPr>
            <w:rFonts w:ascii="Cambria Math" w:eastAsiaTheme="minorEastAsia" w:hAnsi="Cambria Math" w:cs="Times New Roman"/>
            <w:sz w:val="24"/>
            <w:szCs w:val="24"/>
            <w:lang w:val="en-US"/>
          </w:rPr>
          <m:t xml:space="preserve"> ~ </m:t>
        </m:r>
        <m:r>
          <w:rPr>
            <w:rFonts w:ascii="Cambria Math" w:eastAsiaTheme="minorEastAsia" w:hAnsi="Cambria Math" w:cs="Times New Roman"/>
            <w:sz w:val="24"/>
            <w:szCs w:val="24"/>
          </w:rPr>
          <m:t>N</m:t>
        </m:r>
        <m:r>
          <w:rPr>
            <w:rFonts w:ascii="Cambria Math" w:eastAsiaTheme="minorEastAsia" w:hAnsi="Cambria Math" w:cs="Times New Roman"/>
            <w:sz w:val="24"/>
            <w:szCs w:val="24"/>
            <w:lang w:val="en-US"/>
          </w:rPr>
          <m:t xml:space="preserve">(0,  </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w:rPr>
                <w:rFonts w:ascii="Cambria Math" w:eastAsiaTheme="minorEastAsia" w:hAnsi="Cambria Math" w:cs="Times New Roman"/>
                <w:sz w:val="24"/>
                <w:szCs w:val="24"/>
              </w:rPr>
              <m:t>v</m:t>
            </m:r>
          </m:sub>
          <m:sup>
            <m:r>
              <w:rPr>
                <w:rFonts w:ascii="Cambria Math" w:eastAsiaTheme="minorEastAsia" w:hAnsi="Cambria Math" w:cs="Times New Roman"/>
                <w:sz w:val="24"/>
                <w:szCs w:val="24"/>
                <w:lang w:val="en-US"/>
              </w:rPr>
              <m:t>2</m:t>
            </m:r>
          </m:sup>
        </m:sSubSup>
        <m:r>
          <w:rPr>
            <w:rFonts w:ascii="Cambria Math" w:eastAsiaTheme="minorEastAsia" w:hAnsi="Cambria Math" w:cs="Times New Roman"/>
            <w:sz w:val="24"/>
            <w:szCs w:val="24"/>
            <w:lang w:val="en-US"/>
          </w:rPr>
          <m:t>)</m:t>
        </m:r>
      </m:oMath>
      <w:r w:rsidRPr="00047B39">
        <w:rPr>
          <w:rFonts w:ascii="Times New Roman" w:hAnsi="Times New Roman" w:cs="Times New Roman"/>
          <w:sz w:val="24"/>
          <w:szCs w:val="24"/>
          <w:lang w:val="en-US"/>
        </w:rPr>
        <w:t xml:space="preserve">. Note that </w:t>
      </w:r>
      <w:bookmarkStart w:id="45" w:name="_Hlk23689426"/>
      <m:oMath>
        <m:sSup>
          <m:sSupPr>
            <m:ctrlPr>
              <w:rPr>
                <w:rFonts w:ascii="Cambria Math" w:hAnsi="Cambria Math"/>
              </w:rPr>
            </m:ctrlPr>
          </m:sSupPr>
          <m:e>
            <m:r>
              <w:rPr>
                <w:rFonts w:ascii="Cambria Math" w:hAnsi="Cambria Math"/>
              </w:rPr>
              <m:t>t</m:t>
            </m:r>
          </m:e>
          <m:sup>
            <m:r>
              <w:rPr>
                <w:rFonts w:ascii="Cambria Math" w:hAnsi="Cambria Math"/>
                <w:lang w:val="en-US"/>
              </w:rPr>
              <m:t>*</m:t>
            </m:r>
          </m:sup>
        </m:sSup>
      </m:oMath>
      <w:r w:rsidRPr="00047B39">
        <w:rPr>
          <w:rFonts w:ascii="Times New Roman" w:hAnsi="Times New Roman" w:cs="Times New Roman"/>
          <w:sz w:val="24"/>
          <w:szCs w:val="24"/>
          <w:lang w:val="en-US"/>
        </w:rPr>
        <w:t xml:space="preserve"> is </w:t>
      </w:r>
      <w:r>
        <w:rPr>
          <w:rFonts w:ascii="Times New Roman" w:hAnsi="Times New Roman" w:cs="Times New Roman"/>
          <w:sz w:val="24"/>
          <w:szCs w:val="24"/>
          <w:highlight w:val="white"/>
          <w:lang w:val="en-US"/>
        </w:rPr>
        <w:t xml:space="preserve">centered at the mid observation period, </w:t>
      </w:r>
      <m:oMath>
        <m:sSup>
          <m:sSupPr>
            <m:ctrlPr>
              <w:rPr>
                <w:rFonts w:ascii="Cambria Math" w:hAnsi="Cambria Math"/>
              </w:rPr>
            </m:ctrlPr>
          </m:sSupPr>
          <m:e>
            <m:r>
              <w:rPr>
                <w:rFonts w:ascii="Cambria Math" w:hAnsi="Cambria Math"/>
              </w:rPr>
              <m:t>t</m:t>
            </m:r>
          </m:e>
          <m:sup>
            <m:r>
              <w:rPr>
                <w:rFonts w:ascii="Cambria Math" w:hAnsi="Cambria Math"/>
                <w:lang w:val="en-US"/>
              </w:rPr>
              <m:t>*</m:t>
            </m:r>
          </m:sup>
        </m:sSup>
        <m:r>
          <w:rPr>
            <w:rFonts w:ascii="Cambria Math" w:hAnsi="Cambria Math"/>
            <w:lang w:val="en-US"/>
          </w:rPr>
          <m:t>=</m:t>
        </m:r>
        <m:r>
          <w:rPr>
            <w:rFonts w:ascii="Cambria Math" w:hAnsi="Cambria Math"/>
          </w:rPr>
          <m:t>t</m:t>
        </m:r>
        <m:r>
          <w:rPr>
            <w:rFonts w:ascii="Cambria Math" w:hAnsi="Cambria Math"/>
            <w:lang w:val="en-US"/>
          </w:rPr>
          <m:t>-4</m:t>
        </m:r>
      </m:oMath>
      <w:bookmarkEnd w:id="45"/>
      <w:r>
        <w:rPr>
          <w:rFonts w:ascii="Times New Roman" w:hAnsi="Times New Roman" w:cs="Times New Roman"/>
          <w:sz w:val="24"/>
          <w:szCs w:val="24"/>
          <w:highlight w:val="white"/>
          <w:lang w:val="en-US"/>
        </w:rPr>
        <w:t xml:space="preserve">. </w:t>
      </w:r>
      <w:r>
        <w:rPr>
          <w:rFonts w:ascii="Times New Roman" w:hAnsi="Times New Roman" w:cs="Times New Roman"/>
          <w:sz w:val="24"/>
          <w:szCs w:val="24"/>
          <w:lang w:val="en-US"/>
        </w:rPr>
        <w:t xml:space="preserve">The expression </w:t>
      </w:r>
      <m:oMath>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sSup>
          <m:sSupPr>
            <m:ctrlPr>
              <w:rPr>
                <w:rFonts w:ascii="Cambria Math" w:hAnsi="Cambria Math"/>
              </w:rPr>
            </m:ctrlPr>
          </m:sSupPr>
          <m:e>
            <m:r>
              <w:rPr>
                <w:rFonts w:ascii="Cambria Math" w:hAnsi="Cambria Math"/>
              </w:rPr>
              <m:t>t</m:t>
            </m:r>
          </m:e>
          <m:sup>
            <m:r>
              <w:rPr>
                <w:rFonts w:ascii="Cambria Math" w:hAnsi="Cambria Math"/>
                <w:lang w:val="en-US"/>
              </w:rPr>
              <m:t>*</m:t>
            </m:r>
          </m:sup>
        </m:sSup>
      </m:oMath>
      <w:r>
        <w:rPr>
          <w:rFonts w:ascii="Times New Roman" w:hAnsi="Times New Roman" w:cs="Times New Roman"/>
          <w:sz w:val="24"/>
          <w:szCs w:val="24"/>
          <w:lang w:val="en-US"/>
        </w:rPr>
        <w:t xml:space="preserve"> denotes the spatio-temporal structure of the data, which permits each municipality to have a different trend from the overall time trend-pattern. This term plays an important role co</w:t>
      </w:r>
      <w:proofErr w:type="spellStart"/>
      <w:r>
        <w:rPr>
          <w:rFonts w:ascii="Times New Roman" w:hAnsi="Times New Roman" w:cs="Times New Roman"/>
          <w:sz w:val="24"/>
          <w:szCs w:val="24"/>
          <w:lang w:val="en-US"/>
        </w:rPr>
        <w:t>nsidering</w:t>
      </w:r>
      <w:proofErr w:type="spellEnd"/>
      <w:r>
        <w:rPr>
          <w:rFonts w:ascii="Times New Roman" w:hAnsi="Times New Roman" w:cs="Times New Roman"/>
          <w:sz w:val="24"/>
          <w:szCs w:val="24"/>
          <w:lang w:val="en-US"/>
        </w:rPr>
        <w:t xml:space="preserve"> that child mortality trends exhibit variability at the local level (see figure 1). Thus, </w:t>
      </w:r>
      <m:oMath>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sSup>
          <m:sSupPr>
            <m:ctrlPr>
              <w:rPr>
                <w:rFonts w:ascii="Cambria Math" w:hAnsi="Cambria Math"/>
              </w:rPr>
            </m:ctrlPr>
          </m:sSupPr>
          <m:e>
            <m:r>
              <w:rPr>
                <w:rFonts w:ascii="Cambria Math" w:hAnsi="Cambria Math"/>
              </w:rPr>
              <m:t>t</m:t>
            </m:r>
          </m:e>
          <m:sup>
            <m:r>
              <w:rPr>
                <w:rFonts w:ascii="Cambria Math" w:hAnsi="Cambria Math"/>
                <w:lang w:val="en-US"/>
              </w:rPr>
              <m:t>*</m:t>
            </m:r>
          </m:sup>
        </m:sSup>
      </m:oMath>
      <w:r>
        <w:rPr>
          <w:rFonts w:ascii="Times New Roman" w:hAnsi="Times New Roman" w:cs="Times New Roman"/>
          <w:sz w:val="24"/>
          <w:szCs w:val="24"/>
          <w:lang w:val="en-US"/>
        </w:rPr>
        <w:t xml:space="preserve"> represents, and assumes, a linear departure of the municipality temporal trend from the common trend; such local trend can have an increasing, decre</w:t>
      </w:r>
      <w:proofErr w:type="spellStart"/>
      <w:r>
        <w:rPr>
          <w:rFonts w:ascii="Times New Roman" w:hAnsi="Times New Roman" w:cs="Times New Roman"/>
          <w:sz w:val="24"/>
          <w:szCs w:val="24"/>
          <w:lang w:val="en-US"/>
        </w:rPr>
        <w:t>asing</w:t>
      </w:r>
      <w:proofErr w:type="spellEnd"/>
      <w:r>
        <w:rPr>
          <w:rFonts w:ascii="Times New Roman" w:hAnsi="Times New Roman" w:cs="Times New Roman"/>
          <w:sz w:val="24"/>
          <w:szCs w:val="24"/>
          <w:lang w:val="en-US"/>
        </w:rPr>
        <w:t xml:space="preserve"> or stable tendency from the overall linear pattern. Finally, </w:t>
      </w:r>
      <w:r w:rsidRPr="00E8606D">
        <w:rPr>
          <w:rFonts w:ascii="Times New Roman" w:eastAsiaTheme="minorEastAsia" w:hAnsi="Times New Roman" w:cs="Times New Roman"/>
          <w:sz w:val="24"/>
          <w:szCs w:val="24"/>
          <w:lang w:val="en-US"/>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it</m:t>
            </m:r>
          </m:sub>
        </m:sSub>
        <m:r>
          <w:rPr>
            <w:rFonts w:ascii="Cambria Math" w:hAnsi="Cambria Math" w:cs="Times New Roman"/>
            <w:sz w:val="24"/>
            <w:szCs w:val="24"/>
            <w:lang w:val="en-US"/>
          </w:rPr>
          <m:t>~N(</m:t>
        </m:r>
        <m:r>
          <w:rPr>
            <w:rFonts w:ascii="Cambria Math" w:eastAsiaTheme="minorEastAsia" w:hAnsi="Cambria Math" w:cs="Times New Roman"/>
            <w:sz w:val="24"/>
            <w:szCs w:val="24"/>
            <w:lang w:val="en-US"/>
          </w:rPr>
          <m:t>0,</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σ</m:t>
            </m:r>
          </m:e>
          <m:sub>
            <m:r>
              <m:rPr>
                <m:scr m:val="script"/>
              </m:rPr>
              <w:rPr>
                <w:rFonts w:ascii="Cambria Math" w:eastAsiaTheme="minorEastAsia" w:hAnsi="Cambria Math" w:cs="Times New Roman"/>
                <w:sz w:val="24"/>
                <w:szCs w:val="24"/>
                <w:lang w:val="en-US"/>
              </w:rPr>
              <m:t>E</m:t>
            </m:r>
          </m:sub>
          <m:sup>
            <m:r>
              <w:rPr>
                <w:rFonts w:ascii="Cambria Math" w:eastAsiaTheme="minorEastAsia" w:hAnsi="Cambria Math" w:cs="Times New Roman"/>
                <w:sz w:val="24"/>
                <w:szCs w:val="24"/>
                <w:lang w:val="en-US"/>
              </w:rPr>
              <m:t>2</m:t>
            </m:r>
          </m:sup>
        </m:sSubSup>
        <m:r>
          <w:rPr>
            <w:rFonts w:ascii="Cambria Math" w:hAnsi="Cambria Math" w:cs="Times New Roman"/>
            <w:sz w:val="24"/>
            <w:szCs w:val="24"/>
            <w:lang w:val="en-US"/>
          </w:rPr>
          <m:t>)</m:t>
        </m:r>
      </m:oMath>
      <w:r>
        <w:rPr>
          <w:rFonts w:ascii="Times New Roman" w:hAnsi="Times New Roman" w:cs="Times New Roman"/>
          <w:sz w:val="24"/>
          <w:szCs w:val="24"/>
          <w:lang w:val="en-US"/>
        </w:rPr>
        <w:t xml:space="preserve"> is the component addressed to contain the variability that is not explained by other terms, and may include overdispersion; that is, when the variation of the data is higher than its mean –a common characteristic of binomial models </w:t>
      </w:r>
      <w:r>
        <w:fldChar w:fldCharType="begin"/>
      </w:r>
      <w:r>
        <w:rPr>
          <w:rFonts w:ascii="Times New Roman" w:hAnsi="Times New Roman" w:cs="Times New Roman"/>
          <w:sz w:val="24"/>
          <w:szCs w:val="24"/>
          <w:lang w:val="en-US"/>
        </w:rPr>
        <w:instrText>ADDIN CSL_CITATION {"citationItems":[{"id":"ITEM-1","itemData":{"ISSN":"0162-1459","author":[{"dropping-particle":"","family":"Dean","given":"Charmaine B","non-dropping-particle":"","parse-names":false,"suffix":""}],"container-title":"Journal of the American Statistical Association","id":"ITEM-1","issue":"418","issued":{"date-parts":[["1992"]]},"page":"451-457","publisher":"Taylor &amp; Francis Group","title":"Testing for overdispersion in Poisson and binomial regression models","type":"article-journal","volume":"87"},"uris":["http://www.mendeley.com/documents/?uuid=37e532ff-e695-4ac0-956d-ea4f443e97b4"]}],"mendeley":{"formattedCitation":"[27]","plainTextFormattedCitation":"[27]","previouslyFormattedCitation":"[27]"},"properties":{"noteIndex":0},"schema":"https://github.com/citation-style-language/schema/raw/master/csl-citation.json"}</w:instrText>
      </w:r>
      <w:r>
        <w:rPr>
          <w:rFonts w:ascii="Times New Roman" w:hAnsi="Times New Roman" w:cs="Times New Roman"/>
          <w:sz w:val="24"/>
          <w:szCs w:val="24"/>
          <w:lang w:val="en-US"/>
        </w:rPr>
        <w:fldChar w:fldCharType="separate"/>
      </w:r>
      <w:bookmarkStart w:id="46" w:name="__Fieldmark__4939_3388232369"/>
      <w:r>
        <w:rPr>
          <w:rFonts w:ascii="Times New Roman" w:hAnsi="Times New Roman" w:cs="Times New Roman"/>
          <w:sz w:val="24"/>
          <w:szCs w:val="24"/>
          <w:lang w:val="en-US"/>
        </w:rPr>
        <w:t>[</w:t>
      </w:r>
      <w:bookmarkStart w:id="47" w:name="__Fieldmark__6277_3330640344"/>
      <w:r>
        <w:rPr>
          <w:rFonts w:ascii="Times New Roman" w:hAnsi="Times New Roman" w:cs="Times New Roman"/>
          <w:sz w:val="24"/>
          <w:szCs w:val="24"/>
          <w:lang w:val="en-US"/>
        </w:rPr>
        <w:t>2</w:t>
      </w:r>
      <w:bookmarkStart w:id="48" w:name="__Fieldmark__1809_3330640344"/>
      <w:r>
        <w:rPr>
          <w:rFonts w:ascii="Times New Roman" w:hAnsi="Times New Roman" w:cs="Times New Roman"/>
          <w:sz w:val="24"/>
          <w:szCs w:val="24"/>
          <w:lang w:val="en-US"/>
        </w:rPr>
        <w:t>7</w:t>
      </w:r>
      <w:bookmarkStart w:id="49" w:name="__Fieldmark__1703_2931434481"/>
      <w:r>
        <w:rPr>
          <w:rFonts w:ascii="Times New Roman" w:hAnsi="Times New Roman" w:cs="Times New Roman"/>
          <w:sz w:val="24"/>
          <w:szCs w:val="24"/>
          <w:lang w:val="en-US"/>
        </w:rPr>
        <w:t>]</w:t>
      </w:r>
      <w:bookmarkStart w:id="50" w:name="__Fieldmark__1500_3608036270"/>
      <w:r>
        <w:rPr>
          <w:rFonts w:ascii="Times New Roman" w:hAnsi="Times New Roman" w:cs="Times New Roman"/>
          <w:sz w:val="24"/>
          <w:szCs w:val="24"/>
          <w:lang w:val="en-US"/>
        </w:rPr>
        <w:fldChar w:fldCharType="end"/>
      </w:r>
      <w:bookmarkStart w:id="51" w:name="__Fieldmark__939_1945620222"/>
      <w:bookmarkStart w:id="52" w:name="__Fieldmark__1414_4225242957"/>
      <w:bookmarkStart w:id="53" w:name="__Fieldmark__698_764764431"/>
      <w:bookmarkStart w:id="54" w:name="__Fieldmark__4136_1653188140"/>
      <w:bookmarkStart w:id="55" w:name="__Fieldmark__1101_2099061544"/>
      <w:bookmarkStart w:id="56" w:name="__Fieldmark__2688_937858342"/>
      <w:bookmarkStart w:id="57" w:name="__Fieldmark__1030_1004872872"/>
      <w:bookmarkStart w:id="58" w:name="__Fieldmark__1326_3401069794"/>
      <w:bookmarkEnd w:id="46"/>
      <w:bookmarkEnd w:id="47"/>
      <w:bookmarkEnd w:id="48"/>
      <w:bookmarkEnd w:id="49"/>
      <w:bookmarkEnd w:id="50"/>
      <w:bookmarkEnd w:id="51"/>
      <w:bookmarkEnd w:id="52"/>
      <w:bookmarkEnd w:id="53"/>
      <w:bookmarkEnd w:id="54"/>
      <w:bookmarkEnd w:id="55"/>
      <w:bookmarkEnd w:id="56"/>
      <w:bookmarkEnd w:id="57"/>
      <w:bookmarkEnd w:id="58"/>
      <w:r>
        <w:rPr>
          <w:rFonts w:ascii="Times New Roman" w:hAnsi="Times New Roman" w:cs="Times New Roman"/>
          <w:sz w:val="24"/>
          <w:szCs w:val="24"/>
          <w:lang w:val="en-US"/>
        </w:rPr>
        <w:t xml:space="preserve">, </w:t>
      </w:r>
      <w:r>
        <w:fldChar w:fldCharType="begin"/>
      </w:r>
      <w:r>
        <w:rPr>
          <w:rFonts w:ascii="Times New Roman" w:hAnsi="Times New Roman" w:cs="Times New Roman"/>
          <w:sz w:val="24"/>
          <w:szCs w:val="24"/>
          <w:lang w:val="en-US"/>
        </w:rPr>
        <w:instrText>ADDIN CSL_CITATION {"citationItems":[{"id":"ITEM-1","itemData":{"ISSN":"0378-3758","author":[{"dropping-particle":"","family":"Yang","given":"Zhao","non-dropping-particle":"","parse-names":false,"suffix":""},{"dropping-particle":"","family":"Hardin","given":"James W","non-dropping-particle":"","parse-names":false,"suffix":""},{"dropping-particle":"","family":"Addy","given":"Cheryl L","non-dropping-particle":"","parse-names":false,"suffix":""}],"container-title":"Journal of Statistical Planning and Inference","id":"ITEM-1","issue":"10","issued":{"date-parts":[["2009"]]},"page":"3675-3678","publisher":"Elsevier","title":"A note on Dean's overdispersion test","type":"article-journal","volume":"139"},"uris":["http://www.mendeley.com/documents/?uuid=066d22fd-28bc-441a-a9eb-219e41e2c616"]}],"mendeley":{"formattedCitation":"[28]","plainTextFormattedCitation":"[28]","previouslyFormattedCitation":"[28]"},"properties":{"noteIndex":0},"schema":"https://github.com/citation-style-language/schema/raw/master/csl-citation.json"}</w:instrText>
      </w:r>
      <w:r>
        <w:rPr>
          <w:rFonts w:ascii="Times New Roman" w:hAnsi="Times New Roman" w:cs="Times New Roman"/>
          <w:sz w:val="24"/>
          <w:szCs w:val="24"/>
          <w:lang w:val="en-US"/>
        </w:rPr>
        <w:fldChar w:fldCharType="separate"/>
      </w:r>
      <w:bookmarkStart w:id="59" w:name="__Fieldmark__4982_3388232369"/>
      <w:r>
        <w:rPr>
          <w:rFonts w:ascii="Times New Roman" w:hAnsi="Times New Roman" w:cs="Times New Roman"/>
          <w:sz w:val="24"/>
          <w:szCs w:val="24"/>
          <w:lang w:val="en-US"/>
        </w:rPr>
        <w:t>[</w:t>
      </w:r>
      <w:bookmarkStart w:id="60" w:name="__Fieldmark__6317_3330640344"/>
      <w:r>
        <w:rPr>
          <w:rFonts w:ascii="Times New Roman" w:hAnsi="Times New Roman" w:cs="Times New Roman"/>
          <w:sz w:val="24"/>
          <w:szCs w:val="24"/>
          <w:lang w:val="en-US"/>
        </w:rPr>
        <w:t>2</w:t>
      </w:r>
      <w:bookmarkStart w:id="61" w:name="__Fieldmark__1846_3330640344"/>
      <w:r>
        <w:rPr>
          <w:rFonts w:ascii="Times New Roman" w:hAnsi="Times New Roman" w:cs="Times New Roman"/>
          <w:sz w:val="24"/>
          <w:szCs w:val="24"/>
          <w:lang w:val="en-US"/>
        </w:rPr>
        <w:t>8</w:t>
      </w:r>
      <w:bookmarkStart w:id="62" w:name="__Fieldmark__1737_2931434481"/>
      <w:r>
        <w:rPr>
          <w:rFonts w:ascii="Times New Roman" w:hAnsi="Times New Roman" w:cs="Times New Roman"/>
          <w:sz w:val="24"/>
          <w:szCs w:val="24"/>
          <w:lang w:val="en-US"/>
        </w:rPr>
        <w:t>]</w:t>
      </w:r>
      <w:bookmarkStart w:id="63" w:name="__Fieldmark__1531_3608036270"/>
      <w:r>
        <w:rPr>
          <w:rFonts w:ascii="Times New Roman" w:hAnsi="Times New Roman" w:cs="Times New Roman"/>
          <w:sz w:val="24"/>
          <w:szCs w:val="24"/>
          <w:lang w:val="en-US"/>
        </w:rPr>
        <w:fldChar w:fldCharType="end"/>
      </w:r>
      <w:bookmarkStart w:id="64" w:name="__Fieldmark__705_764764431"/>
      <w:bookmarkStart w:id="65" w:name="__Fieldmark__1442_4225242957"/>
      <w:bookmarkStart w:id="66" w:name="__Fieldmark__950_1945620222"/>
      <w:bookmarkStart w:id="67" w:name="__Fieldmark__1107_2099061544"/>
      <w:bookmarkStart w:id="68" w:name="__Fieldmark__2710_937858342"/>
      <w:bookmarkStart w:id="69" w:name="__Fieldmark__1045_1004872872"/>
      <w:bookmarkStart w:id="70" w:name="__Fieldmark__1351_3401069794"/>
      <w:bookmarkStart w:id="71" w:name="__Fieldmark__4155_1653188140"/>
      <w:bookmarkEnd w:id="59"/>
      <w:bookmarkEnd w:id="60"/>
      <w:bookmarkEnd w:id="61"/>
      <w:bookmarkEnd w:id="62"/>
      <w:bookmarkEnd w:id="63"/>
      <w:bookmarkEnd w:id="64"/>
      <w:bookmarkEnd w:id="65"/>
      <w:bookmarkEnd w:id="66"/>
      <w:bookmarkEnd w:id="67"/>
      <w:bookmarkEnd w:id="68"/>
      <w:bookmarkEnd w:id="69"/>
      <w:bookmarkEnd w:id="70"/>
      <w:bookmarkEnd w:id="71"/>
      <w:r>
        <w:rPr>
          <w:rFonts w:ascii="Times New Roman" w:hAnsi="Times New Roman" w:cs="Times New Roman"/>
          <w:sz w:val="24"/>
          <w:szCs w:val="24"/>
          <w:lang w:val="en-US"/>
        </w:rPr>
        <w:t>.</w:t>
      </w:r>
    </w:p>
    <w:p w14:paraId="567F1594" w14:textId="77777777" w:rsidR="006E5D69" w:rsidRDefault="006E5D69" w:rsidP="006E5D69">
      <w:pPr>
        <w:spacing w:after="159"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We assigned the BYM (</w:t>
      </w:r>
      <w:proofErr w:type="spellStart"/>
      <w:r>
        <w:rPr>
          <w:rFonts w:ascii="Times New Roman" w:hAnsi="Times New Roman" w:cs="Times New Roman"/>
          <w:sz w:val="24"/>
          <w:szCs w:val="24"/>
          <w:lang w:val="en-US"/>
        </w:rPr>
        <w:t>Besag</w:t>
      </w:r>
      <w:proofErr w:type="spellEnd"/>
      <w:r>
        <w:rPr>
          <w:rFonts w:ascii="Times New Roman" w:hAnsi="Times New Roman" w:cs="Times New Roman"/>
          <w:sz w:val="24"/>
          <w:szCs w:val="24"/>
          <w:lang w:val="en-US"/>
        </w:rPr>
        <w:t xml:space="preserve">, York, and </w:t>
      </w:r>
      <w:proofErr w:type="spellStart"/>
      <w:r>
        <w:rPr>
          <w:rFonts w:ascii="Times New Roman" w:hAnsi="Times New Roman" w:cs="Times New Roman"/>
          <w:sz w:val="24"/>
          <w:szCs w:val="24"/>
          <w:lang w:val="en-US"/>
        </w:rPr>
        <w:t>Mollié</w:t>
      </w:r>
      <w:proofErr w:type="spellEnd"/>
      <w:r>
        <w:rPr>
          <w:rFonts w:ascii="Times New Roman" w:hAnsi="Times New Roman" w:cs="Times New Roman"/>
          <w:sz w:val="24"/>
          <w:szCs w:val="24"/>
          <w:lang w:val="en-US"/>
        </w:rPr>
        <w:t xml:space="preserve">) model </w:t>
      </w:r>
      <w:r>
        <w:fldChar w:fldCharType="begin"/>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[29]</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to the spatial components </w:t>
      </w:r>
      <m:oMath>
        <m:sSub>
          <m:sSubPr>
            <m:ctrlPr>
              <w:rPr>
                <w:rFonts w:ascii="Cambria Math" w:hAnsi="Cambria Math" w:cs="Times New Roman"/>
                <w:i/>
                <w:sz w:val="24"/>
                <w:szCs w:val="24"/>
              </w:rPr>
            </m:ctrlPr>
          </m:sSubPr>
          <m:e>
            <m:r>
              <w:rPr>
                <w:rFonts w:ascii="Cambria Math" w:hAnsi="Cambria Math" w:cs="Times New Roman"/>
                <w:sz w:val="24"/>
                <w:szCs w:val="24"/>
                <w:lang w:val="en-US"/>
              </w:rPr>
              <m:t>(</m:t>
            </m:r>
            <m:r>
              <w:rPr>
                <w:rFonts w:ascii="Cambria Math" w:hAnsi="Cambria Math" w:cs="Times New Roman"/>
                <w:sz w:val="24"/>
                <w:szCs w:val="24"/>
              </w:rPr>
              <m:t>s</m:t>
            </m:r>
          </m:e>
          <m:sub>
            <m:r>
              <w:rPr>
                <w:rFonts w:ascii="Cambria Math" w:hAnsi="Cambria Math" w:cs="Times New Roman"/>
                <w:sz w:val="24"/>
                <w:szCs w:val="24"/>
              </w:rPr>
              <m:t>i</m:t>
            </m:r>
          </m:sub>
        </m:sSub>
        <m:r>
          <w:rPr>
            <w:rFonts w:ascii="Cambria Math" w:hAnsi="Cambria Math" w:cs="Times New Roman"/>
            <w:sz w:val="24"/>
            <w:szCs w:val="24"/>
            <w:lang w:val="en-US"/>
          </w:rPr>
          <m:t xml:space="preserve"> and </m:t>
        </m:r>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r>
          <w:rPr>
            <w:rFonts w:ascii="Cambria Math" w:hAnsi="Cambria Math" w:cs="Times New Roman"/>
            <w:sz w:val="24"/>
            <w:szCs w:val="24"/>
            <w:lang w:val="en-US"/>
          </w:rPr>
          <m:t>)</m:t>
        </m:r>
      </m:oMath>
      <w:r>
        <w:rPr>
          <w:rFonts w:ascii="Times New Roman" w:hAnsi="Times New Roman" w:cs="Times New Roman"/>
          <w:sz w:val="24"/>
          <w:szCs w:val="24"/>
          <w:lang w:val="en-US"/>
        </w:rPr>
        <w:t>. Following previous studies [18], [19], [25] we allocated an intrinsic conditi</w:t>
      </w:r>
      <w:proofErr w:type="spellStart"/>
      <w:r>
        <w:rPr>
          <w:rFonts w:ascii="Times New Roman" w:hAnsi="Times New Roman" w:cs="Times New Roman"/>
          <w:sz w:val="24"/>
          <w:szCs w:val="24"/>
          <w:lang w:val="en-US"/>
        </w:rPr>
        <w:t>onal</w:t>
      </w:r>
      <w:proofErr w:type="spellEnd"/>
      <w:r>
        <w:rPr>
          <w:rFonts w:ascii="Times New Roman" w:hAnsi="Times New Roman" w:cs="Times New Roman"/>
          <w:sz w:val="24"/>
          <w:szCs w:val="24"/>
          <w:lang w:val="en-US"/>
        </w:rPr>
        <w:t xml:space="preserve"> autoregressive Gaussian distribution (ICAR) to the priors of the spatial structure </w:t>
      </w:r>
      <w:r w:rsidRPr="00E8606D">
        <w:rPr>
          <w:rFonts w:ascii="Times New Roman" w:hAnsi="Times New Roman" w:cs="Times New Roman"/>
          <w:sz w:val="24"/>
          <w:szCs w:val="24"/>
          <w:lang w:val="en-US"/>
        </w:rPr>
        <w:t>(</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oMath>
      <w:r w:rsidRPr="00E8606D">
        <w:rPr>
          <w:rFonts w:ascii="Times New Roman" w:hAnsi="Times New Roman" w:cs="Times New Roman"/>
          <w:sz w:val="24"/>
          <w:szCs w:val="24"/>
          <w:lang w:val="en-US"/>
        </w:rPr>
        <w:t>)</w:t>
      </w:r>
      <w:r>
        <w:rPr>
          <w:rFonts w:ascii="Times New Roman" w:hAnsi="Times New Roman" w:cs="Times New Roman"/>
          <w:sz w:val="24"/>
          <w:szCs w:val="24"/>
          <w:lang w:val="en-US"/>
        </w:rPr>
        <w:t xml:space="preserve"> and to the </w:t>
      </w:r>
      <w:proofErr w:type="spellStart"/>
      <w:r>
        <w:rPr>
          <w:rFonts w:ascii="Times New Roman" w:hAnsi="Times New Roman" w:cs="Times New Roman"/>
          <w:sz w:val="24"/>
          <w:szCs w:val="24"/>
          <w:lang w:val="en-US"/>
        </w:rPr>
        <w:t>spatio</w:t>
      </w:r>
      <w:proofErr w:type="spellEnd"/>
      <w:r>
        <w:rPr>
          <w:rFonts w:ascii="Times New Roman" w:hAnsi="Times New Roman" w:cs="Times New Roman"/>
          <w:sz w:val="24"/>
          <w:szCs w:val="24"/>
          <w:lang w:val="en-US"/>
        </w:rPr>
        <w:t xml:space="preserve">-temporal </w:t>
      </w:r>
      <w:r>
        <w:rPr>
          <w:rFonts w:ascii="Times New Roman" w:hAnsi="Times New Roman" w:cs="Times New Roman"/>
          <w:sz w:val="24"/>
          <w:szCs w:val="24"/>
          <w:lang w:val="en-US"/>
        </w:rPr>
        <w:lastRenderedPageBreak/>
        <w:t xml:space="preserve">interaction term </w:t>
      </w:r>
      <w:r w:rsidRPr="00E8606D">
        <w:rPr>
          <w:rFonts w:ascii="Times New Roman" w:hAnsi="Times New Roman" w:cs="Times New Roman"/>
          <w:sz w:val="24"/>
          <w:szCs w:val="24"/>
          <w:lang w:val="en-US"/>
        </w:rPr>
        <w:t>(</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E8606D">
        <w:rPr>
          <w:rFonts w:ascii="Times New Roman" w:hAnsi="Times New Roman" w:cs="Times New Roman"/>
          <w:sz w:val="24"/>
          <w:szCs w:val="24"/>
          <w:lang w:val="en-US"/>
        </w:rPr>
        <w:t>)</w:t>
      </w:r>
      <w:r>
        <w:rPr>
          <w:rFonts w:ascii="Times New Roman" w:hAnsi="Times New Roman" w:cs="Times New Roman"/>
          <w:sz w:val="24"/>
          <w:szCs w:val="24"/>
          <w:lang w:val="en-US"/>
        </w:rPr>
        <w:t>. Thus, the terms</w:t>
      </w:r>
      <w:r w:rsidRPr="00E8606D">
        <w:rPr>
          <w:rFonts w:ascii="Times New Roman" w:hAnsi="Times New Roman" w:cs="Times New Roman"/>
          <w:sz w:val="24"/>
          <w:szCs w:val="24"/>
          <w:lang w:val="en-US"/>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5E0067">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and</w:t>
      </w:r>
      <w:r w:rsidRPr="00E8606D">
        <w:rPr>
          <w:rFonts w:ascii="Times New Roman" w:hAnsi="Times New Roman" w:cs="Times New Roman"/>
          <w:sz w:val="24"/>
          <w:szCs w:val="24"/>
          <w:lang w:val="en-US"/>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oMath>
      <w:r w:rsidRPr="00E8606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depend on the </w:t>
      </w:r>
      <w:proofErr w:type="spellStart"/>
      <w:r>
        <w:rPr>
          <w:rFonts w:ascii="Times New Roman" w:hAnsi="Times New Roman" w:cs="Times New Roman"/>
          <w:sz w:val="24"/>
          <w:szCs w:val="24"/>
          <w:lang w:val="en-US"/>
        </w:rPr>
        <w:t>neighbouring</w:t>
      </w:r>
      <w:proofErr w:type="spellEnd"/>
      <w:r>
        <w:rPr>
          <w:rFonts w:ascii="Times New Roman" w:hAnsi="Times New Roman" w:cs="Times New Roman"/>
          <w:sz w:val="24"/>
          <w:szCs w:val="24"/>
          <w:lang w:val="en-US"/>
        </w:rPr>
        <w:t xml:space="preserve">, meaning that near areas are more likely to have similar values; in our specific case, it means that nearby municipalities are assumed to have similar child mortality risk rates. This is controlled by a spatial adjacency matrix </w:t>
      </w:r>
      <w:r>
        <w:rPr>
          <w:rFonts w:ascii="Times New Roman" w:hAnsi="Times New Roman" w:cs="Times New Roman"/>
          <w:i/>
          <w:iCs/>
          <w:sz w:val="24"/>
          <w:szCs w:val="24"/>
          <w:lang w:val="en-US"/>
        </w:rPr>
        <w:t>W</w:t>
      </w:r>
      <w:r>
        <w:rPr>
          <w:rFonts w:ascii="Times New Roman" w:hAnsi="Times New Roman" w:cs="Times New Roman"/>
          <w:sz w:val="24"/>
          <w:szCs w:val="24"/>
          <w:lang w:val="en-US"/>
        </w:rPr>
        <w:t xml:space="preserve"> of size </w:t>
      </w:r>
      <w:r>
        <w:rPr>
          <w:rFonts w:ascii="Times New Roman" w:hAnsi="Times New Roman" w:cs="Times New Roman"/>
          <w:i/>
          <w:iCs/>
          <w:sz w:val="24"/>
          <w:szCs w:val="24"/>
          <w:lang w:val="en-US"/>
        </w:rPr>
        <w:t>N x N,</w:t>
      </w:r>
      <w:r>
        <w:rPr>
          <w:rFonts w:ascii="Times New Roman" w:hAnsi="Times New Roman" w:cs="Times New Roman"/>
          <w:sz w:val="24"/>
          <w:szCs w:val="24"/>
          <w:lang w:val="en-US"/>
        </w:rPr>
        <w:t xml:space="preserve"> where the diagonal values are </w:t>
      </w:r>
      <w:proofErr w:type="spellStart"/>
      <w:r>
        <w:rPr>
          <w:rFonts w:ascii="Times New Roman" w:hAnsi="Times New Roman" w:cs="Times New Roman"/>
          <w:i/>
          <w:iCs/>
          <w:sz w:val="24"/>
          <w:szCs w:val="24"/>
          <w:lang w:val="en-US"/>
        </w:rPr>
        <w:t>wii</w:t>
      </w:r>
      <w:proofErr w:type="spellEnd"/>
      <w:r>
        <w:rPr>
          <w:rFonts w:ascii="Times New Roman" w:hAnsi="Times New Roman" w:cs="Times New Roman"/>
          <w:i/>
          <w:iCs/>
          <w:sz w:val="24"/>
          <w:szCs w:val="24"/>
          <w:lang w:val="en-US"/>
        </w:rPr>
        <w:t>=0</w:t>
      </w:r>
      <w:r>
        <w:rPr>
          <w:rFonts w:ascii="Times New Roman" w:hAnsi="Times New Roman" w:cs="Times New Roman"/>
          <w:sz w:val="24"/>
          <w:szCs w:val="24"/>
          <w:lang w:val="en-US"/>
        </w:rPr>
        <w:t xml:space="preserve"> and the off-diagonal entries </w:t>
      </w:r>
      <w:proofErr w:type="spellStart"/>
      <w:r>
        <w:rPr>
          <w:rFonts w:ascii="Times New Roman" w:hAnsi="Times New Roman" w:cs="Times New Roman"/>
          <w:i/>
          <w:iCs/>
          <w:sz w:val="24"/>
          <w:szCs w:val="24"/>
          <w:lang w:val="en-US"/>
        </w:rPr>
        <w:t>wij</w:t>
      </w:r>
      <w:proofErr w:type="spellEnd"/>
      <w:r>
        <w:rPr>
          <w:rFonts w:ascii="Times New Roman" w:hAnsi="Times New Roman" w:cs="Times New Roman"/>
          <w:i/>
          <w:iCs/>
          <w:sz w:val="24"/>
          <w:szCs w:val="24"/>
          <w:lang w:val="en-US"/>
        </w:rPr>
        <w:t>=1</w:t>
      </w:r>
      <w:r>
        <w:rPr>
          <w:rFonts w:ascii="Times New Roman" w:hAnsi="Times New Roman" w:cs="Times New Roman"/>
          <w:sz w:val="24"/>
          <w:szCs w:val="24"/>
          <w:lang w:val="en-US"/>
        </w:rPr>
        <w:t xml:space="preserve"> if municipalities </w:t>
      </w:r>
      <w:proofErr w:type="spellStart"/>
      <w:r>
        <w:rPr>
          <w:rFonts w:ascii="Times New Roman" w:hAnsi="Times New Roman" w:cs="Times New Roman"/>
          <w:i/>
          <w:iCs/>
          <w:sz w:val="24"/>
          <w:szCs w:val="24"/>
          <w:lang w:val="en-US"/>
        </w:rPr>
        <w:t>i</w:t>
      </w:r>
      <w:proofErr w:type="spellEnd"/>
      <w:r>
        <w:rPr>
          <w:rFonts w:ascii="Times New Roman" w:hAnsi="Times New Roman" w:cs="Times New Roman"/>
          <w:sz w:val="24"/>
          <w:szCs w:val="24"/>
          <w:lang w:val="en-US"/>
        </w:rPr>
        <w:t xml:space="preserve"> and </w:t>
      </w:r>
      <w:r>
        <w:rPr>
          <w:rFonts w:ascii="Times New Roman" w:hAnsi="Times New Roman" w:cs="Times New Roman"/>
          <w:i/>
          <w:iCs/>
          <w:sz w:val="24"/>
          <w:szCs w:val="24"/>
          <w:lang w:val="en-US"/>
        </w:rPr>
        <w:t>j</w:t>
      </w:r>
      <w:r>
        <w:rPr>
          <w:rFonts w:ascii="Times New Roman" w:hAnsi="Times New Roman" w:cs="Times New Roman"/>
          <w:sz w:val="24"/>
          <w:szCs w:val="24"/>
          <w:lang w:val="en-US"/>
        </w:rPr>
        <w:t xml:space="preserve"> share a common boundary, otherwise </w:t>
      </w:r>
      <w:proofErr w:type="spellStart"/>
      <w:r>
        <w:rPr>
          <w:rFonts w:ascii="Times New Roman" w:hAnsi="Times New Roman" w:cs="Times New Roman"/>
          <w:i/>
          <w:iCs/>
          <w:sz w:val="24"/>
          <w:szCs w:val="24"/>
          <w:lang w:val="en-US"/>
        </w:rPr>
        <w:t>wij</w:t>
      </w:r>
      <w:proofErr w:type="spellEnd"/>
      <w:r>
        <w:rPr>
          <w:rFonts w:ascii="Times New Roman" w:hAnsi="Times New Roman" w:cs="Times New Roman"/>
          <w:i/>
          <w:iCs/>
          <w:sz w:val="24"/>
          <w:szCs w:val="24"/>
          <w:lang w:val="en-US"/>
        </w:rPr>
        <w:t>=0</w:t>
      </w:r>
      <w:r>
        <w:rPr>
          <w:rFonts w:ascii="Times New Roman" w:hAnsi="Times New Roman" w:cs="Times New Roman"/>
          <w:sz w:val="24"/>
          <w:szCs w:val="24"/>
          <w:lang w:val="en-US"/>
        </w:rPr>
        <w:t xml:space="preserve">. In this sense, if two municipalities are defined to be </w:t>
      </w:r>
      <w:proofErr w:type="spellStart"/>
      <w:r>
        <w:rPr>
          <w:rFonts w:ascii="Times New Roman" w:hAnsi="Times New Roman" w:cs="Times New Roman"/>
          <w:sz w:val="24"/>
          <w:szCs w:val="24"/>
          <w:lang w:val="en-US"/>
        </w:rPr>
        <w:t>neighbours</w:t>
      </w:r>
      <w:proofErr w:type="spellEnd"/>
      <w:r>
        <w:rPr>
          <w:rFonts w:ascii="Times New Roman" w:hAnsi="Times New Roman" w:cs="Times New Roman"/>
          <w:sz w:val="24"/>
          <w:szCs w:val="24"/>
          <w:lang w:val="en-US"/>
        </w:rPr>
        <w:t xml:space="preserve"> their random effects are correlated, otherwise they are conditionally independent. The conditional expectation of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AC4380">
        <w:rPr>
          <w:rFonts w:ascii="Times New Roman" w:hAnsi="Times New Roman" w:cs="Times New Roman"/>
          <w:sz w:val="24"/>
          <w:szCs w:val="24"/>
          <w:lang w:val="en-US"/>
        </w:rPr>
        <w:t xml:space="preserve"> i</w:t>
      </w:r>
      <w:r>
        <w:rPr>
          <w:rFonts w:ascii="Times New Roman" w:hAnsi="Times New Roman" w:cs="Times New Roman"/>
          <w:sz w:val="24"/>
          <w:szCs w:val="24"/>
          <w:lang w:val="en-US"/>
        </w:rPr>
        <w:t xml:space="preserve">s equal to the mean of the random effects in </w:t>
      </w:r>
      <w:proofErr w:type="spellStart"/>
      <w:r>
        <w:rPr>
          <w:rFonts w:ascii="Times New Roman" w:hAnsi="Times New Roman" w:cs="Times New Roman"/>
          <w:sz w:val="24"/>
          <w:szCs w:val="24"/>
          <w:lang w:val="en-US"/>
        </w:rPr>
        <w:t>neighbouring</w:t>
      </w:r>
      <w:proofErr w:type="spellEnd"/>
      <w:r>
        <w:rPr>
          <w:rFonts w:ascii="Times New Roman" w:hAnsi="Times New Roman" w:cs="Times New Roman"/>
          <w:sz w:val="24"/>
          <w:szCs w:val="24"/>
          <w:lang w:val="en-US"/>
        </w:rPr>
        <w:t xml:space="preserve"> municipalities, whereas the conditional variance is inversely proportional to the number of </w:t>
      </w:r>
      <w:proofErr w:type="spellStart"/>
      <w:r>
        <w:rPr>
          <w:rFonts w:ascii="Times New Roman" w:hAnsi="Times New Roman" w:cs="Times New Roman"/>
          <w:sz w:val="24"/>
          <w:szCs w:val="24"/>
          <w:lang w:val="en-US"/>
        </w:rPr>
        <w:t>neighbour</w:t>
      </w:r>
      <w:proofErr w:type="spellEnd"/>
      <w:r>
        <w:rPr>
          <w:rFonts w:ascii="Times New Roman" w:hAnsi="Times New Roman" w:cs="Times New Roman"/>
          <w:sz w:val="24"/>
          <w:szCs w:val="24"/>
          <w:lang w:val="en-US"/>
        </w:rPr>
        <w:t xml:space="preserve"> municipalities, this is similar for</w:t>
      </w:r>
      <w:r w:rsidRPr="001E147E">
        <w:rPr>
          <w:rFonts w:ascii="Times New Roman" w:hAnsi="Times New Roman" w:cs="Times New Roman"/>
          <w:sz w:val="24"/>
          <w:szCs w:val="24"/>
          <w:lang w:val="en-US"/>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oMath>
      <w:r>
        <w:rPr>
          <w:rFonts w:ascii="Times New Roman" w:hAnsi="Times New Roman" w:cs="Times New Roman"/>
          <w:sz w:val="24"/>
          <w:szCs w:val="24"/>
          <w:lang w:val="en-US"/>
        </w:rPr>
        <w:t xml:space="preserve">. Note that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Pr>
          <w:rFonts w:ascii="Times New Roman" w:hAnsi="Times New Roman" w:cs="Times New Roman"/>
          <w:sz w:val="24"/>
          <w:szCs w:val="24"/>
          <w:lang w:val="en-US"/>
        </w:rPr>
        <w:t xml:space="preserve"> may also control for the potential endogeneity due to the interaction between space and time. In accordance to previous studies’ proceedings, [19], [25] we allocated an hyperprior distribution of Gamma, a highly non-informative distribution [30]</w:t>
      </w:r>
      <w:r>
        <w:fldChar w:fldCharType="begin"/>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[30]</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on the variance of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i</m:t>
            </m:r>
          </m:sub>
        </m:sSub>
      </m:oMath>
      <w:r w:rsidRPr="001E147E">
        <w:rPr>
          <w:rFonts w:ascii="Times New Roman" w:eastAsiaTheme="minorEastAsia" w:hAnsi="Times New Roman" w:cs="Times New Roman"/>
          <w:sz w:val="24"/>
          <w:szCs w:val="24"/>
          <w:lang w:val="en-US"/>
        </w:rPr>
        <w:t xml:space="preserve"> </w:t>
      </w:r>
      <w:r>
        <w:rPr>
          <w:rFonts w:ascii="Times New Roman" w:hAnsi="Times New Roman" w:cs="Times New Roman"/>
          <w:sz w:val="24"/>
          <w:szCs w:val="24"/>
          <w:lang w:val="en-US"/>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oMath>
      <w:r>
        <w:rPr>
          <w:rFonts w:ascii="Times New Roman" w:hAnsi="Times New Roman" w:cs="Times New Roman"/>
          <w:sz w:val="24"/>
          <w:szCs w:val="24"/>
          <w:lang w:val="en-US"/>
        </w:rPr>
        <w:t xml:space="preserve">. We assigned a Gaussian distribution to the spatially unstructured random effect term, </w:t>
      </w:r>
      <m:oMath>
        <m:sSub>
          <m:sSubPr>
            <m:ctrlPr>
              <w:rPr>
                <w:rFonts w:ascii="Cambria Math" w:hAnsi="Cambria Math"/>
              </w:rPr>
            </m:ctrlPr>
          </m:sSubPr>
          <m:e>
            <m:r>
              <w:rPr>
                <w:rFonts w:ascii="Cambria Math" w:hAnsi="Cambria Math"/>
              </w:rPr>
              <m:t>u</m:t>
            </m:r>
          </m:e>
          <m:sub>
            <m:r>
              <w:rPr>
                <w:rFonts w:ascii="Cambria Math" w:hAnsi="Cambria Math"/>
              </w:rPr>
              <m:t>i</m:t>
            </m:r>
          </m:sub>
        </m:sSub>
      </m:oMath>
      <w:r>
        <w:rPr>
          <w:rFonts w:ascii="Times New Roman" w:hAnsi="Times New Roman" w:cs="Times New Roman"/>
          <w:sz w:val="24"/>
          <w:szCs w:val="24"/>
          <w:lang w:val="en-US"/>
        </w:rPr>
        <w:t xml:space="preserve">. Finally, following the Gelman criterion </w:t>
      </w:r>
      <w:r>
        <w:fldChar w:fldCharType="begin"/>
      </w:r>
      <w:r>
        <w:rPr>
          <w:rFonts w:ascii="Times New Roman" w:hAnsi="Times New Roman" w:cs="Times New Roman"/>
          <w:sz w:val="24"/>
          <w:szCs w:val="24"/>
          <w:lang w:val="en-US"/>
        </w:rPr>
        <w:instrText>ADDIN CSL_CITATION {"citationItems":[{"id":"ITEM-1","itemData":{"ISSN":"0883-4237","author":[{"dropping-particle":"","family":"Gelman","given":"Andrew","non-dropping-particle":"","parse-names":false,"suffix":""},{"dropping-particle":"","family":"Rubin","given":"Donald B","non-dropping-particle":"","parse-names":false,"suffix":""}],"container-title":"Statistical science","id":"ITEM-1","issue":"4","issued":{"date-parts":[["1992"]]},"page":"457-472","publisher":"Institute of Mathematical Statistics","title":"Inference from iterative simulation using multiple sequences","type":"article-journal","volume":"7"},"uris":["http://www.mendeley.com/documents/?uuid=a45bd1cf-f303-478a-8987-6d672d561c1c"]}],"mendeley":{"formattedCitation":"[31]","plainTextFormattedCitation":"[31]","previouslyFormattedCitation":"[31]"},"properties":{"noteIndex":0},"schema":"https://github.com/citation-style-language/schema/raw/master/csl-citation.json"}</w:instrText>
      </w:r>
      <w:r>
        <w:rPr>
          <w:rFonts w:ascii="Times New Roman" w:hAnsi="Times New Roman" w:cs="Times New Roman"/>
          <w:sz w:val="24"/>
          <w:szCs w:val="24"/>
          <w:lang w:val="en-US"/>
        </w:rPr>
        <w:fldChar w:fldCharType="separate"/>
      </w:r>
      <w:bookmarkStart w:id="72" w:name="__Fieldmark__5175_3388232369"/>
      <w:r>
        <w:rPr>
          <w:rFonts w:ascii="Times New Roman" w:hAnsi="Times New Roman" w:cs="Times New Roman"/>
          <w:sz w:val="24"/>
          <w:szCs w:val="24"/>
          <w:lang w:val="en-US"/>
        </w:rPr>
        <w:t>[</w:t>
      </w:r>
      <w:bookmarkStart w:id="73" w:name="__Fieldmark__6501_3330640344"/>
      <w:r>
        <w:rPr>
          <w:rFonts w:ascii="Times New Roman" w:hAnsi="Times New Roman" w:cs="Times New Roman"/>
          <w:sz w:val="24"/>
          <w:szCs w:val="24"/>
          <w:lang w:val="en-US"/>
        </w:rPr>
        <w:t>3</w:t>
      </w:r>
      <w:bookmarkStart w:id="74" w:name="__Fieldmark__2021_3330640344"/>
      <w:r>
        <w:rPr>
          <w:rFonts w:ascii="Times New Roman" w:hAnsi="Times New Roman" w:cs="Times New Roman"/>
          <w:sz w:val="24"/>
          <w:szCs w:val="24"/>
          <w:lang w:val="en-US"/>
        </w:rPr>
        <w:t>1</w:t>
      </w:r>
      <w:bookmarkStart w:id="75" w:name="__Fieldmark__1903_2931434481"/>
      <w:r>
        <w:rPr>
          <w:rFonts w:ascii="Times New Roman" w:hAnsi="Times New Roman" w:cs="Times New Roman"/>
          <w:sz w:val="24"/>
          <w:szCs w:val="24"/>
          <w:lang w:val="en-US"/>
        </w:rPr>
        <w:t>]</w:t>
      </w:r>
      <w:bookmarkStart w:id="76" w:name="__Fieldmark__1688_3608036270"/>
      <w:r>
        <w:rPr>
          <w:rFonts w:ascii="Times New Roman" w:hAnsi="Times New Roman" w:cs="Times New Roman"/>
          <w:sz w:val="24"/>
          <w:szCs w:val="24"/>
          <w:lang w:val="en-US"/>
        </w:rPr>
        <w:fldChar w:fldCharType="end"/>
      </w:r>
      <w:bookmarkStart w:id="77" w:name="__Fieldmark__4275_1653188140"/>
      <w:bookmarkStart w:id="78" w:name="__Fieldmark__1589_4225242957"/>
      <w:bookmarkStart w:id="79" w:name="__Fieldmark__1153_1004872872"/>
      <w:bookmarkStart w:id="80" w:name="__Fieldmark__2839_937858342"/>
      <w:bookmarkStart w:id="81" w:name="__Fieldmark__1489_3401069794"/>
      <w:bookmarkStart w:id="82" w:name="__Fieldmark__775_764764431"/>
      <w:bookmarkStart w:id="83" w:name="__Fieldmark__1228_2099061544"/>
      <w:bookmarkStart w:id="84" w:name="__Fieldmark__1046_1945620222"/>
      <w:bookmarkEnd w:id="72"/>
      <w:bookmarkEnd w:id="73"/>
      <w:bookmarkEnd w:id="74"/>
      <w:bookmarkEnd w:id="75"/>
      <w:bookmarkEnd w:id="76"/>
      <w:bookmarkEnd w:id="77"/>
      <w:bookmarkEnd w:id="78"/>
      <w:bookmarkEnd w:id="79"/>
      <w:bookmarkEnd w:id="80"/>
      <w:bookmarkEnd w:id="81"/>
      <w:bookmarkEnd w:id="82"/>
      <w:bookmarkEnd w:id="83"/>
      <w:bookmarkEnd w:id="84"/>
      <w:r>
        <w:rPr>
          <w:rFonts w:ascii="Times New Roman" w:hAnsi="Times New Roman" w:cs="Times New Roman"/>
          <w:sz w:val="24"/>
          <w:szCs w:val="24"/>
          <w:lang w:val="en-US"/>
        </w:rPr>
        <w:t xml:space="preserve">, all random effect standard deviations, such as </w:t>
      </w:r>
      <m:oMath>
        <m:sSub>
          <m:sSubPr>
            <m:ctrlPr>
              <w:rPr>
                <w:rFonts w:ascii="Cambria Math" w:hAnsi="Cambria Math"/>
              </w:rPr>
            </m:ctrlPr>
          </m:sSubPr>
          <m:e>
            <m:r>
              <w:rPr>
                <w:rFonts w:ascii="Cambria Math" w:hAnsi="Cambria Math"/>
              </w:rPr>
              <m:t>σ</m:t>
            </m:r>
          </m:e>
          <m:sub>
            <m:r>
              <w:rPr>
                <w:rFonts w:ascii="Cambria Math" w:hAnsi="Cambria Math"/>
              </w:rPr>
              <m:t>v</m:t>
            </m:r>
          </m:sub>
        </m:sSub>
      </m:oMath>
      <w:r w:rsidRPr="00AC4380">
        <w:rPr>
          <w:rFonts w:ascii="Times New Roman" w:hAnsi="Times New Roman" w:cs="Times New Roman"/>
          <w:lang w:val="en-US"/>
        </w:rPr>
        <w:t xml:space="preserve"> </w:t>
      </w:r>
      <w:r>
        <w:rPr>
          <w:rFonts w:ascii="Times New Roman" w:hAnsi="Times New Roman" w:cs="Times New Roman"/>
          <w:sz w:val="24"/>
          <w:szCs w:val="24"/>
          <w:lang w:val="en-US"/>
        </w:rPr>
        <w:t xml:space="preserve">and </w:t>
      </w:r>
      <m:oMath>
        <m:sSub>
          <m:sSubPr>
            <m:ctrlPr>
              <w:rPr>
                <w:rFonts w:ascii="Cambria Math" w:hAnsi="Cambria Math"/>
              </w:rPr>
            </m:ctrlPr>
          </m:sSubPr>
          <m:e>
            <m:r>
              <w:rPr>
                <w:rFonts w:ascii="Cambria Math" w:hAnsi="Cambria Math"/>
              </w:rPr>
              <m:t>σ</m:t>
            </m:r>
          </m:e>
          <m:sub>
            <m:r>
              <w:rPr>
                <w:rFonts w:ascii="Cambria Math" w:hAnsi="Cambria Math"/>
              </w:rPr>
              <m:t>ϵ</m:t>
            </m:r>
          </m:sub>
        </m:sSub>
      </m:oMath>
      <w:r>
        <w:rPr>
          <w:rFonts w:ascii="Times New Roman" w:hAnsi="Times New Roman" w:cs="Times New Roman"/>
          <w:sz w:val="24"/>
          <w:szCs w:val="24"/>
          <w:lang w:val="en-US"/>
        </w:rPr>
        <w:t xml:space="preserve">, have a positive half Gaussian prior </w:t>
      </w:r>
      <m:oMath>
        <m:sSub>
          <m:sSubPr>
            <m:ctrlPr>
              <w:rPr>
                <w:rFonts w:ascii="Cambria Math" w:hAnsi="Cambria Math"/>
              </w:rPr>
            </m:ctrlPr>
          </m:sSubPr>
          <m:e>
            <m:r>
              <w:rPr>
                <w:rFonts w:ascii="Cambria Math" w:hAnsi="Cambria Math"/>
              </w:rPr>
              <m:t>N</m:t>
            </m:r>
          </m:e>
          <m:sub>
            <m:r>
              <w:rPr>
                <w:rFonts w:ascii="Cambria Math" w:hAnsi="Cambria Math"/>
                <w:lang w:val="en-US"/>
              </w:rPr>
              <m:t>+∞</m:t>
            </m:r>
          </m:sub>
        </m:sSub>
        <m:d>
          <m:dPr>
            <m:ctrlPr>
              <w:rPr>
                <w:rFonts w:ascii="Cambria Math" w:hAnsi="Cambria Math"/>
              </w:rPr>
            </m:ctrlPr>
          </m:dPr>
          <m:e>
            <m:r>
              <w:rPr>
                <w:rFonts w:ascii="Cambria Math" w:hAnsi="Cambria Math"/>
                <w:lang w:val="en-US"/>
              </w:rPr>
              <m:t>0,10</m:t>
            </m:r>
          </m:e>
        </m:d>
      </m:oMath>
      <w:r>
        <w:fldChar w:fldCharType="begin"/>
      </w:r>
      <w:r>
        <w:rPr>
          <w:rFonts w:ascii="Times New Roman" w:hAnsi="Times New Roman" w:cs="Times New Roman"/>
          <w:sz w:val="24"/>
          <w:szCs w:val="24"/>
          <w:lang w:val="en-US"/>
        </w:rPr>
        <w:instrText>ADDIN CSL_CITATION {"citationItems":[{"id":"ITEM-1","itemData":{"ISSN":"0883-4237","author":[{"dropping-particle":"","family":"Gelman","given":"Andrew","non-dropping-particle":"","parse-names":false,"suffix":""},{"dropping-particle":"","family":"Rubin","given":"Donald B","non-dropping-particle":"","parse-names":false,"suffix":""}],"container-title":"Statistical science","id":"ITEM-1","issue":"4","issued":{"date-parts":[["1992"]]},"page":"457-472","publisher":"Institute of Mathematical Statistics","title":"Inference from iterative simulation using multiple sequences","type":"article-journal","volume":"7"},"uris":["http://www.mendeley.com/documents/?uuid=a45bd1cf-f303-478a-8987-6d672d561c1c"]}],"mendeley":{"formattedCitation":"[31]","plainTextFormattedCitation":"[31]","previouslyFormattedCitation":"[31]"},"properties":{"noteIndex":0},"schema":"https://github.com/citation-style-language/schema/raw/master/csl-citation.json"}</w:instrText>
      </w:r>
      <w:r>
        <w:rPr>
          <w:rFonts w:ascii="Times New Roman" w:hAnsi="Times New Roman" w:cs="Times New Roman"/>
          <w:sz w:val="24"/>
          <w:szCs w:val="24"/>
          <w:lang w:val="en-US"/>
        </w:rPr>
        <w:fldChar w:fldCharType="end"/>
      </w:r>
      <w:bookmarkStart w:id="85" w:name="__Fieldmark__6549_3330640344"/>
      <w:bookmarkStart w:id="86" w:name="__Fieldmark__5226_3388232369"/>
      <w:bookmarkStart w:id="87" w:name="__Fieldmark__4302_1653188140"/>
      <w:bookmarkStart w:id="88" w:name="__Fieldmark__1522_3401069794"/>
      <w:bookmarkStart w:id="89" w:name="__Fieldmark__2066_3330640344"/>
      <w:bookmarkStart w:id="90" w:name="__Fieldmark__1065_1945620222"/>
      <w:bookmarkStart w:id="91" w:name="__Fieldmark__790_764764431"/>
      <w:bookmarkStart w:id="92" w:name="__Fieldmark__1176_1004872872"/>
      <w:bookmarkStart w:id="93" w:name="__Fieldmark__1727_3608036270"/>
      <w:bookmarkStart w:id="94" w:name="__Fieldmark__1625_4225242957"/>
      <w:bookmarkStart w:id="95" w:name="__Fieldmark__1246_2099061544"/>
      <w:bookmarkStart w:id="96" w:name="__Fieldmark__1945_2931434481"/>
      <w:bookmarkStart w:id="97" w:name="__Fieldmark__2869_937858342"/>
      <w:bookmarkEnd w:id="85"/>
      <w:bookmarkEnd w:id="86"/>
      <w:bookmarkEnd w:id="87"/>
      <w:bookmarkEnd w:id="88"/>
      <w:bookmarkEnd w:id="89"/>
      <w:bookmarkEnd w:id="90"/>
      <w:bookmarkEnd w:id="91"/>
      <w:bookmarkEnd w:id="92"/>
      <w:bookmarkEnd w:id="93"/>
      <w:bookmarkEnd w:id="94"/>
      <w:bookmarkEnd w:id="95"/>
      <w:bookmarkEnd w:id="96"/>
      <w:bookmarkEnd w:id="97"/>
      <w:r>
        <w:rPr>
          <w:rFonts w:ascii="Times New Roman" w:hAnsi="Times New Roman" w:cs="Times New Roman"/>
          <w:sz w:val="24"/>
          <w:szCs w:val="24"/>
          <w:lang w:val="en-US"/>
        </w:rPr>
        <w:t>.</w:t>
      </w:r>
    </w:p>
    <w:p w14:paraId="646BA41B" w14:textId="77777777" w:rsidR="006E5D69" w:rsidRPr="00AC4380" w:rsidRDefault="006E5D69" w:rsidP="006E5D69">
      <w:pPr>
        <w:spacing w:after="159" w:line="360" w:lineRule="auto"/>
        <w:jc w:val="both"/>
        <w:rPr>
          <w:rFonts w:ascii="Times New Roman" w:hAnsi="Times New Roman" w:cs="Times New Roman"/>
          <w:b/>
          <w:color w:val="000000"/>
          <w:sz w:val="24"/>
          <w:szCs w:val="24"/>
          <w:lang w:val="en-US"/>
        </w:rPr>
      </w:pPr>
      <w:r>
        <w:rPr>
          <w:rFonts w:ascii="Times New Roman" w:hAnsi="Times New Roman" w:cs="Times New Roman"/>
          <w:sz w:val="24"/>
          <w:szCs w:val="24"/>
          <w:lang w:val="en-US"/>
        </w:rPr>
        <w:t xml:space="preserve">To classify each municipality into hot, cold or neither-hot-nor-cold spots (high, low or medium risk) across time, we used the values of the posterior probability of the spatial component </w:t>
      </w:r>
      <m:oMath>
        <m:r>
          <w:rPr>
            <w:rFonts w:ascii="Cambria Math" w:hAnsi="Cambria Math" w:cs="Times New Roman"/>
            <w:sz w:val="24"/>
            <w:szCs w:val="24"/>
          </w:rPr>
          <m:t>p</m:t>
        </m:r>
        <m:d>
          <m:dPr>
            <m:endChr m:val="|"/>
            <m:ctrlPr>
              <w:rPr>
                <w:rFonts w:ascii="Cambria Math" w:hAnsi="Cambria Math" w:cs="Times New Roman"/>
                <w:i/>
                <w:sz w:val="24"/>
                <w:szCs w:val="24"/>
              </w:rPr>
            </m:ctrlPr>
          </m:dPr>
          <m:e>
            <m:func>
              <m:funcPr>
                <m:ctrlPr>
                  <w:rPr>
                    <w:rFonts w:ascii="Cambria Math" w:hAnsi="Cambria Math" w:cs="Times New Roman"/>
                    <w:sz w:val="24"/>
                    <w:szCs w:val="24"/>
                  </w:rPr>
                </m:ctrlPr>
              </m:funcPr>
              <m:fName>
                <m:r>
                  <m:rPr>
                    <m:sty m:val="p"/>
                  </m:rPr>
                  <w:rPr>
                    <w:rFonts w:ascii="Cambria Math" w:hAnsi="Cambria Math" w:cs="Times New Roman"/>
                    <w:sz w:val="24"/>
                    <w:szCs w:val="24"/>
                    <w:lang w:val="en-US"/>
                  </w:rPr>
                  <m:t>exp</m:t>
                </m:r>
                <m:ctrlPr>
                  <w:rPr>
                    <w:rFonts w:ascii="Cambria Math" w:hAnsi="Cambria Math" w:cs="Times New Roman"/>
                    <w:i/>
                    <w:sz w:val="24"/>
                    <w:szCs w:val="24"/>
                  </w:rPr>
                </m:ctrlP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u</m:t>
                        </m:r>
                      </m:e>
                      <m:sub>
                        <m:r>
                          <w:rPr>
                            <w:rFonts w:ascii="Cambria Math" w:hAnsi="Cambria Math" w:cs="Times New Roman"/>
                            <w:sz w:val="24"/>
                            <w:szCs w:val="24"/>
                          </w:rPr>
                          <m:t>i</m:t>
                        </m:r>
                      </m:sub>
                    </m:sSub>
                    <m:r>
                      <w:rPr>
                        <w:rFonts w:ascii="Cambria Math" w:hAnsi="Cambria Math" w:cs="Times New Roman"/>
                        <w:sz w:val="24"/>
                        <w:szCs w:val="24"/>
                        <w:lang w:val="en-US"/>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e>
                </m:d>
              </m:e>
            </m:func>
            <m:r>
              <w:rPr>
                <w:rFonts w:ascii="Cambria Math" w:hAnsi="Cambria Math" w:cs="Times New Roman"/>
                <w:sz w:val="24"/>
                <w:szCs w:val="24"/>
                <w:lang w:val="en-US"/>
              </w:rPr>
              <m:t>&gt;1</m:t>
            </m:r>
          </m:e>
        </m:d>
        <m:r>
          <w:rPr>
            <w:rFonts w:ascii="Cambria Math" w:hAnsi="Cambria Math" w:cs="Times New Roman"/>
            <w:sz w:val="24"/>
            <w:szCs w:val="24"/>
          </w:rPr>
          <m:t>data</m:t>
        </m:r>
        <m:r>
          <w:rPr>
            <w:rFonts w:ascii="Cambria Math" w:hAnsi="Cambria Math" w:cs="Times New Roman"/>
            <w:sz w:val="24"/>
            <w:szCs w:val="24"/>
            <w:lang w:val="en-US"/>
          </w:rPr>
          <m:t>)</m:t>
        </m:r>
      </m:oMath>
      <w:r>
        <w:rPr>
          <w:rFonts w:ascii="Times New Roman" w:hAnsi="Times New Roman" w:cs="Times New Roman"/>
          <w:sz w:val="24"/>
          <w:szCs w:val="24"/>
          <w:lang w:val="en-US"/>
        </w:rPr>
        <w:t xml:space="preserve">. The component </w:t>
      </w:r>
      <m:oMath>
        <m:r>
          <w:rPr>
            <w:rFonts w:ascii="Cambria Math" w:hAnsi="Cambria Math"/>
            <w:sz w:val="24"/>
            <w:szCs w:val="24"/>
          </w:rPr>
          <m:t>exp</m:t>
        </m:r>
        <m:d>
          <m:dPr>
            <m:ctrlPr>
              <w:rPr>
                <w:rFonts w:ascii="Cambria Math" w:hAnsi="Cambria Math"/>
                <w:sz w:val="24"/>
                <w:szCs w:val="24"/>
              </w:rPr>
            </m:ctrlPr>
          </m:dPr>
          <m:e>
            <m:sSub>
              <m:sSubPr>
                <m:ctrlPr>
                  <w:rPr>
                    <w:rFonts w:ascii="Cambria Math" w:hAnsi="Cambria Math"/>
                    <w:sz w:val="24"/>
                    <w:szCs w:val="24"/>
                  </w:rPr>
                </m:ctrlPr>
              </m:sSubPr>
              <m:e>
                <m:r>
                  <w:rPr>
                    <w:rFonts w:ascii="Cambria Math" w:hAnsi="Cambria Math"/>
                    <w:sz w:val="24"/>
                    <w:szCs w:val="24"/>
                  </w:rPr>
                  <m:t>u</m:t>
                </m:r>
              </m:e>
              <m:sub>
                <m:r>
                  <w:rPr>
                    <w:rFonts w:ascii="Cambria Math" w:hAnsi="Cambria Math"/>
                    <w:sz w:val="24"/>
                    <w:szCs w:val="24"/>
                  </w:rPr>
                  <m:t>i</m:t>
                </m:r>
              </m:sub>
            </m:sSub>
            <m:r>
              <w:rPr>
                <w:rFonts w:ascii="Cambria Math" w:hAnsi="Cambria Math"/>
                <w:sz w:val="24"/>
                <w:szCs w:val="24"/>
                <w:lang w:val="en-US"/>
              </w:rPr>
              <m:t>+</m:t>
            </m:r>
            <m:sSub>
              <m:sSubPr>
                <m:ctrlPr>
                  <w:rPr>
                    <w:rFonts w:ascii="Cambria Math" w:hAnsi="Cambria Math"/>
                    <w:sz w:val="24"/>
                    <w:szCs w:val="24"/>
                  </w:rPr>
                </m:ctrlPr>
              </m:sSubPr>
              <m:e>
                <m:r>
                  <w:rPr>
                    <w:rFonts w:ascii="Cambria Math" w:hAnsi="Cambria Math"/>
                    <w:sz w:val="24"/>
                    <w:szCs w:val="24"/>
                  </w:rPr>
                  <m:t>s</m:t>
                </m:r>
              </m:e>
              <m:sub>
                <m:r>
                  <w:rPr>
                    <w:rFonts w:ascii="Cambria Math" w:hAnsi="Cambria Math"/>
                    <w:sz w:val="24"/>
                    <w:szCs w:val="24"/>
                  </w:rPr>
                  <m:t>i</m:t>
                </m:r>
              </m:sub>
            </m:sSub>
          </m:e>
        </m:d>
      </m:oMath>
      <w:r>
        <w:rPr>
          <w:rFonts w:ascii="Times New Roman" w:hAnsi="Times New Roman" w:cs="Times New Roman"/>
          <w:sz w:val="24"/>
          <w:szCs w:val="24"/>
          <w:lang w:val="en-US"/>
        </w:rPr>
        <w:t xml:space="preserve"> indicates the odds average risk of the study period for each municipality with respect to </w:t>
      </w:r>
      <m:oMath>
        <m:r>
          <w:rPr>
            <w:rFonts w:ascii="Cambria Math" w:hAnsi="Cambria Math"/>
          </w:rPr>
          <m:t>α</m:t>
        </m:r>
      </m:oMath>
      <w:r>
        <w:rPr>
          <w:rFonts w:ascii="Times New Roman" w:hAnsi="Times New Roman" w:cs="Times New Roman"/>
          <w:sz w:val="24"/>
          <w:szCs w:val="24"/>
          <w:lang w:val="en-US"/>
        </w:rPr>
        <w:t xml:space="preserve"> (overall logit children mortality risk). Thus, the values greater than 0.8, between 0.2 and 0.8, and lower than 0.2 were classified as hot, neither-hot-nor-cold, and cold spots (high, medium, and low risk municipalities), respectively. This first classification can be expressed in the </w:t>
      </w:r>
      <m:oMath>
        <m:r>
          <w:rPr>
            <w:rFonts w:ascii="Cambria Math" w:hAnsi="Cambria Math"/>
            <w:lang w:val="en-US"/>
          </w:rPr>
          <m:t>h</m:t>
        </m:r>
        <m:r>
          <w:rPr>
            <w:rFonts w:ascii="Cambria Math" w:hAnsi="Cambria Math"/>
          </w:rPr>
          <m:t>i</m:t>
        </m:r>
      </m:oMath>
      <w:r>
        <w:rPr>
          <w:rFonts w:ascii="Times New Roman" w:hAnsi="Times New Roman" w:cs="Times New Roman"/>
          <w:sz w:val="24"/>
          <w:szCs w:val="24"/>
          <w:lang w:val="en-US"/>
        </w:rPr>
        <w:t xml:space="preserve"> term which is equal to </w:t>
      </w:r>
      <w:r>
        <w:rPr>
          <w:rFonts w:ascii="Times New Roman" w:hAnsi="Times New Roman" w:cs="Times New Roman"/>
          <w:i/>
          <w:iCs/>
          <w:sz w:val="24"/>
          <w:szCs w:val="24"/>
          <w:lang w:val="en-US"/>
        </w:rPr>
        <w:t>1</w:t>
      </w:r>
      <w:r>
        <w:rPr>
          <w:rFonts w:ascii="Times New Roman" w:hAnsi="Times New Roman" w:cs="Times New Roman"/>
          <w:sz w:val="24"/>
          <w:szCs w:val="24"/>
          <w:lang w:val="en-US"/>
        </w:rPr>
        <w:t xml:space="preserve"> for a hot spot, </w:t>
      </w:r>
      <w:r>
        <w:rPr>
          <w:rFonts w:ascii="Times New Roman" w:hAnsi="Times New Roman" w:cs="Times New Roman"/>
          <w:i/>
          <w:iCs/>
          <w:sz w:val="24"/>
          <w:szCs w:val="24"/>
          <w:lang w:val="en-US"/>
        </w:rPr>
        <w:t>2</w:t>
      </w:r>
      <w:r>
        <w:rPr>
          <w:rFonts w:ascii="Times New Roman" w:hAnsi="Times New Roman" w:cs="Times New Roman"/>
          <w:sz w:val="24"/>
          <w:szCs w:val="24"/>
          <w:lang w:val="en-US"/>
        </w:rPr>
        <w:t xml:space="preserve"> for a cold spot, and </w:t>
      </w:r>
      <w:r>
        <w:rPr>
          <w:rFonts w:ascii="Times New Roman" w:hAnsi="Times New Roman" w:cs="Times New Roman"/>
          <w:i/>
          <w:iCs/>
          <w:sz w:val="24"/>
          <w:szCs w:val="24"/>
          <w:lang w:val="en-US"/>
        </w:rPr>
        <w:t>3</w:t>
      </w:r>
      <w:r>
        <w:rPr>
          <w:rFonts w:ascii="Times New Roman" w:hAnsi="Times New Roman" w:cs="Times New Roman"/>
          <w:sz w:val="24"/>
          <w:szCs w:val="24"/>
          <w:lang w:val="en-US"/>
        </w:rPr>
        <w:t xml:space="preserve"> for a neither-hot-nor-cold spot. This criterion has been used in previous studies </w:t>
      </w:r>
      <w:r>
        <w:fldChar w:fldCharType="begin"/>
      </w:r>
      <w:r>
        <w:rPr>
          <w:rFonts w:ascii="Times New Roman" w:hAnsi="Times New Roman" w:cs="Times New Roman"/>
          <w:sz w:val="24"/>
          <w:szCs w:val="24"/>
          <w:lang w:val="en-US"/>
        </w:rPr>
        <w:instrText>ADDIN CSL_CITATION {"citationItems":[{"id":"ITEM-1","itemData":{"ISSN":"0091-6765","author":[{"dropping-particle":"","family":"Richardson","given":"Sylvia","non-dropping-particle":"","parse-names":false,"suffix":""},{"dropping-particle":"","family":"Thomson","given":"Andrew","non-dropping-particle":"","parse-names":false,"suffix":""},{"dropping-particle":"","family":"Best","given":"Nicky","non-dropping-particle":"","parse-names":false,"suffix":""},{"dropping-particle":"","family":"Elliott","given":"Paul","non-dropping-particle":"","parse-names":false,"suffix":""}],"container-title":"Environmental health perspectives","id":"ITEM-1","issue":"9","issued":{"date-parts":[["2004"]]},"page":"1016-1025","publisher":"National Institue of Environmental Health Sciences","title":"Interpreting posterior relative risk estimates in disease-mapping studies","type":"article-journal","volume":"112"},"uris":["http://www.mendeley.com/documents/?uuid=31911690-9d98-40ab-90cb-a6bfce554bab"]},{"id":"ITEM-2","itemData":{"DOI":"10.1016/j.spasta.2014.03.006","ISSN":"22116753","abstract":"Modelling spatio-temporal offence data contributes to our understanding of the spatio-temporal characteristics of the risk of becoming a victim of crime and has implications for policing. Space-time interactions are deeply embedded both empirically and theoretically into many areas of criminology. In this paper, we apply a familiar Bayesian spatio-temporal model to explore the space-time variation in burglary risk in Peterborough, England, between 2005 and 2008. However, we extend earlier work with this model by presenting a novel two-stage method for classifying areas into crime hotspots, coldspots or neither and studying the temporal dynamics of areas within each risk category. A further contribution of this paper is the inclusion of covariates into the model in order to explain the space-time classification of areas. We discuss the advantages of, and identify future directions for, this form of modelling for analysing offence patterns in space and time. Implications for crime research and policing are also discussed.","author":[{"dropping-particle":"","family":"Li","given":"G.","non-dropping-particle":"","parse-names":false,"suffix":""},{"dropping-particle":"","family":"Haining","given":"R.","non-dropping-particle":"","parse-names":false,"suffix":""},{"dropping-particle":"","family":"Richardson","given":"S.","non-dropping-particle":"","parse-names":false,"suffix":""},{"dropping-particle":"","family":"Best","given":"N.","non-dropping-particle":"","parse-names":false,"suffix":""}],"container-title":"Spatial Statistics","id":"ITEM-2","issue":"C","issued":{"date-parts":[["2014"]]},"page":"180-191","title":"Space-time variability in burglary risk: A Bayesian spatio-temporal modelling approach","type":"article-journal","volume":"9"},"uris":["http://www.mendeley.com/documents/?uuid=14754ba9-89f3-4493-9b2c-81af96bd2b8c"]}],"mendeley":{"formattedCitation":"[19], [32]","plainTextFormattedCitation":"[19], [32]","previouslyFormattedCitation":"[19], [32]"},"properties":{"noteIndex":0},"schema":"https://github.com/citation-style-language/schema/raw/master/csl-citation.json"}</w:instrText>
      </w:r>
      <w:r>
        <w:rPr>
          <w:rFonts w:ascii="Times New Roman" w:hAnsi="Times New Roman" w:cs="Times New Roman"/>
          <w:sz w:val="24"/>
          <w:szCs w:val="24"/>
          <w:lang w:val="en-US"/>
        </w:rPr>
        <w:fldChar w:fldCharType="separate"/>
      </w:r>
      <w:bookmarkStart w:id="98" w:name="__Fieldmark__5295_3388232369"/>
      <w:r>
        <w:rPr>
          <w:rFonts w:ascii="Times New Roman" w:hAnsi="Times New Roman" w:cs="Times New Roman"/>
          <w:sz w:val="24"/>
          <w:szCs w:val="24"/>
          <w:lang w:val="en-US"/>
        </w:rPr>
        <w:t>[</w:t>
      </w:r>
      <w:bookmarkStart w:id="99" w:name="__Fieldmark__6615_3330640344"/>
      <w:r>
        <w:rPr>
          <w:rFonts w:ascii="Times New Roman" w:hAnsi="Times New Roman" w:cs="Times New Roman"/>
          <w:sz w:val="24"/>
          <w:szCs w:val="24"/>
          <w:lang w:val="en-US"/>
        </w:rPr>
        <w:t>1</w:t>
      </w:r>
      <w:bookmarkStart w:id="100" w:name="__Fieldmark__2129_3330640344"/>
      <w:r>
        <w:rPr>
          <w:rFonts w:ascii="Times New Roman" w:hAnsi="Times New Roman" w:cs="Times New Roman"/>
          <w:sz w:val="24"/>
          <w:szCs w:val="24"/>
          <w:lang w:val="en-US"/>
        </w:rPr>
        <w:t>9</w:t>
      </w:r>
      <w:bookmarkStart w:id="101" w:name="__Fieldmark__2005_2931434481"/>
      <w:r>
        <w:rPr>
          <w:rFonts w:ascii="Times New Roman" w:hAnsi="Times New Roman" w:cs="Times New Roman"/>
          <w:sz w:val="24"/>
          <w:szCs w:val="24"/>
          <w:lang w:val="en-US"/>
        </w:rPr>
        <w:t>]</w:t>
      </w:r>
      <w:bookmarkStart w:id="102" w:name="__Fieldmark__1784_3608036270"/>
      <w:r>
        <w:rPr>
          <w:rFonts w:ascii="Times New Roman" w:hAnsi="Times New Roman" w:cs="Times New Roman"/>
          <w:sz w:val="24"/>
          <w:szCs w:val="24"/>
          <w:lang w:val="en-US"/>
        </w:rPr>
        <w:t>,</w:t>
      </w:r>
      <w:bookmarkStart w:id="103" w:name="__Fieldmark__1679_4225242957"/>
      <w:r>
        <w:rPr>
          <w:rFonts w:ascii="Times New Roman" w:hAnsi="Times New Roman" w:cs="Times New Roman"/>
          <w:sz w:val="24"/>
          <w:szCs w:val="24"/>
          <w:lang w:val="en-US"/>
        </w:rPr>
        <w:t xml:space="preserve"> </w:t>
      </w:r>
      <w:bookmarkStart w:id="104" w:name="__Fieldmark__1573_3401069794"/>
      <w:r>
        <w:rPr>
          <w:rFonts w:ascii="Times New Roman" w:hAnsi="Times New Roman" w:cs="Times New Roman"/>
          <w:sz w:val="24"/>
          <w:szCs w:val="24"/>
          <w:lang w:val="en-US"/>
        </w:rPr>
        <w:t>[</w:t>
      </w:r>
      <w:bookmarkStart w:id="105" w:name="__Fieldmark__2918_937858342"/>
      <w:r>
        <w:rPr>
          <w:rFonts w:ascii="Times New Roman" w:hAnsi="Times New Roman" w:cs="Times New Roman"/>
          <w:sz w:val="24"/>
          <w:szCs w:val="24"/>
          <w:lang w:val="en-US"/>
        </w:rPr>
        <w:t>3</w:t>
      </w:r>
      <w:bookmarkStart w:id="106" w:name="__Fieldmark__4347_1653188140"/>
      <w:r>
        <w:rPr>
          <w:rFonts w:ascii="Times New Roman" w:hAnsi="Times New Roman" w:cs="Times New Roman"/>
          <w:sz w:val="24"/>
          <w:szCs w:val="24"/>
          <w:lang w:val="en-US"/>
        </w:rPr>
        <w:t>2</w:t>
      </w:r>
      <w:bookmarkStart w:id="107" w:name="__Fieldmark__1218_1004872872"/>
      <w:r>
        <w:rPr>
          <w:rFonts w:ascii="Times New Roman" w:hAnsi="Times New Roman" w:cs="Times New Roman"/>
          <w:sz w:val="24"/>
          <w:szCs w:val="24"/>
          <w:lang w:val="en-US"/>
        </w:rPr>
        <w:t>]</w:t>
      </w:r>
      <w:bookmarkStart w:id="108" w:name="__Fieldmark__1104_1945620222"/>
      <w:r>
        <w:rPr>
          <w:rFonts w:ascii="Times New Roman" w:hAnsi="Times New Roman" w:cs="Times New Roman"/>
          <w:sz w:val="24"/>
          <w:szCs w:val="24"/>
          <w:lang w:val="en-US"/>
        </w:rPr>
        <w:fldChar w:fldCharType="end"/>
      </w:r>
      <w:bookmarkStart w:id="109" w:name="__Fieldmark__822_764764431"/>
      <w:bookmarkStart w:id="110" w:name="__Fieldmark__1301_2099061544"/>
      <w:bookmarkEnd w:id="98"/>
      <w:bookmarkEnd w:id="99"/>
      <w:bookmarkEnd w:id="100"/>
      <w:bookmarkEnd w:id="101"/>
      <w:bookmarkEnd w:id="102"/>
      <w:bookmarkEnd w:id="103"/>
      <w:bookmarkEnd w:id="104"/>
      <w:bookmarkEnd w:id="105"/>
      <w:bookmarkEnd w:id="106"/>
      <w:bookmarkEnd w:id="107"/>
      <w:bookmarkEnd w:id="108"/>
      <w:bookmarkEnd w:id="109"/>
      <w:bookmarkEnd w:id="110"/>
      <w:r>
        <w:rPr>
          <w:rFonts w:ascii="Times New Roman" w:hAnsi="Times New Roman" w:cs="Times New Roman"/>
          <w:sz w:val="24"/>
          <w:szCs w:val="24"/>
          <w:lang w:val="en-US"/>
        </w:rPr>
        <w:t xml:space="preserve">. Further, to measure the local trend of each classified municipality, we used the values of the posterior probability of the local slopes </w:t>
      </w:r>
      <m:oMath>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oMath>
      <w:r>
        <w:rPr>
          <w:rFonts w:ascii="Times New Roman" w:hAnsi="Times New Roman" w:cs="Times New Roman"/>
          <w:sz w:val="24"/>
          <w:szCs w:val="24"/>
          <w:lang w:val="en-US"/>
        </w:rPr>
        <w:t xml:space="preserve"> given a specific category of </w:t>
      </w:r>
      <w:r>
        <w:rPr>
          <w:rFonts w:ascii="Times New Roman" w:hAnsi="Times New Roman" w:cs="Times New Roman"/>
          <w:i/>
          <w:iCs/>
          <w:sz w:val="24"/>
          <w:szCs w:val="24"/>
          <w:lang w:val="en-US"/>
        </w:rPr>
        <w:t>hi</w:t>
      </w:r>
      <w:r>
        <w:rPr>
          <w:rFonts w:ascii="Times New Roman" w:hAnsi="Times New Roman" w:cs="Times New Roman"/>
          <w:sz w:val="24"/>
          <w:szCs w:val="24"/>
          <w:lang w:val="en-US"/>
        </w:rPr>
        <w:t xml:space="preserve">. This technique enabled the measurement of each municipality’s local dynamic pattern throughout the study period. Thus, if </w:t>
      </w:r>
      <m:oMath>
        <m:r>
          <w:rPr>
            <w:rFonts w:ascii="Cambria Math" w:hAnsi="Cambria Math"/>
          </w:rPr>
          <m:t>p</m:t>
        </m:r>
        <m:d>
          <m:dPr>
            <m:endChr m:val="|"/>
            <m:ctrlPr>
              <w:rPr>
                <w:rFonts w:ascii="Cambria Math" w:hAnsi="Cambria Math"/>
              </w:rPr>
            </m:ctrlPr>
          </m:dPr>
          <m:e>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r>
              <w:rPr>
                <w:rFonts w:ascii="Cambria Math" w:hAnsi="Cambria Math"/>
                <w:lang w:val="en-US"/>
              </w:rPr>
              <m:t>&gt;0</m:t>
            </m:r>
          </m:e>
        </m:d>
        <m:r>
          <w:rPr>
            <w:rFonts w:ascii="Cambria Math" w:hAnsi="Cambria Math"/>
            <w:lang w:val="en-US"/>
          </w:rPr>
          <m:t>h</m:t>
        </m:r>
        <m:r>
          <w:rPr>
            <w:rFonts w:ascii="Cambria Math" w:hAnsi="Cambria Math"/>
          </w:rPr>
          <m:t>i</m:t>
        </m:r>
        <m:r>
          <w:rPr>
            <w:rFonts w:ascii="Cambria Math" w:hAnsi="Cambria Math"/>
            <w:lang w:val="en-US"/>
          </w:rPr>
          <m:t>,</m:t>
        </m:r>
        <m:r>
          <w:rPr>
            <w:rFonts w:ascii="Cambria Math" w:hAnsi="Cambria Math"/>
          </w:rPr>
          <m:t>data</m:t>
        </m:r>
        <m:r>
          <w:rPr>
            <w:rFonts w:ascii="Cambria Math" w:hAnsi="Cambria Math"/>
            <w:lang w:val="en-US"/>
          </w:rPr>
          <m:t>&gt;0.8</m:t>
        </m:r>
      </m:oMath>
      <w:r>
        <w:rPr>
          <w:rFonts w:ascii="Times New Roman" w:hAnsi="Times New Roman" w:cs="Times New Roman"/>
          <w:sz w:val="24"/>
          <w:szCs w:val="24"/>
          <w:lang w:val="en-US"/>
        </w:rPr>
        <w:t xml:space="preserve">, </w:t>
      </w:r>
      <m:oMath>
        <m:r>
          <w:rPr>
            <w:rFonts w:ascii="Cambria Math" w:hAnsi="Cambria Math"/>
          </w:rPr>
          <m:t>p</m:t>
        </m:r>
        <m:d>
          <m:dPr>
            <m:endChr m:val="|"/>
            <m:ctrlPr>
              <w:rPr>
                <w:rFonts w:ascii="Cambria Math" w:hAnsi="Cambria Math"/>
              </w:rPr>
            </m:ctrlPr>
          </m:dPr>
          <m:e>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r>
              <w:rPr>
                <w:rFonts w:ascii="Cambria Math" w:hAnsi="Cambria Math"/>
                <w:lang w:val="en-US"/>
              </w:rPr>
              <m:t>&gt;0</m:t>
            </m:r>
          </m:e>
        </m:d>
        <m:r>
          <w:rPr>
            <w:rFonts w:ascii="Cambria Math" w:hAnsi="Cambria Math"/>
            <w:lang w:val="en-US"/>
          </w:rPr>
          <m:t>h</m:t>
        </m:r>
        <m:r>
          <w:rPr>
            <w:rFonts w:ascii="Cambria Math" w:hAnsi="Cambria Math"/>
          </w:rPr>
          <m:t>i</m:t>
        </m:r>
        <m:r>
          <w:rPr>
            <w:rFonts w:ascii="Cambria Math" w:hAnsi="Cambria Math"/>
            <w:lang w:val="en-US"/>
          </w:rPr>
          <m:t>,</m:t>
        </m:r>
        <m:r>
          <w:rPr>
            <w:rFonts w:ascii="Cambria Math" w:hAnsi="Cambria Math"/>
          </w:rPr>
          <m:t>data</m:t>
        </m:r>
        <m:r>
          <w:rPr>
            <w:rFonts w:ascii="Cambria Math" w:hAnsi="Cambria Math"/>
            <w:lang w:val="en-US"/>
          </w:rPr>
          <m:t>&lt;0.2</m:t>
        </m:r>
      </m:oMath>
      <w:r>
        <w:rPr>
          <w:rFonts w:ascii="Times New Roman" w:hAnsi="Times New Roman" w:cs="Times New Roman"/>
          <w:sz w:val="24"/>
          <w:szCs w:val="24"/>
          <w:lang w:val="en-US"/>
        </w:rPr>
        <w:t xml:space="preserve"> or </w:t>
      </w:r>
      <m:oMath>
        <m:r>
          <w:rPr>
            <w:rFonts w:ascii="Cambria Math" w:hAnsi="Cambria Math"/>
            <w:lang w:val="en-US"/>
          </w:rPr>
          <m:t>0.2&lt;</m:t>
        </m:r>
        <m:r>
          <w:rPr>
            <w:rFonts w:ascii="Cambria Math" w:hAnsi="Cambria Math"/>
          </w:rPr>
          <m:t>p</m:t>
        </m:r>
        <m:d>
          <m:dPr>
            <m:endChr m:val="|"/>
            <m:ctrlPr>
              <w:rPr>
                <w:rFonts w:ascii="Cambria Math" w:hAnsi="Cambria Math"/>
              </w:rPr>
            </m:ctrlPr>
          </m:dPr>
          <m:e>
            <m:sSub>
              <m:sSubPr>
                <m:ctrlPr>
                  <w:rPr>
                    <w:rFonts w:ascii="Cambria Math" w:hAnsi="Cambria Math"/>
                  </w:rPr>
                </m:ctrlPr>
              </m:sSubPr>
              <m:e>
                <m:r>
                  <w:rPr>
                    <w:rFonts w:ascii="Cambria Math" w:hAnsi="Cambria Math"/>
                  </w:rPr>
                  <m:t>d</m:t>
                </m:r>
              </m:e>
              <m:sub>
                <m:r>
                  <w:rPr>
                    <w:rFonts w:ascii="Cambria Math" w:hAnsi="Cambria Math"/>
                    <w:lang w:val="en-US"/>
                  </w:rPr>
                  <m:t>1</m:t>
                </m:r>
                <m:r>
                  <w:rPr>
                    <w:rFonts w:ascii="Cambria Math" w:hAnsi="Cambria Math"/>
                  </w:rPr>
                  <m:t>i</m:t>
                </m:r>
              </m:sub>
            </m:sSub>
            <m:r>
              <w:rPr>
                <w:rFonts w:ascii="Cambria Math" w:hAnsi="Cambria Math"/>
                <w:lang w:val="en-US"/>
              </w:rPr>
              <m:t>&gt;0</m:t>
            </m:r>
          </m:e>
        </m:d>
        <m:r>
          <w:rPr>
            <w:rFonts w:ascii="Cambria Math" w:hAnsi="Cambria Math"/>
            <w:lang w:val="en-US"/>
          </w:rPr>
          <m:t>h</m:t>
        </m:r>
        <m:r>
          <w:rPr>
            <w:rFonts w:ascii="Cambria Math" w:hAnsi="Cambria Math"/>
          </w:rPr>
          <m:t>i</m:t>
        </m:r>
        <m:r>
          <w:rPr>
            <w:rFonts w:ascii="Cambria Math" w:hAnsi="Cambria Math"/>
            <w:lang w:val="en-US"/>
          </w:rPr>
          <m:t>,</m:t>
        </m:r>
        <m:r>
          <w:rPr>
            <w:rFonts w:ascii="Cambria Math" w:hAnsi="Cambria Math"/>
          </w:rPr>
          <m:t>data</m:t>
        </m:r>
        <m:r>
          <w:rPr>
            <w:rFonts w:ascii="Cambria Math" w:hAnsi="Cambria Math"/>
            <w:lang w:val="en-US"/>
          </w:rPr>
          <m:t>&lt;0.8</m:t>
        </m:r>
      </m:oMath>
      <w:r>
        <w:rPr>
          <w:rFonts w:ascii="Times New Roman" w:hAnsi="Times New Roman" w:cs="Times New Roman"/>
          <w:sz w:val="24"/>
          <w:szCs w:val="24"/>
          <w:lang w:val="en-US"/>
        </w:rPr>
        <w:t xml:space="preserve"> the municipality was classified as having an increasing, decreasing or stable trend, in comparison with the overall trend.      </w:t>
      </w:r>
    </w:p>
    <w:p w14:paraId="10839BBE" w14:textId="77777777" w:rsidR="006E5D69" w:rsidRPr="00AC4380" w:rsidRDefault="006E5D69" w:rsidP="006E5D69">
      <w:pPr>
        <w:spacing w:after="159" w:line="360" w:lineRule="auto"/>
        <w:jc w:val="both"/>
        <w:rPr>
          <w:rFonts w:ascii="Times New Roman" w:hAnsi="Times New Roman" w:cs="Times New Roman"/>
          <w:b/>
          <w:color w:val="000000"/>
          <w:sz w:val="24"/>
          <w:szCs w:val="24"/>
          <w:lang w:val="en-US"/>
        </w:rPr>
      </w:pPr>
      <w:r>
        <w:rPr>
          <w:rFonts w:ascii="Times New Roman" w:hAnsi="Times New Roman" w:cs="Times New Roman"/>
          <w:sz w:val="24"/>
          <w:szCs w:val="24"/>
          <w:lang w:val="en-US"/>
        </w:rPr>
        <w:lastRenderedPageBreak/>
        <w:t>The model was implemented in R [33]</w:t>
      </w:r>
      <w:r>
        <w:fldChar w:fldCharType="begin"/>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[33]</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and </w:t>
      </w:r>
      <w:proofErr w:type="spellStart"/>
      <w:r>
        <w:rPr>
          <w:rFonts w:ascii="Times New Roman" w:hAnsi="Times New Roman" w:cs="Times New Roman"/>
          <w:sz w:val="24"/>
          <w:szCs w:val="24"/>
          <w:lang w:val="en-US"/>
        </w:rPr>
        <w:t>WinBUGS</w:t>
      </w:r>
      <w:proofErr w:type="spellEnd"/>
      <w:r>
        <w:fldChar w:fldCharType="begin"/>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[34]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[34] (statistical software). We ran MCMC chains of 100,000 (for this number the model reaches convergence) with different initial values. 70,000 iterations were used for making inferences from the model, after having burned in the first 30,000. The convergence was examined by visual inspection of the history plots and through the Gelman-Rubin diagnostic </w:t>
      </w:r>
      <w:r>
        <w:fldChar w:fldCharType="begin"/>
      </w:r>
      <w:r>
        <w:rPr>
          <w:rFonts w:ascii="Times New Roman" w:hAnsi="Times New Roman" w:cs="Times New Roman"/>
          <w:sz w:val="24"/>
          <w:szCs w:val="24"/>
          <w:lang w:val="en-US"/>
        </w:rPr>
        <w:instrText>ADDIN CSL_CITATION {"citationItems":[{"id":"ITEM-1","itemData":{"ISSN":"0883-4237","author":[{"dropping-particle":"","family":"Gelman","given":"Andrew","non-dropping-particle":"","parse-names":false,"suffix":""},{"dropping-particle":"","family":"Rubin","given":"Donald B","non-dropping-particle":"","parse-names":false,"suffix":""}],"container-title":"Statistical science","id":"ITEM-1","issue":"4","issued":{"date-parts":[["1992"]]},"page":"457-472","publisher":"Institute of Mathematical Statistics","title":"Inference from iterative simulation using multiple sequences","type":"article-journal","volume":"7"},"uris":["http://www.mendeley.com/documents/?uuid=a45bd1cf-f303-478a-8987-6d672d561c1c"]}],"mendeley":{"formattedCitation":"[31]","plainTextFormattedCitation":"[31]","previouslyFormattedCitation":"[31]"},"properties":{"noteIndex":0},"schema":"https://github.com/citation-style-language/schema/raw/master/csl-citation.json"}</w:instrText>
      </w:r>
      <w:r>
        <w:rPr>
          <w:rFonts w:ascii="Times New Roman" w:hAnsi="Times New Roman" w:cs="Times New Roman"/>
          <w:sz w:val="24"/>
          <w:szCs w:val="24"/>
          <w:lang w:val="en-US"/>
        </w:rPr>
        <w:fldChar w:fldCharType="separate"/>
      </w:r>
      <w:r>
        <w:rPr>
          <w:rFonts w:ascii="Times New Roman" w:hAnsi="Times New Roman" w:cs="Times New Roman"/>
          <w:sz w:val="24"/>
          <w:szCs w:val="24"/>
          <w:lang w:val="en-US"/>
        </w:rPr>
        <w:t>[31]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which are standard statistical tests to measure convergence of MCMC chains. The values from the Gelman-Rubin diagnostic remained lower than 1.04 for every single model parameter, meaning that the chains achieved convergence after the burn-</w:t>
      </w:r>
      <w:bookmarkStart w:id="111" w:name="__DdeLink__5077_1653188140"/>
      <w:bookmarkEnd w:id="111"/>
      <w:r>
        <w:rPr>
          <w:rFonts w:ascii="Times New Roman" w:hAnsi="Times New Roman" w:cs="Times New Roman"/>
          <w:sz w:val="24"/>
          <w:szCs w:val="24"/>
          <w:lang w:val="en-US"/>
        </w:rPr>
        <w:t>in period.</w:t>
      </w:r>
    </w:p>
    <w:p w14:paraId="1EB4758E"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D69"/>
    <w:rsid w:val="006E5D69"/>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0CA53"/>
  <w15:chartTrackingRefBased/>
  <w15:docId w15:val="{D50C7950-2B59-4B36-AB32-286BCCE9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D69"/>
    <w:pPr>
      <w:suppressAutoHyphens/>
      <w:overflowPunct w:val="0"/>
    </w:pPr>
    <w:rPr>
      <w:rFonts w:ascii="Calibri" w:eastAsia="Calibri" w:hAnsi="Calibri" w:cs="Tahoma"/>
      <w:lang w:val="es-ES"/>
    </w:rPr>
  </w:style>
  <w:style w:type="paragraph" w:styleId="Heading3">
    <w:name w:val="heading 3"/>
    <w:basedOn w:val="Normal"/>
    <w:next w:val="Normal"/>
    <w:link w:val="Heading3Char"/>
    <w:qFormat/>
    <w:rsid w:val="006E5D69"/>
    <w:pPr>
      <w:keepNext/>
      <w:keepLines/>
      <w:spacing w:before="40" w:after="0"/>
      <w:outlineLvl w:val="2"/>
    </w:pPr>
    <w:rPr>
      <w:rFonts w:ascii="Calibri Light" w:hAnsi="Calibri Light"/>
      <w:color w:val="1F3763"/>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6E5D69"/>
    <w:rPr>
      <w:rFonts w:ascii="Calibri Light" w:eastAsia="Calibri" w:hAnsi="Calibri Light" w:cs="Tahoma"/>
      <w:color w:val="1F3763"/>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2690</Words>
  <Characters>15338</Characters>
  <Application>Microsoft Office Word</Application>
  <DocSecurity>0</DocSecurity>
  <Lines>127</Lines>
  <Paragraphs>35</Paragraphs>
  <ScaleCrop>false</ScaleCrop>
  <Company/>
  <LinksUpToDate>false</LinksUpToDate>
  <CharactersWithSpaces>17993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2020-05-18T02:29:00Z</dcterms:created>
  <dcterms:modified xsi:type="dcterms:W3CDTF">2020-05-18T02:29:00Z</dcterms:modified>
</cp:coreProperties>
</file>