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A8E8C" w14:textId="6F92CB68" w:rsidR="0044213F" w:rsidRPr="006F2316" w:rsidRDefault="006F2316" w:rsidP="0044213F">
      <w:pPr>
        <w:rPr>
          <w:rFonts w:hint="eastAsia"/>
          <w:b/>
          <w:bCs/>
        </w:rPr>
      </w:pPr>
      <w:r w:rsidRPr="00272727">
        <w:rPr>
          <w:b/>
          <w:bCs/>
        </w:rPr>
        <w:t>Oxygen-loaded microbubble-mediated sonoperfusion and oxygenation for neuroprotection after ischemic stroke reperfusion</w:t>
      </w:r>
    </w:p>
    <w:p w14:paraId="336B56FE" w14:textId="77777777" w:rsidR="0044213F" w:rsidRPr="00494568" w:rsidRDefault="0044213F" w:rsidP="0044213F"/>
    <w:p w14:paraId="37F528B6" w14:textId="77777777" w:rsidR="0044213F" w:rsidRPr="00F43E55" w:rsidRDefault="0044213F" w:rsidP="0044213F">
      <w:bookmarkStart w:id="0" w:name="OLE_LINK267"/>
      <w:bookmarkStart w:id="1" w:name="OLE_LINK176"/>
      <w:r w:rsidRPr="00F43E55">
        <w:t>Yi-Ju Ho</w:t>
      </w:r>
      <w:bookmarkEnd w:id="0"/>
      <w:r w:rsidRPr="00F43E55">
        <w:rPr>
          <w:vertAlign w:val="superscript"/>
        </w:rPr>
        <w:t>1</w:t>
      </w:r>
      <w:r w:rsidRPr="00F43E55">
        <w:t>, Hsiang-Lung Cheng</w:t>
      </w:r>
      <w:r w:rsidRPr="00F43E55">
        <w:rPr>
          <w:vertAlign w:val="superscript"/>
        </w:rPr>
        <w:t>2</w:t>
      </w:r>
      <w:r w:rsidRPr="00F43E55">
        <w:t xml:space="preserve">, </w:t>
      </w:r>
      <w:bookmarkStart w:id="2" w:name="OLE_LINK467"/>
      <w:r w:rsidRPr="00F43E55">
        <w:rPr>
          <w:szCs w:val="24"/>
        </w:rPr>
        <w:t>Lun-De Liao</w:t>
      </w:r>
      <w:bookmarkEnd w:id="2"/>
      <w:r w:rsidRPr="00F43E55">
        <w:rPr>
          <w:szCs w:val="24"/>
          <w:vertAlign w:val="superscript"/>
        </w:rPr>
        <w:t>3</w:t>
      </w:r>
      <w:r w:rsidRPr="00F43E55">
        <w:rPr>
          <w:kern w:val="0"/>
          <w:szCs w:val="24"/>
        </w:rPr>
        <w:t>,</w:t>
      </w:r>
      <w:r w:rsidRPr="00F43E55">
        <w:t xml:space="preserve"> </w:t>
      </w:r>
      <w:r w:rsidRPr="00F43E55">
        <w:rPr>
          <w:kern w:val="0"/>
          <w:szCs w:val="24"/>
        </w:rPr>
        <w:t>Yu-Chun Lin</w:t>
      </w:r>
      <w:r w:rsidRPr="00F43E55">
        <w:rPr>
          <w:kern w:val="0"/>
          <w:szCs w:val="24"/>
          <w:vertAlign w:val="superscript"/>
        </w:rPr>
        <w:t>4, 5</w:t>
      </w:r>
      <w:r w:rsidRPr="00F43E55">
        <w:rPr>
          <w:szCs w:val="24"/>
        </w:rPr>
        <w:t xml:space="preserve">, </w:t>
      </w:r>
      <w:r w:rsidRPr="00576C57">
        <w:rPr>
          <w:szCs w:val="24"/>
        </w:rPr>
        <w:t>Hong-Chieh Tsai</w:t>
      </w:r>
      <w:r>
        <w:rPr>
          <w:vertAlign w:val="superscript"/>
        </w:rPr>
        <w:t>6</w:t>
      </w:r>
      <w:r w:rsidRPr="00F43E55">
        <w:rPr>
          <w:vertAlign w:val="superscript"/>
        </w:rPr>
        <w:t>,</w:t>
      </w:r>
      <w:r>
        <w:rPr>
          <w:vertAlign w:val="superscript"/>
        </w:rPr>
        <w:t>7,</w:t>
      </w:r>
      <w:r w:rsidRPr="00F43E55">
        <w:rPr>
          <w:vertAlign w:val="superscript"/>
        </w:rPr>
        <w:t>*</w:t>
      </w:r>
      <w:r>
        <w:rPr>
          <w:szCs w:val="24"/>
        </w:rPr>
        <w:t xml:space="preserve">, </w:t>
      </w:r>
      <w:r w:rsidRPr="00F43E55">
        <w:t xml:space="preserve">and </w:t>
      </w:r>
      <w:bookmarkStart w:id="3" w:name="OLE_LINK262"/>
      <w:r w:rsidRPr="00F43E55">
        <w:t>Chih-Kuang Yeh</w:t>
      </w:r>
      <w:bookmarkEnd w:id="3"/>
      <w:r w:rsidRPr="00F43E55">
        <w:rPr>
          <w:vertAlign w:val="superscript"/>
        </w:rPr>
        <w:t>2,*</w:t>
      </w:r>
    </w:p>
    <w:bookmarkEnd w:id="1"/>
    <w:p w14:paraId="71C47453" w14:textId="77777777" w:rsidR="0044213F" w:rsidRDefault="0044213F" w:rsidP="001E0438">
      <w:pPr>
        <w:widowControl/>
        <w:rPr>
          <w:rFonts w:ascii="Arial" w:hAnsi="Arial" w:cs="Arial"/>
          <w:b/>
          <w:bCs/>
        </w:rPr>
      </w:pPr>
    </w:p>
    <w:p w14:paraId="5C5D16F9" w14:textId="364C6DB2" w:rsidR="001E0438" w:rsidRPr="004449FA" w:rsidRDefault="001E0438" w:rsidP="001E0438">
      <w:pPr>
        <w:widowControl/>
        <w:rPr>
          <w:rFonts w:ascii="Arial" w:hAnsi="Arial" w:cs="Arial"/>
          <w:b/>
          <w:bCs/>
        </w:rPr>
      </w:pPr>
      <w:r w:rsidRPr="004449FA">
        <w:rPr>
          <w:rFonts w:ascii="Arial" w:hAnsi="Arial" w:cs="Arial"/>
          <w:b/>
          <w:bCs/>
        </w:rPr>
        <w:t xml:space="preserve">Supplemental </w:t>
      </w:r>
      <w:r w:rsidR="006F2316">
        <w:rPr>
          <w:rFonts w:ascii="Arial" w:hAnsi="Arial" w:cs="Arial"/>
          <w:b/>
          <w:bCs/>
        </w:rPr>
        <w:t>Information</w:t>
      </w:r>
    </w:p>
    <w:p w14:paraId="7A472D63" w14:textId="77777777" w:rsidR="001E0438" w:rsidRPr="004449FA" w:rsidRDefault="001E0438" w:rsidP="001E0438">
      <w:pPr>
        <w:widowControl/>
        <w:rPr>
          <w:rFonts w:ascii="Arial" w:hAnsi="Arial" w:cs="Arial"/>
        </w:rPr>
      </w:pPr>
      <w:r w:rsidRPr="004449FA">
        <w:rPr>
          <w:rFonts w:ascii="Arial" w:hAnsi="Arial" w:cs="Arial"/>
        </w:rPr>
        <w:t>Table S1</w:t>
      </w:r>
    </w:p>
    <w:p w14:paraId="17A5347D" w14:textId="65FE6EBA" w:rsidR="001E0438" w:rsidRPr="004449FA" w:rsidRDefault="001E0438" w:rsidP="001E0438">
      <w:pPr>
        <w:widowControl/>
        <w:rPr>
          <w:rFonts w:ascii="Arial" w:hAnsi="Arial" w:cs="Arial"/>
        </w:rPr>
      </w:pPr>
      <w:r w:rsidRPr="004449FA">
        <w:rPr>
          <w:rFonts w:ascii="Arial" w:hAnsi="Arial" w:cs="Arial"/>
        </w:rPr>
        <w:t>Figure</w:t>
      </w:r>
      <w:r>
        <w:rPr>
          <w:rFonts w:ascii="Arial" w:hAnsi="Arial" w:cs="Arial"/>
        </w:rPr>
        <w:t>s</w:t>
      </w:r>
      <w:r w:rsidRPr="004449FA">
        <w:rPr>
          <w:rFonts w:ascii="Arial" w:hAnsi="Arial" w:cs="Arial"/>
        </w:rPr>
        <w:t xml:space="preserve"> S1-S</w:t>
      </w:r>
      <w:r w:rsidR="006F2316">
        <w:rPr>
          <w:rFonts w:ascii="Arial" w:hAnsi="Arial" w:cs="Arial"/>
        </w:rPr>
        <w:t>6</w:t>
      </w:r>
    </w:p>
    <w:p w14:paraId="37DB6D43" w14:textId="77777777" w:rsidR="001E0438" w:rsidRPr="004449FA" w:rsidRDefault="001E0438" w:rsidP="001E0438">
      <w:pPr>
        <w:widowControl/>
        <w:rPr>
          <w:rFonts w:ascii="Arial" w:hAnsi="Arial" w:cs="Arial"/>
          <w:b/>
          <w:bCs/>
        </w:rPr>
      </w:pPr>
    </w:p>
    <w:p w14:paraId="77FB729C" w14:textId="77777777" w:rsidR="001E0438" w:rsidRPr="004449FA" w:rsidRDefault="001E0438" w:rsidP="001E0438">
      <w:r w:rsidRPr="004449FA">
        <w:rPr>
          <w:b/>
          <w:bCs/>
        </w:rPr>
        <w:t>Table S1.</w:t>
      </w:r>
      <w:r w:rsidRPr="004449FA">
        <w:t xml:space="preserve"> Primer sequences for qPCR.</w:t>
      </w:r>
    </w:p>
    <w:p w14:paraId="0468D19F" w14:textId="77777777" w:rsidR="001E0438" w:rsidRPr="004449FA" w:rsidRDefault="001E0438" w:rsidP="001E0438">
      <w:pPr>
        <w:rPr>
          <w:rFonts w:ascii="Arial" w:hAnsi="Arial" w:cs="Arial"/>
          <w:b/>
          <w:bCs/>
        </w:rPr>
      </w:pPr>
      <w:r w:rsidRPr="004449FA">
        <w:rPr>
          <w:rFonts w:ascii="Arial" w:hAnsi="Arial" w:cs="Arial"/>
          <w:b/>
          <w:bCs/>
          <w:noProof/>
        </w:rPr>
        <w:drawing>
          <wp:inline distT="0" distB="0" distL="0" distR="0" wp14:anchorId="3CF4ED65" wp14:editId="1B441203">
            <wp:extent cx="4906800" cy="1598400"/>
            <wp:effectExtent l="0" t="0" r="8255" b="1905"/>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06800" cy="1598400"/>
                    </a:xfrm>
                    <a:prstGeom prst="rect">
                      <a:avLst/>
                    </a:prstGeom>
                    <a:noFill/>
                  </pic:spPr>
                </pic:pic>
              </a:graphicData>
            </a:graphic>
          </wp:inline>
        </w:drawing>
      </w:r>
    </w:p>
    <w:p w14:paraId="443E797C" w14:textId="77777777" w:rsidR="001E0438" w:rsidRPr="004449FA" w:rsidRDefault="001E0438" w:rsidP="001E0438">
      <w:pPr>
        <w:widowControl/>
        <w:rPr>
          <w:rFonts w:ascii="Arial" w:hAnsi="Arial" w:cs="Arial"/>
          <w:b/>
          <w:bCs/>
        </w:rPr>
      </w:pPr>
      <w:r w:rsidRPr="004449FA">
        <w:rPr>
          <w:rFonts w:ascii="Arial" w:hAnsi="Arial" w:cs="Arial"/>
          <w:b/>
          <w:bCs/>
        </w:rPr>
        <w:br w:type="page"/>
      </w:r>
    </w:p>
    <w:p w14:paraId="2BC750C8" w14:textId="77777777" w:rsidR="001E0438" w:rsidRPr="004449FA" w:rsidRDefault="001E0438" w:rsidP="001E0438">
      <w:pPr>
        <w:jc w:val="center"/>
      </w:pPr>
      <w:r w:rsidRPr="004449FA">
        <w:rPr>
          <w:noProof/>
        </w:rPr>
        <w:lastRenderedPageBreak/>
        <w:drawing>
          <wp:inline distT="0" distB="0" distL="0" distR="0" wp14:anchorId="1D73BA29" wp14:editId="7BB96BCA">
            <wp:extent cx="4366800" cy="2793600"/>
            <wp:effectExtent l="0" t="0" r="0" b="6985"/>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66800" cy="2793600"/>
                    </a:xfrm>
                    <a:prstGeom prst="rect">
                      <a:avLst/>
                    </a:prstGeom>
                    <a:noFill/>
                  </pic:spPr>
                </pic:pic>
              </a:graphicData>
            </a:graphic>
          </wp:inline>
        </w:drawing>
      </w:r>
    </w:p>
    <w:p w14:paraId="1872CE1E" w14:textId="77777777" w:rsidR="001E0438" w:rsidRPr="004449FA" w:rsidRDefault="001E0438" w:rsidP="001E0438">
      <w:pPr>
        <w:rPr>
          <w:rFonts w:ascii="Arial" w:hAnsi="Arial" w:cs="Arial"/>
          <w:b/>
          <w:bCs/>
        </w:rPr>
      </w:pPr>
      <w:r w:rsidRPr="004449FA">
        <w:rPr>
          <w:rFonts w:ascii="Arial" w:hAnsi="Arial" w:cs="Arial"/>
          <w:b/>
          <w:bCs/>
        </w:rPr>
        <w:t xml:space="preserve">Figure S1. </w:t>
      </w:r>
      <w:r w:rsidRPr="004449FA">
        <w:rPr>
          <w:rFonts w:ascii="Arial" w:hAnsi="Arial" w:cs="Arial"/>
          <w:b/>
          <w:bCs/>
          <w:i/>
          <w:iCs/>
        </w:rPr>
        <w:t>In vitro</w:t>
      </w:r>
      <w:r w:rsidRPr="004449FA">
        <w:rPr>
          <w:rFonts w:ascii="Arial" w:hAnsi="Arial" w:cs="Arial"/>
          <w:b/>
          <w:bCs/>
        </w:rPr>
        <w:t xml:space="preserve"> stability of oxygen-loaded microbubble</w:t>
      </w:r>
      <w:r>
        <w:rPr>
          <w:rFonts w:ascii="Arial" w:hAnsi="Arial" w:cs="Arial"/>
          <w:b/>
          <w:bCs/>
        </w:rPr>
        <w:t>s</w:t>
      </w:r>
      <w:r w:rsidRPr="004449FA">
        <w:rPr>
          <w:rFonts w:ascii="Arial" w:hAnsi="Arial" w:cs="Arial"/>
          <w:b/>
          <w:bCs/>
        </w:rPr>
        <w:t xml:space="preserve"> (OMB) and C</w:t>
      </w:r>
      <w:r w:rsidRPr="004449FA">
        <w:rPr>
          <w:rFonts w:ascii="Arial" w:hAnsi="Arial" w:cs="Arial"/>
          <w:b/>
          <w:bCs/>
          <w:vertAlign w:val="subscript"/>
        </w:rPr>
        <w:t>3</w:t>
      </w:r>
      <w:r w:rsidRPr="004449FA">
        <w:rPr>
          <w:rFonts w:ascii="Arial" w:hAnsi="Arial" w:cs="Arial"/>
          <w:b/>
          <w:bCs/>
        </w:rPr>
        <w:t>F</w:t>
      </w:r>
      <w:r w:rsidRPr="004449FA">
        <w:rPr>
          <w:rFonts w:ascii="Arial" w:hAnsi="Arial" w:cs="Arial"/>
          <w:b/>
          <w:bCs/>
          <w:vertAlign w:val="subscript"/>
        </w:rPr>
        <w:t>8</w:t>
      </w:r>
      <w:r w:rsidRPr="004449FA">
        <w:rPr>
          <w:rFonts w:ascii="Arial" w:hAnsi="Arial" w:cs="Arial"/>
          <w:b/>
          <w:bCs/>
        </w:rPr>
        <w:t>-loaded microbubble</w:t>
      </w:r>
      <w:r>
        <w:rPr>
          <w:rFonts w:ascii="Arial" w:hAnsi="Arial" w:cs="Arial"/>
          <w:b/>
          <w:bCs/>
        </w:rPr>
        <w:t>s</w:t>
      </w:r>
      <w:r w:rsidRPr="004449FA">
        <w:rPr>
          <w:rFonts w:ascii="Arial" w:hAnsi="Arial" w:cs="Arial"/>
          <w:b/>
          <w:bCs/>
        </w:rPr>
        <w:t xml:space="preserve"> (CMB) under ultrasound B-mode imaging. </w:t>
      </w:r>
      <w:r w:rsidRPr="004449FA">
        <w:rPr>
          <w:rFonts w:ascii="Arial" w:hAnsi="Arial" w:cs="Arial"/>
        </w:rPr>
        <w:t>The MB emulsion (2x10</w:t>
      </w:r>
      <w:r w:rsidRPr="004449FA">
        <w:rPr>
          <w:rFonts w:ascii="Arial" w:hAnsi="Arial" w:cs="Arial"/>
          <w:vertAlign w:val="superscript"/>
        </w:rPr>
        <w:t>7</w:t>
      </w:r>
      <w:r w:rsidRPr="004449FA">
        <w:rPr>
          <w:rFonts w:ascii="Arial" w:hAnsi="Arial" w:cs="Arial"/>
        </w:rPr>
        <w:t xml:space="preserve"> MBs/mL) was added to a </w:t>
      </w:r>
      <w:r w:rsidRPr="004449FA">
        <w:t>cylindrical hollow chamber</w:t>
      </w:r>
      <w:r w:rsidRPr="004449FA">
        <w:rPr>
          <w:rFonts w:ascii="Arial" w:hAnsi="Arial" w:cs="Arial"/>
        </w:rPr>
        <w:t xml:space="preserve"> of an </w:t>
      </w:r>
      <w:r w:rsidRPr="004449FA">
        <w:t>agarose phantom</w:t>
      </w:r>
      <w:r w:rsidRPr="004449FA">
        <w:rPr>
          <w:rFonts w:ascii="Arial" w:hAnsi="Arial" w:cs="Arial"/>
        </w:rPr>
        <w:t xml:space="preserve">. </w:t>
      </w:r>
      <w:r w:rsidRPr="004449FA">
        <w:rPr>
          <w:rFonts w:ascii="Arial" w:hAnsi="Arial" w:cs="Arial"/>
          <w:b/>
          <w:bCs/>
        </w:rPr>
        <w:t xml:space="preserve">(A) </w:t>
      </w:r>
      <w:r w:rsidRPr="004449FA">
        <w:rPr>
          <w:rFonts w:ascii="Arial" w:hAnsi="Arial" w:cs="Arial"/>
        </w:rPr>
        <w:t xml:space="preserve">The ultrasound B-mode images were recorded over time to analyze the </w:t>
      </w:r>
      <w:r>
        <w:rPr>
          <w:rFonts w:ascii="Arial" w:hAnsi="Arial" w:cs="Arial"/>
        </w:rPr>
        <w:t>change in</w:t>
      </w:r>
      <w:r w:rsidRPr="004449FA">
        <w:rPr>
          <w:rFonts w:ascii="Arial" w:hAnsi="Arial" w:cs="Arial"/>
        </w:rPr>
        <w:t xml:space="preserve"> image contrast enhancement</w:t>
      </w:r>
      <w:r>
        <w:rPr>
          <w:rFonts w:ascii="Arial" w:hAnsi="Arial" w:cs="Arial"/>
        </w:rPr>
        <w:t>.</w:t>
      </w:r>
      <w:r w:rsidRPr="004449FA">
        <w:rPr>
          <w:rFonts w:ascii="Arial" w:hAnsi="Arial" w:cs="Arial"/>
        </w:rPr>
        <w:t xml:space="preserve"> The series of images show a slight reduction </w:t>
      </w:r>
      <w:r>
        <w:rPr>
          <w:rFonts w:ascii="Arial" w:hAnsi="Arial" w:cs="Arial"/>
        </w:rPr>
        <w:t>in</w:t>
      </w:r>
      <w:r w:rsidRPr="004449FA">
        <w:rPr>
          <w:rFonts w:ascii="Arial" w:hAnsi="Arial" w:cs="Arial"/>
        </w:rPr>
        <w:t xml:space="preserve"> contrast enhancement over time </w:t>
      </w:r>
      <w:r>
        <w:rPr>
          <w:rFonts w:ascii="Arial" w:hAnsi="Arial" w:cs="Arial"/>
        </w:rPr>
        <w:t xml:space="preserve">in </w:t>
      </w:r>
      <w:r w:rsidRPr="004449FA">
        <w:rPr>
          <w:rFonts w:ascii="Arial" w:hAnsi="Arial" w:cs="Arial"/>
        </w:rPr>
        <w:t xml:space="preserve">both the OMB and CMB groups. The yellow square indicates the </w:t>
      </w:r>
      <w:r w:rsidRPr="004449FA">
        <w:rPr>
          <w:kern w:val="0"/>
        </w:rPr>
        <w:t>region of interest (ROI; 2.5x2.5 mm</w:t>
      </w:r>
      <w:r w:rsidRPr="004449FA">
        <w:rPr>
          <w:kern w:val="0"/>
          <w:vertAlign w:val="superscript"/>
        </w:rPr>
        <w:t>2</w:t>
      </w:r>
      <w:r w:rsidRPr="004449FA">
        <w:rPr>
          <w:kern w:val="0"/>
        </w:rPr>
        <w:t>)</w:t>
      </w:r>
      <w:r w:rsidRPr="004449FA">
        <w:rPr>
          <w:rFonts w:ascii="Arial" w:hAnsi="Arial" w:cs="Arial"/>
        </w:rPr>
        <w:t xml:space="preserve"> for quantification </w:t>
      </w:r>
      <w:r>
        <w:rPr>
          <w:rFonts w:ascii="Arial" w:hAnsi="Arial" w:cs="Arial"/>
        </w:rPr>
        <w:t xml:space="preserve">of </w:t>
      </w:r>
      <w:r w:rsidRPr="004449FA">
        <w:rPr>
          <w:rFonts w:ascii="Arial" w:hAnsi="Arial" w:cs="Arial"/>
        </w:rPr>
        <w:t xml:space="preserve">contrast intensity. </w:t>
      </w:r>
      <w:r w:rsidRPr="004449FA">
        <w:rPr>
          <w:rFonts w:ascii="Arial" w:hAnsi="Arial" w:cs="Arial"/>
          <w:b/>
          <w:bCs/>
        </w:rPr>
        <w:t xml:space="preserve">(B) </w:t>
      </w:r>
      <w:r w:rsidRPr="004449FA">
        <w:rPr>
          <w:rFonts w:ascii="Arial" w:hAnsi="Arial" w:cs="Arial"/>
        </w:rPr>
        <w:t xml:space="preserve">The contrast intensity of OMBs </w:t>
      </w:r>
      <w:r>
        <w:rPr>
          <w:rFonts w:ascii="Arial" w:hAnsi="Arial" w:cs="Arial"/>
        </w:rPr>
        <w:t>was</w:t>
      </w:r>
      <w:r w:rsidRPr="004449FA">
        <w:rPr>
          <w:rFonts w:ascii="Arial" w:hAnsi="Arial" w:cs="Arial"/>
        </w:rPr>
        <w:t xml:space="preserve"> 24±0.7 dB at 0 min and 23±0.3 dB at 60 min (</w:t>
      </w:r>
      <w:r w:rsidRPr="004449FA">
        <w:rPr>
          <w:rFonts w:ascii="Arial" w:hAnsi="Arial" w:cs="Arial"/>
          <w:i/>
          <w:iCs/>
        </w:rPr>
        <w:t>p</w:t>
      </w:r>
      <w:r w:rsidRPr="004449FA">
        <w:rPr>
          <w:rFonts w:ascii="Arial" w:hAnsi="Arial" w:cs="Arial"/>
        </w:rPr>
        <w:t xml:space="preserve">=0.042). </w:t>
      </w:r>
    </w:p>
    <w:p w14:paraId="075A16FD" w14:textId="77777777" w:rsidR="001E0438" w:rsidRPr="004449FA" w:rsidRDefault="001E0438" w:rsidP="001E0438">
      <w:pPr>
        <w:widowControl/>
      </w:pPr>
      <w:r w:rsidRPr="004449FA">
        <w:br w:type="page"/>
      </w:r>
    </w:p>
    <w:p w14:paraId="2630A355" w14:textId="77777777" w:rsidR="001E0438" w:rsidRPr="004449FA" w:rsidRDefault="001E0438" w:rsidP="001E0438">
      <w:pPr>
        <w:jc w:val="center"/>
      </w:pPr>
      <w:r w:rsidRPr="004449FA">
        <w:rPr>
          <w:noProof/>
        </w:rPr>
        <w:lastRenderedPageBreak/>
        <w:drawing>
          <wp:inline distT="0" distB="0" distL="0" distR="0" wp14:anchorId="13692DBB" wp14:editId="450C1076">
            <wp:extent cx="4647600" cy="1263600"/>
            <wp:effectExtent l="0" t="0" r="0" b="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7600" cy="1263600"/>
                    </a:xfrm>
                    <a:prstGeom prst="rect">
                      <a:avLst/>
                    </a:prstGeom>
                    <a:noFill/>
                  </pic:spPr>
                </pic:pic>
              </a:graphicData>
            </a:graphic>
          </wp:inline>
        </w:drawing>
      </w:r>
    </w:p>
    <w:p w14:paraId="32F6A8EE" w14:textId="77777777" w:rsidR="001E0438" w:rsidRPr="004449FA" w:rsidRDefault="001E0438" w:rsidP="001E0438">
      <w:pPr>
        <w:rPr>
          <w:rFonts w:ascii="Arial" w:hAnsi="Arial" w:cs="Arial"/>
          <w:b/>
          <w:bCs/>
        </w:rPr>
      </w:pPr>
      <w:r w:rsidRPr="004449FA">
        <w:rPr>
          <w:rFonts w:ascii="Arial" w:hAnsi="Arial" w:cs="Arial"/>
          <w:b/>
          <w:bCs/>
        </w:rPr>
        <w:t>Figure S2. The destruction threshold of oxygen-loaded microbubble</w:t>
      </w:r>
      <w:r>
        <w:rPr>
          <w:rFonts w:ascii="Arial" w:hAnsi="Arial" w:cs="Arial"/>
          <w:b/>
          <w:bCs/>
        </w:rPr>
        <w:t>s</w:t>
      </w:r>
      <w:r w:rsidRPr="004449FA">
        <w:rPr>
          <w:rFonts w:ascii="Arial" w:hAnsi="Arial" w:cs="Arial"/>
          <w:b/>
          <w:bCs/>
        </w:rPr>
        <w:t xml:space="preserve"> (OMB) and C</w:t>
      </w:r>
      <w:r w:rsidRPr="004449FA">
        <w:rPr>
          <w:rFonts w:ascii="Arial" w:hAnsi="Arial" w:cs="Arial"/>
          <w:b/>
          <w:bCs/>
          <w:vertAlign w:val="subscript"/>
        </w:rPr>
        <w:t>3</w:t>
      </w:r>
      <w:r w:rsidRPr="004449FA">
        <w:rPr>
          <w:rFonts w:ascii="Arial" w:hAnsi="Arial" w:cs="Arial"/>
          <w:b/>
          <w:bCs/>
        </w:rPr>
        <w:t>F</w:t>
      </w:r>
      <w:r w:rsidRPr="004449FA">
        <w:rPr>
          <w:rFonts w:ascii="Arial" w:hAnsi="Arial" w:cs="Arial"/>
          <w:b/>
          <w:bCs/>
          <w:vertAlign w:val="subscript"/>
        </w:rPr>
        <w:t>8</w:t>
      </w:r>
      <w:r w:rsidRPr="004449FA">
        <w:rPr>
          <w:rFonts w:ascii="Arial" w:hAnsi="Arial" w:cs="Arial"/>
          <w:b/>
          <w:bCs/>
        </w:rPr>
        <w:t>-loaded microbubble</w:t>
      </w:r>
      <w:r>
        <w:rPr>
          <w:rFonts w:ascii="Arial" w:hAnsi="Arial" w:cs="Arial"/>
          <w:b/>
          <w:bCs/>
        </w:rPr>
        <w:t>s</w:t>
      </w:r>
      <w:r w:rsidRPr="004449FA">
        <w:rPr>
          <w:rFonts w:ascii="Arial" w:hAnsi="Arial" w:cs="Arial"/>
          <w:b/>
          <w:bCs/>
        </w:rPr>
        <w:t xml:space="preserve"> (CMB) under different acoustic pressures. </w:t>
      </w:r>
      <w:r w:rsidRPr="004449FA">
        <w:rPr>
          <w:rFonts w:ascii="Arial" w:hAnsi="Arial" w:cs="Arial"/>
        </w:rPr>
        <w:t>The MB emulsion (2x10</w:t>
      </w:r>
      <w:r w:rsidRPr="004449FA">
        <w:rPr>
          <w:rFonts w:ascii="Arial" w:hAnsi="Arial" w:cs="Arial"/>
          <w:vertAlign w:val="superscript"/>
        </w:rPr>
        <w:t>7</w:t>
      </w:r>
      <w:r w:rsidRPr="004449FA">
        <w:rPr>
          <w:rFonts w:ascii="Arial" w:hAnsi="Arial" w:cs="Arial"/>
        </w:rPr>
        <w:t xml:space="preserve"> MBs/mL) was infused into a </w:t>
      </w:r>
      <w:r w:rsidRPr="004449FA">
        <w:t xml:space="preserve">hollow pipe (Ø=0.58 mm) </w:t>
      </w:r>
      <w:r w:rsidRPr="004449FA">
        <w:rPr>
          <w:rFonts w:ascii="Arial" w:hAnsi="Arial" w:cs="Arial"/>
        </w:rPr>
        <w:t xml:space="preserve">of an </w:t>
      </w:r>
      <w:r w:rsidRPr="004449FA">
        <w:t>agarose phantom to mimic the vessel condition</w:t>
      </w:r>
      <w:r w:rsidRPr="004449FA">
        <w:rPr>
          <w:rFonts w:ascii="Arial" w:hAnsi="Arial" w:cs="Arial"/>
        </w:rPr>
        <w:t>. The ultrasound B-mode images were recorded over time to analyze the reduction of image contrast enhancement when MBs are disrupted by</w:t>
      </w:r>
      <w:r w:rsidRPr="004449FA">
        <w:rPr>
          <w:kern w:val="0"/>
        </w:rPr>
        <w:t xml:space="preserve"> a 1-MHz focused ultrasound transducer</w:t>
      </w:r>
      <w:r w:rsidRPr="004449FA">
        <w:rPr>
          <w:rFonts w:ascii="Arial" w:hAnsi="Arial" w:cs="Arial"/>
        </w:rPr>
        <w:t xml:space="preserve">. The destruction threshold of OMBs and CMBs is defined when the ultrasound images show no contrast enhancement under </w:t>
      </w:r>
      <w:r w:rsidRPr="004449FA">
        <w:rPr>
          <w:kern w:val="0"/>
        </w:rPr>
        <w:t>focused ultrasound stimulation with</w:t>
      </w:r>
      <w:r w:rsidRPr="004449FA">
        <w:rPr>
          <w:rFonts w:ascii="Arial" w:hAnsi="Arial" w:cs="Arial"/>
        </w:rPr>
        <w:t xml:space="preserve"> acoustic pressure of 300 kPa. The yellow square indicates the </w:t>
      </w:r>
      <w:r w:rsidRPr="004449FA">
        <w:rPr>
          <w:kern w:val="0"/>
        </w:rPr>
        <w:t>region of interest (ROI; 0.25x0.25 mm</w:t>
      </w:r>
      <w:r w:rsidRPr="004449FA">
        <w:rPr>
          <w:kern w:val="0"/>
          <w:vertAlign w:val="superscript"/>
        </w:rPr>
        <w:t>2</w:t>
      </w:r>
      <w:r w:rsidRPr="004449FA">
        <w:rPr>
          <w:kern w:val="0"/>
        </w:rPr>
        <w:t>)</w:t>
      </w:r>
      <w:r w:rsidRPr="004449FA">
        <w:rPr>
          <w:rFonts w:ascii="Arial" w:hAnsi="Arial" w:cs="Arial"/>
        </w:rPr>
        <w:t xml:space="preserve"> for quantification </w:t>
      </w:r>
      <w:r>
        <w:rPr>
          <w:rFonts w:ascii="Arial" w:hAnsi="Arial" w:cs="Arial"/>
        </w:rPr>
        <w:t xml:space="preserve">of </w:t>
      </w:r>
      <w:r w:rsidRPr="004449FA">
        <w:rPr>
          <w:rFonts w:ascii="Arial" w:hAnsi="Arial" w:cs="Arial"/>
        </w:rPr>
        <w:t>contrast intensity.</w:t>
      </w:r>
    </w:p>
    <w:p w14:paraId="3BBB7D04" w14:textId="77777777" w:rsidR="001E0438" w:rsidRPr="004449FA" w:rsidRDefault="001E0438" w:rsidP="001E0438">
      <w:pPr>
        <w:jc w:val="center"/>
      </w:pPr>
    </w:p>
    <w:p w14:paraId="22B7D207" w14:textId="77777777" w:rsidR="001E0438" w:rsidRPr="004449FA" w:rsidRDefault="001E0438" w:rsidP="001E0438">
      <w:pPr>
        <w:widowControl/>
      </w:pPr>
      <w:r w:rsidRPr="004449FA">
        <w:br w:type="page"/>
      </w:r>
    </w:p>
    <w:p w14:paraId="01012CA4" w14:textId="77777777" w:rsidR="001E0438" w:rsidRPr="004449FA" w:rsidRDefault="001E0438" w:rsidP="001E0438">
      <w:pPr>
        <w:jc w:val="center"/>
      </w:pPr>
      <w:r w:rsidRPr="004449FA">
        <w:rPr>
          <w:noProof/>
        </w:rPr>
        <w:lastRenderedPageBreak/>
        <w:drawing>
          <wp:inline distT="0" distB="0" distL="0" distR="0" wp14:anchorId="7AE05B2D" wp14:editId="0C16C529">
            <wp:extent cx="5050800" cy="4060800"/>
            <wp:effectExtent l="0" t="0" r="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50800" cy="4060800"/>
                    </a:xfrm>
                    <a:prstGeom prst="rect">
                      <a:avLst/>
                    </a:prstGeom>
                    <a:noFill/>
                  </pic:spPr>
                </pic:pic>
              </a:graphicData>
            </a:graphic>
          </wp:inline>
        </w:drawing>
      </w:r>
    </w:p>
    <w:p w14:paraId="251A37BE" w14:textId="28F2BD3A" w:rsidR="001E0438" w:rsidRPr="004449FA" w:rsidRDefault="001E0438" w:rsidP="001E0438">
      <w:pPr>
        <w:rPr>
          <w:kern w:val="0"/>
        </w:rPr>
      </w:pPr>
      <w:r w:rsidRPr="004449FA">
        <w:rPr>
          <w:rFonts w:ascii="Arial" w:hAnsi="Arial" w:cs="Arial"/>
          <w:b/>
          <w:bCs/>
        </w:rPr>
        <w:t xml:space="preserve">Figure S3. </w:t>
      </w:r>
      <w:r>
        <w:rPr>
          <w:rFonts w:ascii="Arial" w:hAnsi="Arial" w:cs="Arial"/>
          <w:b/>
          <w:bCs/>
        </w:rPr>
        <w:t>Establishment of m</w:t>
      </w:r>
      <w:r w:rsidRPr="004449FA">
        <w:rPr>
          <w:rFonts w:ascii="Arial" w:hAnsi="Arial" w:cs="Arial"/>
          <w:b/>
          <w:bCs/>
        </w:rPr>
        <w:t xml:space="preserve">urine ischemic-stroke model via </w:t>
      </w:r>
      <w:r w:rsidRPr="005452F9">
        <w:rPr>
          <w:b/>
          <w:bCs/>
        </w:rPr>
        <w:t>photodynamic thrombosis</w:t>
      </w:r>
      <w:r w:rsidRPr="004449FA">
        <w:rPr>
          <w:rFonts w:ascii="Arial" w:hAnsi="Arial" w:cs="Arial"/>
          <w:b/>
          <w:bCs/>
        </w:rPr>
        <w:t xml:space="preserve">. </w:t>
      </w:r>
      <w:r w:rsidRPr="004449FA">
        <w:rPr>
          <w:rFonts w:ascii="Arial" w:hAnsi="Arial" w:cs="Arial"/>
        </w:rPr>
        <w:t xml:space="preserve">The photodynamic thrombosis is formed at </w:t>
      </w:r>
      <w:r w:rsidRPr="005452F9">
        <w:t xml:space="preserve">the murine anterior cerebral artery remote branch (ACArb). Mice were </w:t>
      </w:r>
      <w:r w:rsidRPr="004449FA">
        <w:rPr>
          <w:kern w:val="0"/>
        </w:rPr>
        <w:t xml:space="preserve">retro-orbitally </w:t>
      </w:r>
      <w:r w:rsidRPr="004449FA">
        <w:rPr>
          <w:rFonts w:ascii="Arial" w:hAnsi="Arial" w:cs="Arial"/>
        </w:rPr>
        <w:t xml:space="preserve">injected with 50 </w:t>
      </w:r>
      <w:r w:rsidRPr="004449FA">
        <w:t xml:space="preserve">μL of photosensitizer rose bengal </w:t>
      </w:r>
      <w:r>
        <w:t>at</w:t>
      </w:r>
      <w:r w:rsidRPr="004449FA">
        <w:t xml:space="preserve"> doses of 10 and 20 mg/k</w:t>
      </w:r>
      <w:r>
        <w:t xml:space="preserve"> and then exposed to</w:t>
      </w:r>
      <w:r w:rsidRPr="004449FA">
        <w:t xml:space="preserve"> a </w:t>
      </w:r>
      <w:r w:rsidRPr="005452F9">
        <w:t xml:space="preserve">0.5 mW laser with wavelength of 532 nm </w:t>
      </w:r>
      <w:r>
        <w:t xml:space="preserve">for </w:t>
      </w:r>
      <w:r w:rsidRPr="005452F9">
        <w:t xml:space="preserve">10, 15, or 20 min at </w:t>
      </w:r>
      <w:r>
        <w:t xml:space="preserve">the </w:t>
      </w:r>
      <w:r w:rsidRPr="005452F9">
        <w:t xml:space="preserve">ACArb. </w:t>
      </w:r>
      <w:r w:rsidRPr="005452F9">
        <w:rPr>
          <w:b/>
          <w:bCs/>
        </w:rPr>
        <w:t xml:space="preserve">(A) </w:t>
      </w:r>
      <w:r w:rsidRPr="005452F9">
        <w:t>The group name</w:t>
      </w:r>
      <w:r>
        <w:t>s</w:t>
      </w:r>
      <w:r w:rsidRPr="005452F9">
        <w:t xml:space="preserve"> </w:t>
      </w:r>
      <w:r>
        <w:t xml:space="preserve">are based on </w:t>
      </w:r>
      <w:r w:rsidRPr="005452F9">
        <w:t xml:space="preserve">the doses of </w:t>
      </w:r>
      <w:r>
        <w:rPr>
          <w:kern w:val="0"/>
        </w:rPr>
        <w:t>r</w:t>
      </w:r>
      <w:r w:rsidRPr="004449FA">
        <w:rPr>
          <w:kern w:val="0"/>
        </w:rPr>
        <w:t xml:space="preserve">ose </w:t>
      </w:r>
      <w:r>
        <w:rPr>
          <w:kern w:val="0"/>
        </w:rPr>
        <w:t>b</w:t>
      </w:r>
      <w:r w:rsidRPr="004449FA">
        <w:rPr>
          <w:kern w:val="0"/>
        </w:rPr>
        <w:t xml:space="preserve">engal </w:t>
      </w:r>
      <w:r w:rsidRPr="005452F9">
        <w:t>plus the exposure time of laser (</w:t>
      </w:r>
      <w:r w:rsidRPr="004449FA">
        <w:rPr>
          <w:kern w:val="0"/>
        </w:rPr>
        <w:t>RB</w:t>
      </w:r>
      <w:r w:rsidRPr="005452F9">
        <w:t xml:space="preserve">+L). The blood flow </w:t>
      </w:r>
      <w:r>
        <w:t>was</w:t>
      </w:r>
      <w:r w:rsidRPr="005452F9">
        <w:t xml:space="preserve"> 74±0</w:t>
      </w:r>
      <w:r w:rsidRPr="005452F9">
        <w:rPr>
          <w:kern w:val="0"/>
        </w:rPr>
        <w:t>%</w:t>
      </w:r>
      <w:r w:rsidRPr="005452F9">
        <w:t>, 88±3</w:t>
      </w:r>
      <w:r w:rsidRPr="005452F9">
        <w:rPr>
          <w:kern w:val="0"/>
        </w:rPr>
        <w:t>%</w:t>
      </w:r>
      <w:r w:rsidRPr="005452F9">
        <w:t>, 83±6</w:t>
      </w:r>
      <w:r w:rsidRPr="005452F9">
        <w:rPr>
          <w:kern w:val="0"/>
        </w:rPr>
        <w:t>%</w:t>
      </w:r>
      <w:r w:rsidRPr="005452F9">
        <w:t xml:space="preserve">, and 46±5% </w:t>
      </w:r>
      <w:r>
        <w:t>and t</w:t>
      </w:r>
      <w:r w:rsidRPr="005452F9">
        <w:t xml:space="preserve">he </w:t>
      </w:r>
      <w:r w:rsidRPr="005452F9">
        <w:rPr>
          <w:kern w:val="0"/>
        </w:rPr>
        <w:t>pO</w:t>
      </w:r>
      <w:r w:rsidRPr="005452F9">
        <w:rPr>
          <w:kern w:val="0"/>
          <w:vertAlign w:val="subscript"/>
        </w:rPr>
        <w:t>2</w:t>
      </w:r>
      <w:r w:rsidRPr="005452F9">
        <w:rPr>
          <w:kern w:val="0"/>
        </w:rPr>
        <w:t xml:space="preserve"> level </w:t>
      </w:r>
      <w:r>
        <w:rPr>
          <w:kern w:val="0"/>
        </w:rPr>
        <w:t>was</w:t>
      </w:r>
      <w:r w:rsidRPr="005452F9">
        <w:rPr>
          <w:kern w:val="0"/>
        </w:rPr>
        <w:t xml:space="preserve"> 84±1%, 93±5%, 94±4%, and 64±3%</w:t>
      </w:r>
      <w:r>
        <w:rPr>
          <w:kern w:val="0"/>
        </w:rPr>
        <w:t xml:space="preserve"> </w:t>
      </w:r>
      <w:r w:rsidRPr="004531E0">
        <w:t>in the 10+20, 20+10, 20+15, and 20+20 groups, respectively</w:t>
      </w:r>
      <w:r w:rsidRPr="005452F9">
        <w:rPr>
          <w:kern w:val="0"/>
        </w:rPr>
        <w:t>.</w:t>
      </w:r>
      <w:r w:rsidRPr="005452F9">
        <w:t xml:space="preserve"> In the 20+20 group,</w:t>
      </w:r>
      <w:r w:rsidRPr="005452F9">
        <w:rPr>
          <w:kern w:val="0"/>
        </w:rPr>
        <w:t xml:space="preserve"> </w:t>
      </w:r>
      <w:r w:rsidRPr="005452F9">
        <w:t xml:space="preserve">the blood flow and </w:t>
      </w:r>
      <w:bookmarkStart w:id="4" w:name="OLE_LINK77"/>
      <w:r w:rsidRPr="005452F9">
        <w:t>pO</w:t>
      </w:r>
      <w:r w:rsidRPr="005452F9">
        <w:rPr>
          <w:vertAlign w:val="subscript"/>
        </w:rPr>
        <w:t>2</w:t>
      </w:r>
      <w:r w:rsidRPr="005452F9">
        <w:t xml:space="preserve"> level</w:t>
      </w:r>
      <w:bookmarkEnd w:id="4"/>
      <w:r w:rsidRPr="005452F9">
        <w:t xml:space="preserve">s continuously decreased and </w:t>
      </w:r>
      <w:r>
        <w:t xml:space="preserve">were </w:t>
      </w:r>
      <w:r w:rsidRPr="005452F9">
        <w:t>maintained at significant</w:t>
      </w:r>
      <w:r>
        <w:t>ly</w:t>
      </w:r>
      <w:r w:rsidRPr="005452F9">
        <w:t xml:space="preserve"> low levels at 60 min indicat</w:t>
      </w:r>
      <w:r>
        <w:t>ing</w:t>
      </w:r>
      <w:r w:rsidRPr="005452F9">
        <w:t xml:space="preserve"> stable clot formation. </w:t>
      </w:r>
      <w:r w:rsidRPr="005452F9">
        <w:rPr>
          <w:b/>
          <w:bCs/>
        </w:rPr>
        <w:t>(B)</w:t>
      </w:r>
      <w:r w:rsidRPr="005452F9">
        <w:t xml:space="preserve"> The brain infarct </w:t>
      </w:r>
      <w:r>
        <w:t xml:space="preserve">area was </w:t>
      </w:r>
      <w:r w:rsidRPr="005452F9">
        <w:t xml:space="preserve">stained </w:t>
      </w:r>
      <w:r>
        <w:t xml:space="preserve">white </w:t>
      </w:r>
      <w:r w:rsidRPr="005452F9">
        <w:t xml:space="preserve">by 2% </w:t>
      </w:r>
      <w:r w:rsidRPr="004449FA">
        <w:t>2,3,5-triphenyltetrazolium chloride</w:t>
      </w:r>
      <w:r>
        <w:t xml:space="preserve"> (TTC)</w:t>
      </w:r>
      <w:r w:rsidRPr="004449FA">
        <w:t xml:space="preserve">. The percentage of section </w:t>
      </w:r>
      <w:r>
        <w:t xml:space="preserve">with </w:t>
      </w:r>
      <w:r w:rsidRPr="004449FA">
        <w:t xml:space="preserve">infarct </w:t>
      </w:r>
      <w:r>
        <w:t>was</w:t>
      </w:r>
      <w:r w:rsidRPr="004449FA">
        <w:t xml:space="preserve"> 0.0</w:t>
      </w:r>
      <w:r w:rsidRPr="005452F9">
        <w:t>+0.0%, 5.1+1.0%, 5.4+2.8%, 8.0+0.7%, and 11.9+1.1% in the 10+20, 20+10, 20+15, and 20+20 groups, respectively</w:t>
      </w:r>
      <w:r w:rsidR="004F44F2">
        <w:t>.</w:t>
      </w:r>
      <w:r w:rsidRPr="004449FA">
        <w:rPr>
          <w:i/>
          <w:iCs/>
        </w:rPr>
        <w:t xml:space="preserve"> N</w:t>
      </w:r>
      <w:r w:rsidRPr="004449FA">
        <w:t xml:space="preserve">=3/group. </w:t>
      </w:r>
      <w:r>
        <w:rPr>
          <w:bCs/>
          <w:kern w:val="0"/>
          <w:szCs w:val="24"/>
        </w:rPr>
        <w:t>S</w:t>
      </w:r>
      <w:r w:rsidRPr="004449FA">
        <w:rPr>
          <w:rFonts w:eastAsia="Arial"/>
          <w:bCs/>
          <w:szCs w:val="24"/>
        </w:rPr>
        <w:t>ignificant difference</w:t>
      </w:r>
      <w:r>
        <w:rPr>
          <w:rFonts w:eastAsia="Arial"/>
          <w:bCs/>
          <w:szCs w:val="24"/>
        </w:rPr>
        <w:t>s are indicated</w:t>
      </w:r>
      <w:r w:rsidRPr="004449FA">
        <w:rPr>
          <w:bCs/>
          <w:szCs w:val="24"/>
        </w:rPr>
        <w:t xml:space="preserve">: </w:t>
      </w:r>
      <w:r w:rsidRPr="004449FA">
        <w:rPr>
          <w:kern w:val="0"/>
        </w:rPr>
        <w:t>*</w:t>
      </w:r>
      <w:r w:rsidRPr="004449FA">
        <w:rPr>
          <w:i/>
          <w:iCs/>
          <w:kern w:val="0"/>
        </w:rPr>
        <w:t>p</w:t>
      </w:r>
      <w:r w:rsidRPr="004449FA">
        <w:rPr>
          <w:kern w:val="0"/>
        </w:rPr>
        <w:t>&lt;0.05, **</w:t>
      </w:r>
      <w:r w:rsidRPr="004449FA">
        <w:rPr>
          <w:i/>
          <w:iCs/>
          <w:kern w:val="0"/>
        </w:rPr>
        <w:t>p</w:t>
      </w:r>
      <w:r w:rsidRPr="004449FA">
        <w:rPr>
          <w:kern w:val="0"/>
        </w:rPr>
        <w:t xml:space="preserve">&lt;0.01, </w:t>
      </w:r>
      <w:r>
        <w:rPr>
          <w:kern w:val="0"/>
        </w:rPr>
        <w:t xml:space="preserve">by </w:t>
      </w:r>
      <w:r w:rsidRPr="004449FA">
        <w:rPr>
          <w:kern w:val="0"/>
        </w:rPr>
        <w:t>one-way ANOVA with Bonferroni's multiple comparisons test.</w:t>
      </w:r>
    </w:p>
    <w:p w14:paraId="79D93549" w14:textId="77777777" w:rsidR="001E0438" w:rsidRPr="004449FA" w:rsidRDefault="001E0438" w:rsidP="001E0438"/>
    <w:p w14:paraId="1CDE1EE1" w14:textId="45F2C68B" w:rsidR="004F44F2" w:rsidRDefault="004F44F2">
      <w:pPr>
        <w:widowControl/>
        <w:jc w:val="left"/>
      </w:pPr>
      <w:r>
        <w:br w:type="page"/>
      </w:r>
    </w:p>
    <w:p w14:paraId="6E5A328B" w14:textId="56ECA66C" w:rsidR="004F44F2" w:rsidRDefault="004F44F2" w:rsidP="004F44F2">
      <w:pPr>
        <w:pStyle w:val="a7"/>
        <w:spacing w:line="240" w:lineRule="auto"/>
        <w:ind w:firstLine="0"/>
        <w:jc w:val="center"/>
        <w:rPr>
          <w:rFonts w:asciiTheme="minorHAnsi" w:hAnsiTheme="minorHAnsi" w:cstheme="minorHAnsi"/>
        </w:rPr>
      </w:pPr>
      <w:r>
        <w:rPr>
          <w:rFonts w:asciiTheme="minorHAnsi" w:hAnsiTheme="minorHAnsi" w:cstheme="minorHAnsi"/>
          <w:noProof/>
        </w:rPr>
        <w:lastRenderedPageBreak/>
        <w:drawing>
          <wp:inline distT="0" distB="0" distL="0" distR="0" wp14:anchorId="78DF48DF" wp14:editId="169E6AF0">
            <wp:extent cx="4878000" cy="1249200"/>
            <wp:effectExtent l="0" t="0" r="0" b="825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78000" cy="1249200"/>
                    </a:xfrm>
                    <a:prstGeom prst="rect">
                      <a:avLst/>
                    </a:prstGeom>
                    <a:noFill/>
                  </pic:spPr>
                </pic:pic>
              </a:graphicData>
            </a:graphic>
          </wp:inline>
        </w:drawing>
      </w:r>
    </w:p>
    <w:p w14:paraId="5196FC5D" w14:textId="285C6450" w:rsidR="00B13E1F" w:rsidRDefault="00B13E1F" w:rsidP="004F44F2">
      <w:pPr>
        <w:pStyle w:val="a7"/>
        <w:spacing w:line="240" w:lineRule="auto"/>
        <w:ind w:firstLine="0"/>
        <w:rPr>
          <w:b/>
          <w:bCs/>
        </w:rPr>
      </w:pPr>
      <w:r w:rsidRPr="00B13E1F">
        <w:rPr>
          <w:b/>
          <w:bCs/>
        </w:rPr>
        <w:t xml:space="preserve">Figure S4. OMB treatment-induced sonoperfusion increased cerebral microcirculation. </w:t>
      </w:r>
      <w:r w:rsidRPr="00B13E1F">
        <w:t xml:space="preserve">Blood perfusion images at the murine anterior cerebral artery remote branch (ACArb) were collected using a laser speckle imaging system (RFLSI III, RWD Life Sciences, Shenzhen, China). The normal image reveals weak signals at ACArb, then shows no signals at stroke (S) period to indicate the formation of ischemic stroke. After thrombolysis, the blood perfusion signals at ACArb are increased in the S/R image. The improvement of blood perfusion signals at the peripheral microcirculation of ACArb is visualized after OMB treatment (OMB+). The mice are different in each image. </w:t>
      </w:r>
    </w:p>
    <w:p w14:paraId="2FB2DCF3" w14:textId="4FB96682" w:rsidR="001E0438" w:rsidRPr="004F44F2" w:rsidRDefault="004F44F2" w:rsidP="004F44F2">
      <w:pPr>
        <w:widowControl/>
        <w:jc w:val="left"/>
      </w:pPr>
      <w:r>
        <w:br w:type="page"/>
      </w:r>
    </w:p>
    <w:p w14:paraId="10536872" w14:textId="77777777" w:rsidR="001E0438" w:rsidRPr="004449FA" w:rsidRDefault="001E0438" w:rsidP="001E0438">
      <w:pPr>
        <w:jc w:val="center"/>
      </w:pPr>
      <w:r w:rsidRPr="004449FA">
        <w:rPr>
          <w:noProof/>
        </w:rPr>
        <w:lastRenderedPageBreak/>
        <w:drawing>
          <wp:inline distT="0" distB="0" distL="0" distR="0" wp14:anchorId="60967A74" wp14:editId="07E495B3">
            <wp:extent cx="5151600" cy="4654800"/>
            <wp:effectExtent l="0" t="0" r="0" b="0"/>
            <wp:docPr id="13" name="圖片 13" descr="一張含有 文字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descr="一張含有 文字 的圖片&#10;&#10;自動產生的描述"/>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51600" cy="4654800"/>
                    </a:xfrm>
                    <a:prstGeom prst="rect">
                      <a:avLst/>
                    </a:prstGeom>
                    <a:noFill/>
                  </pic:spPr>
                </pic:pic>
              </a:graphicData>
            </a:graphic>
          </wp:inline>
        </w:drawing>
      </w:r>
    </w:p>
    <w:p w14:paraId="6ADA948F" w14:textId="51515A84" w:rsidR="001E0438" w:rsidRPr="004449FA" w:rsidRDefault="001E0438" w:rsidP="001E0438">
      <w:pPr>
        <w:rPr>
          <w:kern w:val="0"/>
        </w:rPr>
      </w:pPr>
      <w:r w:rsidRPr="004449FA">
        <w:rPr>
          <w:rFonts w:ascii="Arial" w:hAnsi="Arial" w:cs="Arial"/>
          <w:b/>
          <w:bCs/>
        </w:rPr>
        <w:t>Figure S</w:t>
      </w:r>
      <w:r w:rsidR="00B13E1F">
        <w:rPr>
          <w:rFonts w:ascii="Arial" w:hAnsi="Arial" w:cs="Arial" w:hint="eastAsia"/>
          <w:b/>
          <w:bCs/>
        </w:rPr>
        <w:t>5</w:t>
      </w:r>
      <w:r w:rsidRPr="004449FA">
        <w:rPr>
          <w:rFonts w:ascii="Arial" w:hAnsi="Arial" w:cs="Arial"/>
          <w:b/>
          <w:bCs/>
        </w:rPr>
        <w:t xml:space="preserve">. </w:t>
      </w:r>
      <w:r>
        <w:rPr>
          <w:rFonts w:ascii="Arial" w:hAnsi="Arial" w:cs="Arial"/>
          <w:b/>
          <w:bCs/>
        </w:rPr>
        <w:t>C</w:t>
      </w:r>
      <w:r w:rsidRPr="004449FA">
        <w:rPr>
          <w:rFonts w:ascii="Arial" w:hAnsi="Arial" w:cs="Arial"/>
          <w:b/>
          <w:bCs/>
        </w:rPr>
        <w:t xml:space="preserve">omparison </w:t>
      </w:r>
      <w:r>
        <w:rPr>
          <w:rFonts w:ascii="Arial" w:hAnsi="Arial" w:cs="Arial"/>
          <w:b/>
          <w:bCs/>
        </w:rPr>
        <w:t xml:space="preserve">of </w:t>
      </w:r>
      <w:r w:rsidRPr="004449FA">
        <w:rPr>
          <w:rFonts w:ascii="Arial" w:hAnsi="Arial" w:cs="Arial"/>
          <w:b/>
          <w:bCs/>
        </w:rPr>
        <w:t xml:space="preserve">protein and mRNA </w:t>
      </w:r>
      <w:r>
        <w:rPr>
          <w:rFonts w:ascii="Arial" w:hAnsi="Arial" w:cs="Arial"/>
          <w:b/>
          <w:bCs/>
        </w:rPr>
        <w:t xml:space="preserve">expression </w:t>
      </w:r>
      <w:r w:rsidRPr="004449FA">
        <w:rPr>
          <w:rFonts w:ascii="Arial" w:hAnsi="Arial" w:cs="Arial"/>
          <w:b/>
          <w:bCs/>
        </w:rPr>
        <w:t>between the S/R and contralateral</w:t>
      </w:r>
      <w:r w:rsidRPr="004449FA">
        <w:rPr>
          <w:rFonts w:ascii="Arial" w:hAnsi="Arial" w:cs="Arial"/>
          <w:kern w:val="0"/>
        </w:rPr>
        <w:t xml:space="preserve"> </w:t>
      </w:r>
      <w:r w:rsidRPr="004449FA">
        <w:rPr>
          <w:rFonts w:ascii="Arial" w:hAnsi="Arial" w:cs="Arial"/>
          <w:b/>
          <w:bCs/>
          <w:kern w:val="0"/>
        </w:rPr>
        <w:t>cerebral hemispheres</w:t>
      </w:r>
      <w:r w:rsidRPr="004449FA">
        <w:rPr>
          <w:rFonts w:ascii="Arial" w:hAnsi="Arial" w:cs="Arial"/>
          <w:b/>
          <w:bCs/>
        </w:rPr>
        <w:t xml:space="preserve">. </w:t>
      </w:r>
      <w:r w:rsidRPr="004449FA">
        <w:rPr>
          <w:rFonts w:ascii="Arial" w:hAnsi="Arial" w:cs="Arial"/>
        </w:rPr>
        <w:t xml:space="preserve">After OMB treatment for 3 days, </w:t>
      </w:r>
      <w:r>
        <w:rPr>
          <w:rFonts w:ascii="Arial" w:hAnsi="Arial" w:cs="Arial"/>
        </w:rPr>
        <w:t xml:space="preserve">the </w:t>
      </w:r>
      <w:r w:rsidRPr="004449FA">
        <w:rPr>
          <w:rFonts w:ascii="Arial" w:hAnsi="Arial" w:cs="Arial"/>
        </w:rPr>
        <w:t xml:space="preserve">mice were sacrificed </w:t>
      </w:r>
      <w:r w:rsidRPr="004449FA">
        <w:t>with perfusion</w:t>
      </w:r>
      <w:r>
        <w:t xml:space="preserve"> and</w:t>
      </w:r>
      <w:r w:rsidRPr="004449FA">
        <w:rPr>
          <w:rFonts w:ascii="Arial" w:hAnsi="Arial" w:cs="Arial"/>
        </w:rPr>
        <w:t xml:space="preserve"> </w:t>
      </w:r>
      <w:r>
        <w:rPr>
          <w:rFonts w:ascii="Arial" w:hAnsi="Arial" w:cs="Arial"/>
        </w:rPr>
        <w:t>the m</w:t>
      </w:r>
      <w:r w:rsidRPr="004449FA">
        <w:rPr>
          <w:rFonts w:ascii="Arial" w:hAnsi="Arial" w:cs="Arial"/>
        </w:rPr>
        <w:t xml:space="preserve">ouse brain </w:t>
      </w:r>
      <w:r>
        <w:rPr>
          <w:rFonts w:ascii="Arial" w:hAnsi="Arial" w:cs="Arial"/>
        </w:rPr>
        <w:t>was</w:t>
      </w:r>
      <w:r w:rsidRPr="004449FA">
        <w:rPr>
          <w:rFonts w:ascii="Arial" w:hAnsi="Arial" w:cs="Arial"/>
        </w:rPr>
        <w:t xml:space="preserve"> divided into two </w:t>
      </w:r>
      <w:bookmarkStart w:id="5" w:name="OLE_LINK106"/>
      <w:r w:rsidRPr="004449FA">
        <w:rPr>
          <w:rFonts w:ascii="Arial" w:hAnsi="Arial" w:cs="Arial"/>
          <w:kern w:val="0"/>
        </w:rPr>
        <w:t>cerebral hemisphere</w:t>
      </w:r>
      <w:bookmarkEnd w:id="5"/>
      <w:r w:rsidRPr="004449FA">
        <w:rPr>
          <w:rFonts w:ascii="Arial" w:hAnsi="Arial" w:cs="Arial"/>
          <w:kern w:val="0"/>
        </w:rPr>
        <w:t>s</w:t>
      </w:r>
      <w:r w:rsidRPr="004449FA">
        <w:rPr>
          <w:rFonts w:ascii="Arial" w:hAnsi="Arial" w:cs="Arial"/>
        </w:rPr>
        <w:t xml:space="preserve">, the S/R </w:t>
      </w:r>
      <w:r w:rsidRPr="004449FA">
        <w:rPr>
          <w:rFonts w:ascii="Arial" w:hAnsi="Arial" w:cs="Arial"/>
          <w:kern w:val="0"/>
        </w:rPr>
        <w:t>cerebral hemisphere</w:t>
      </w:r>
      <w:r w:rsidRPr="004449FA">
        <w:rPr>
          <w:rFonts w:ascii="Arial" w:hAnsi="Arial" w:cs="Arial"/>
        </w:rPr>
        <w:t xml:space="preserve"> and the contralateral </w:t>
      </w:r>
      <w:r w:rsidRPr="004449FA">
        <w:rPr>
          <w:rFonts w:ascii="Arial" w:hAnsi="Arial" w:cs="Arial"/>
          <w:kern w:val="0"/>
        </w:rPr>
        <w:t>cerebral hemisphere</w:t>
      </w:r>
      <w:r w:rsidRPr="004449FA">
        <w:rPr>
          <w:rFonts w:ascii="Arial" w:hAnsi="Arial" w:cs="Arial"/>
        </w:rPr>
        <w:t xml:space="preserve">. </w:t>
      </w:r>
      <w:r w:rsidRPr="004449FA">
        <w:rPr>
          <w:rFonts w:ascii="Arial" w:hAnsi="Arial" w:cs="Arial"/>
          <w:b/>
          <w:bCs/>
        </w:rPr>
        <w:t>(A-C)</w:t>
      </w:r>
      <w:r w:rsidRPr="004449FA">
        <w:rPr>
          <w:rFonts w:ascii="Arial" w:hAnsi="Arial" w:cs="Arial"/>
        </w:rPr>
        <w:t xml:space="preserve"> </w:t>
      </w:r>
      <w:bookmarkStart w:id="6" w:name="_Hlk123603944"/>
      <w:r>
        <w:rPr>
          <w:rFonts w:ascii="Arial" w:hAnsi="Arial" w:cs="Arial"/>
        </w:rPr>
        <w:t>P</w:t>
      </w:r>
      <w:r w:rsidRPr="004449FA">
        <w:rPr>
          <w:rFonts w:ascii="Arial" w:hAnsi="Arial" w:cs="Arial"/>
        </w:rPr>
        <w:t>rotein expression</w:t>
      </w:r>
      <w:r>
        <w:rPr>
          <w:rFonts w:ascii="Arial" w:hAnsi="Arial" w:cs="Arial"/>
        </w:rPr>
        <w:t xml:space="preserve"> levels</w:t>
      </w:r>
      <w:r w:rsidRPr="004449FA">
        <w:rPr>
          <w:rFonts w:ascii="Arial" w:hAnsi="Arial" w:cs="Arial"/>
        </w:rPr>
        <w:t xml:space="preserve"> of </w:t>
      </w:r>
      <w:r w:rsidRPr="004449FA">
        <w:t>endothelial nitric oxide synthase (eNOS), brain derived neurotrophic factor (BDNF), and NF-κB.</w:t>
      </w:r>
      <w:bookmarkEnd w:id="6"/>
      <w:r w:rsidRPr="004449FA">
        <w:t xml:space="preserve"> </w:t>
      </w:r>
      <w:r>
        <w:t>Compared with the normal brain, t</w:t>
      </w:r>
      <w:r w:rsidRPr="004449FA">
        <w:t xml:space="preserve">he contralateral </w:t>
      </w:r>
      <w:r w:rsidRPr="004449FA">
        <w:rPr>
          <w:rFonts w:ascii="Arial" w:hAnsi="Arial" w:cs="Arial"/>
          <w:kern w:val="0"/>
        </w:rPr>
        <w:t>cerebral hemispheres</w:t>
      </w:r>
      <w:r w:rsidRPr="004449FA">
        <w:t xml:space="preserve"> show</w:t>
      </w:r>
      <w:r>
        <w:t>ed</w:t>
      </w:r>
      <w:r w:rsidRPr="004449FA">
        <w:t xml:space="preserve"> no significant difference in eNOS expression and overexpression </w:t>
      </w:r>
      <w:r>
        <w:t>of</w:t>
      </w:r>
      <w:r w:rsidRPr="004449FA">
        <w:t xml:space="preserve"> </w:t>
      </w:r>
      <w:bookmarkStart w:id="7" w:name="_Hlk123504113"/>
      <w:r w:rsidRPr="004449FA">
        <w:t xml:space="preserve">NF-κB </w:t>
      </w:r>
      <w:bookmarkEnd w:id="7"/>
      <w:r w:rsidRPr="004449FA">
        <w:t xml:space="preserve">for each group. Only </w:t>
      </w:r>
      <w:r>
        <w:t xml:space="preserve">the </w:t>
      </w:r>
      <w:r w:rsidRPr="004449FA">
        <w:t xml:space="preserve">S/R group </w:t>
      </w:r>
      <w:r>
        <w:t xml:space="preserve">showed a </w:t>
      </w:r>
      <w:r w:rsidRPr="004449FA">
        <w:t xml:space="preserve">significant decrease </w:t>
      </w:r>
      <w:r>
        <w:t>in</w:t>
      </w:r>
      <w:r w:rsidRPr="004449FA">
        <w:t xml:space="preserve"> BDNF expression relative to the normal group. </w:t>
      </w:r>
      <w:r w:rsidRPr="004449FA">
        <w:rPr>
          <w:b/>
          <w:bCs/>
        </w:rPr>
        <w:t>(D-H)</w:t>
      </w:r>
      <w:r w:rsidRPr="004449FA">
        <w:t xml:space="preserve"> The mRNA expression of </w:t>
      </w:r>
      <w:bookmarkStart w:id="8" w:name="_Hlk123604043"/>
      <w:r w:rsidRPr="004449FA">
        <w:t>hypoxia-inducible factor 1-alpha (HIF-1α)</w:t>
      </w:r>
      <w:r w:rsidRPr="004449FA">
        <w:rPr>
          <w:szCs w:val="21"/>
        </w:rPr>
        <w:t xml:space="preserve">, </w:t>
      </w:r>
      <w:r w:rsidRPr="004449FA">
        <w:t>interleukin 1 beta</w:t>
      </w:r>
      <w:r w:rsidRPr="004449FA">
        <w:rPr>
          <w:szCs w:val="21"/>
        </w:rPr>
        <w:t xml:space="preserve"> (IL-1</w:t>
      </w:r>
      <w:r w:rsidRPr="004449FA">
        <w:rPr>
          <w:rFonts w:ascii="Times New Roman" w:hAnsi="Times New Roman" w:cs="Times New Roman"/>
          <w:szCs w:val="21"/>
        </w:rPr>
        <w:t>β)</w:t>
      </w:r>
      <w:r w:rsidRPr="004449FA">
        <w:rPr>
          <w:szCs w:val="21"/>
        </w:rPr>
        <w:t xml:space="preserve">, </w:t>
      </w:r>
      <w:r w:rsidRPr="004449FA">
        <w:t>matrix metallopeptidase 9 (</w:t>
      </w:r>
      <w:r w:rsidRPr="004449FA">
        <w:rPr>
          <w:szCs w:val="21"/>
        </w:rPr>
        <w:t>MMP-9),</w:t>
      </w:r>
      <w:r w:rsidRPr="004449FA">
        <w:t xml:space="preserve"> B-cell lymphoma 2 (</w:t>
      </w:r>
      <w:r w:rsidRPr="004449FA">
        <w:rPr>
          <w:szCs w:val="21"/>
        </w:rPr>
        <w:t>BCL2),</w:t>
      </w:r>
      <w:r w:rsidRPr="004449FA">
        <w:rPr>
          <w:kern w:val="0"/>
        </w:rPr>
        <w:t xml:space="preserve"> and interleukin 10 (</w:t>
      </w:r>
      <w:r w:rsidRPr="004449FA">
        <w:rPr>
          <w:kern w:val="0"/>
          <w:szCs w:val="21"/>
        </w:rPr>
        <w:t>IL-10).</w:t>
      </w:r>
      <w:bookmarkEnd w:id="8"/>
      <w:r w:rsidRPr="004449FA">
        <w:rPr>
          <w:kern w:val="0"/>
          <w:szCs w:val="21"/>
        </w:rPr>
        <w:t xml:space="preserve"> The results </w:t>
      </w:r>
      <w:r>
        <w:rPr>
          <w:kern w:val="0"/>
          <w:szCs w:val="21"/>
        </w:rPr>
        <w:t>showed</w:t>
      </w:r>
      <w:r w:rsidRPr="004449FA">
        <w:rPr>
          <w:kern w:val="0"/>
          <w:szCs w:val="21"/>
        </w:rPr>
        <w:t xml:space="preserve"> no significant difference between the normal </w:t>
      </w:r>
      <w:r w:rsidRPr="004449FA">
        <w:rPr>
          <w:rFonts w:ascii="Arial" w:hAnsi="Arial" w:cs="Arial"/>
          <w:kern w:val="0"/>
        </w:rPr>
        <w:t>cerebral hemisphere</w:t>
      </w:r>
      <w:r w:rsidRPr="004449FA">
        <w:rPr>
          <w:kern w:val="0"/>
          <w:szCs w:val="21"/>
        </w:rPr>
        <w:t xml:space="preserve">s and contralateral </w:t>
      </w:r>
      <w:r w:rsidRPr="004449FA">
        <w:rPr>
          <w:rFonts w:ascii="Arial" w:hAnsi="Arial" w:cs="Arial"/>
          <w:kern w:val="0"/>
        </w:rPr>
        <w:t>cerebral hemisphere</w:t>
      </w:r>
      <w:r w:rsidRPr="004449FA">
        <w:rPr>
          <w:kern w:val="0"/>
          <w:szCs w:val="21"/>
        </w:rPr>
        <w:t xml:space="preserve">s in the expression of </w:t>
      </w:r>
      <w:bookmarkStart w:id="9" w:name="_Hlk123503552"/>
      <w:r w:rsidRPr="004449FA">
        <w:rPr>
          <w:szCs w:val="21"/>
        </w:rPr>
        <w:t>IL-1</w:t>
      </w:r>
      <w:r w:rsidRPr="004449FA">
        <w:rPr>
          <w:rFonts w:ascii="Times New Roman" w:hAnsi="Times New Roman" w:cs="Times New Roman"/>
          <w:szCs w:val="21"/>
        </w:rPr>
        <w:t xml:space="preserve">β, </w:t>
      </w:r>
      <w:r w:rsidRPr="004449FA">
        <w:rPr>
          <w:szCs w:val="21"/>
        </w:rPr>
        <w:t>MMP-9, and BCL2</w:t>
      </w:r>
      <w:bookmarkEnd w:id="9"/>
      <w:r w:rsidRPr="004449FA">
        <w:rPr>
          <w:szCs w:val="21"/>
        </w:rPr>
        <w:t xml:space="preserve"> in each group. </w:t>
      </w:r>
      <w:bookmarkStart w:id="10" w:name="OLE_LINK101"/>
      <w:r>
        <w:rPr>
          <w:szCs w:val="21"/>
        </w:rPr>
        <w:t>I</w:t>
      </w:r>
      <w:r w:rsidRPr="004449FA">
        <w:rPr>
          <w:szCs w:val="21"/>
        </w:rPr>
        <w:t xml:space="preserve">ncreases </w:t>
      </w:r>
      <w:r>
        <w:rPr>
          <w:szCs w:val="21"/>
        </w:rPr>
        <w:t>in</w:t>
      </w:r>
      <w:r w:rsidRPr="004449FA">
        <w:rPr>
          <w:szCs w:val="21"/>
        </w:rPr>
        <w:t xml:space="preserve"> </w:t>
      </w:r>
      <w:r w:rsidRPr="004449FA">
        <w:t xml:space="preserve">HIF-1α and </w:t>
      </w:r>
      <w:r w:rsidRPr="004449FA">
        <w:rPr>
          <w:kern w:val="0"/>
          <w:szCs w:val="21"/>
        </w:rPr>
        <w:t>IL-10 expression</w:t>
      </w:r>
      <w:bookmarkEnd w:id="10"/>
      <w:r w:rsidRPr="004449FA">
        <w:rPr>
          <w:kern w:val="0"/>
          <w:szCs w:val="21"/>
        </w:rPr>
        <w:t xml:space="preserve"> relative to the normal </w:t>
      </w:r>
      <w:r w:rsidRPr="004449FA">
        <w:rPr>
          <w:rFonts w:ascii="Arial" w:hAnsi="Arial" w:cs="Arial"/>
          <w:kern w:val="0"/>
        </w:rPr>
        <w:t>cerebral hemisphere</w:t>
      </w:r>
      <w:r w:rsidRPr="004449FA">
        <w:rPr>
          <w:kern w:val="0"/>
          <w:szCs w:val="21"/>
        </w:rPr>
        <w:t xml:space="preserve"> </w:t>
      </w:r>
      <w:r>
        <w:rPr>
          <w:kern w:val="0"/>
          <w:szCs w:val="21"/>
        </w:rPr>
        <w:t>were observed</w:t>
      </w:r>
      <w:r w:rsidRPr="004449FA">
        <w:rPr>
          <w:kern w:val="0"/>
          <w:szCs w:val="21"/>
        </w:rPr>
        <w:t xml:space="preserve"> in the S/R, CMB+, and OMB+ groups.</w:t>
      </w:r>
      <w:r w:rsidRPr="004449FA">
        <w:rPr>
          <w:i/>
          <w:iCs/>
        </w:rPr>
        <w:t xml:space="preserve"> N</w:t>
      </w:r>
      <w:r w:rsidRPr="004449FA">
        <w:t xml:space="preserve">=5-9/group. The plus (+) symbol </w:t>
      </w:r>
      <w:r>
        <w:t>re</w:t>
      </w:r>
      <w:r w:rsidRPr="004449FA">
        <w:t>presents US sonication.</w:t>
      </w:r>
      <w:r w:rsidRPr="004449FA">
        <w:rPr>
          <w:bCs/>
          <w:kern w:val="0"/>
          <w:szCs w:val="24"/>
        </w:rPr>
        <w:t xml:space="preserve"> </w:t>
      </w:r>
      <w:r>
        <w:rPr>
          <w:bCs/>
          <w:kern w:val="0"/>
          <w:szCs w:val="24"/>
        </w:rPr>
        <w:lastRenderedPageBreak/>
        <w:t>S</w:t>
      </w:r>
      <w:r w:rsidRPr="004449FA">
        <w:rPr>
          <w:rFonts w:eastAsia="Arial"/>
          <w:bCs/>
          <w:szCs w:val="24"/>
        </w:rPr>
        <w:t>ignificant difference</w:t>
      </w:r>
      <w:r>
        <w:rPr>
          <w:rFonts w:eastAsia="Arial"/>
          <w:bCs/>
          <w:szCs w:val="24"/>
        </w:rPr>
        <w:t>s</w:t>
      </w:r>
      <w:r w:rsidRPr="004449FA">
        <w:rPr>
          <w:rFonts w:eastAsia="Arial"/>
          <w:bCs/>
          <w:szCs w:val="24"/>
        </w:rPr>
        <w:t xml:space="preserve"> </w:t>
      </w:r>
      <w:r>
        <w:rPr>
          <w:rFonts w:eastAsia="Arial"/>
          <w:bCs/>
          <w:szCs w:val="24"/>
        </w:rPr>
        <w:t>are indicated</w:t>
      </w:r>
      <w:r w:rsidRPr="004449FA">
        <w:rPr>
          <w:bCs/>
          <w:szCs w:val="24"/>
        </w:rPr>
        <w:t xml:space="preserve">: </w:t>
      </w:r>
      <w:r w:rsidRPr="004449FA">
        <w:rPr>
          <w:kern w:val="0"/>
        </w:rPr>
        <w:t>*</w:t>
      </w:r>
      <w:r w:rsidRPr="004449FA">
        <w:rPr>
          <w:i/>
          <w:iCs/>
          <w:kern w:val="0"/>
        </w:rPr>
        <w:t>p</w:t>
      </w:r>
      <w:r w:rsidRPr="004449FA">
        <w:rPr>
          <w:kern w:val="0"/>
        </w:rPr>
        <w:t xml:space="preserve">&lt;0.05, </w:t>
      </w:r>
      <w:bookmarkStart w:id="11" w:name="OLE_LINK107"/>
      <w:r w:rsidRPr="004449FA">
        <w:rPr>
          <w:kern w:val="0"/>
        </w:rPr>
        <w:t>**</w:t>
      </w:r>
      <w:r w:rsidRPr="004449FA">
        <w:rPr>
          <w:i/>
          <w:iCs/>
          <w:kern w:val="0"/>
        </w:rPr>
        <w:t>p</w:t>
      </w:r>
      <w:r w:rsidRPr="004449FA">
        <w:rPr>
          <w:kern w:val="0"/>
        </w:rPr>
        <w:t>&lt;0.01</w:t>
      </w:r>
      <w:bookmarkEnd w:id="11"/>
      <w:r w:rsidRPr="004449FA">
        <w:rPr>
          <w:kern w:val="0"/>
        </w:rPr>
        <w:t>, ***</w:t>
      </w:r>
      <w:r w:rsidRPr="004449FA">
        <w:rPr>
          <w:i/>
          <w:iCs/>
          <w:kern w:val="0"/>
        </w:rPr>
        <w:t>p</w:t>
      </w:r>
      <w:r w:rsidRPr="004449FA">
        <w:rPr>
          <w:kern w:val="0"/>
        </w:rPr>
        <w:t>&lt;0.001</w:t>
      </w:r>
      <w:r>
        <w:rPr>
          <w:kern w:val="0"/>
        </w:rPr>
        <w:t xml:space="preserve"> by </w:t>
      </w:r>
      <w:r w:rsidRPr="004449FA">
        <w:rPr>
          <w:kern w:val="0"/>
        </w:rPr>
        <w:t>one-way ANOVA with Bonferroni's multiple comparisons test.</w:t>
      </w:r>
    </w:p>
    <w:p w14:paraId="5E822629" w14:textId="77777777" w:rsidR="001E0438" w:rsidRPr="004449FA" w:rsidRDefault="001E0438" w:rsidP="001E0438">
      <w:pPr>
        <w:rPr>
          <w:kern w:val="0"/>
          <w:szCs w:val="21"/>
        </w:rPr>
      </w:pPr>
      <w:r w:rsidRPr="004449FA">
        <w:br w:type="page"/>
      </w:r>
    </w:p>
    <w:p w14:paraId="41FEE89B" w14:textId="77777777" w:rsidR="001E0438" w:rsidRPr="004449FA" w:rsidRDefault="001E0438" w:rsidP="001E0438">
      <w:pPr>
        <w:jc w:val="center"/>
      </w:pPr>
      <w:r w:rsidRPr="004449FA">
        <w:rPr>
          <w:noProof/>
        </w:rPr>
        <w:lastRenderedPageBreak/>
        <w:drawing>
          <wp:inline distT="0" distB="0" distL="0" distR="0" wp14:anchorId="674FBA88" wp14:editId="78B3F0AF">
            <wp:extent cx="5043600" cy="2588400"/>
            <wp:effectExtent l="0" t="0" r="0" b="254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3600" cy="2588400"/>
                    </a:xfrm>
                    <a:prstGeom prst="rect">
                      <a:avLst/>
                    </a:prstGeom>
                    <a:noFill/>
                  </pic:spPr>
                </pic:pic>
              </a:graphicData>
            </a:graphic>
          </wp:inline>
        </w:drawing>
      </w:r>
    </w:p>
    <w:p w14:paraId="6B2E69DB" w14:textId="5DB8D358" w:rsidR="001E0438" w:rsidRPr="004449FA" w:rsidRDefault="001E0438" w:rsidP="001E0438">
      <w:pPr>
        <w:rPr>
          <w:kern w:val="0"/>
        </w:rPr>
      </w:pPr>
      <w:r w:rsidRPr="004449FA">
        <w:rPr>
          <w:rFonts w:ascii="Arial" w:hAnsi="Arial" w:cs="Arial"/>
          <w:b/>
          <w:bCs/>
        </w:rPr>
        <w:t>Figure S</w:t>
      </w:r>
      <w:r w:rsidR="00B13E1F">
        <w:rPr>
          <w:rFonts w:ascii="Arial" w:hAnsi="Arial" w:cs="Arial"/>
          <w:b/>
          <w:bCs/>
        </w:rPr>
        <w:t>6</w:t>
      </w:r>
      <w:r w:rsidRPr="004449FA">
        <w:rPr>
          <w:rFonts w:ascii="Arial" w:hAnsi="Arial" w:cs="Arial"/>
          <w:b/>
          <w:bCs/>
        </w:rPr>
        <w:t xml:space="preserve">. </w:t>
      </w:r>
      <w:r w:rsidRPr="004449FA">
        <w:rPr>
          <w:b/>
          <w:bCs/>
        </w:rPr>
        <w:t>(A)</w:t>
      </w:r>
      <w:r w:rsidRPr="004449FA">
        <w:t xml:space="preserve"> </w:t>
      </w:r>
      <w:r>
        <w:t>F</w:t>
      </w:r>
      <w:r w:rsidRPr="004449FA">
        <w:t>low</w:t>
      </w:r>
      <w:r>
        <w:t xml:space="preserve"> </w:t>
      </w:r>
      <w:r w:rsidRPr="004449FA">
        <w:t xml:space="preserve">chart of OMB treatment at different time schedules. The </w:t>
      </w:r>
      <w:r>
        <w:t xml:space="preserve">treatment </w:t>
      </w:r>
      <w:r w:rsidRPr="004449FA">
        <w:t>time points are labeled at 50 min indicating the late stage stroke (S), 60 min indicating the early</w:t>
      </w:r>
      <w:r>
        <w:t>-</w:t>
      </w:r>
      <w:r w:rsidRPr="004449FA">
        <w:t xml:space="preserve">stage reperfusion (S-R), and 80 min indicating the post reperfusion (R). OMB treatment at the end of the stroke period </w:t>
      </w:r>
      <w:r>
        <w:t>was</w:t>
      </w:r>
      <w:r w:rsidRPr="004449FA">
        <w:t xml:space="preserve"> implemented before reperfusion for preprocessing. At the S-R time point, OMB emulsion </w:t>
      </w:r>
      <w:r>
        <w:t>was</w:t>
      </w:r>
      <w:r w:rsidRPr="004449FA">
        <w:t xml:space="preserve"> injected immediately after bolus injection of tPA to combine thrombolysis, oxygen therapy, and sonoperfusion </w:t>
      </w:r>
      <w:r>
        <w:t>on</w:t>
      </w:r>
      <w:r w:rsidRPr="004449FA">
        <w:t xml:space="preserve"> the same temporal schedule.</w:t>
      </w:r>
      <w:r w:rsidRPr="004449FA">
        <w:rPr>
          <w:b/>
          <w:bCs/>
        </w:rPr>
        <w:t xml:space="preserve"> (B)</w:t>
      </w:r>
      <w:r w:rsidRPr="004449FA">
        <w:t xml:space="preserve"> The brain</w:t>
      </w:r>
      <w:r w:rsidRPr="004449FA">
        <w:rPr>
          <w:rFonts w:ascii="Arial" w:hAnsi="Arial" w:cs="Arial"/>
        </w:rPr>
        <w:t xml:space="preserve"> infarct areas are </w:t>
      </w:r>
      <w:r>
        <w:rPr>
          <w:rFonts w:ascii="Arial" w:hAnsi="Arial" w:cs="Arial"/>
        </w:rPr>
        <w:t>stained</w:t>
      </w:r>
      <w:r w:rsidRPr="004449FA">
        <w:rPr>
          <w:rFonts w:ascii="Arial" w:hAnsi="Arial" w:cs="Arial"/>
        </w:rPr>
        <w:t xml:space="preserve"> white by TTC . </w:t>
      </w:r>
      <w:r w:rsidRPr="004449FA">
        <w:t>The percentage of infarct areas within the whole brain shows the minimum infarct size in the S-R group</w:t>
      </w:r>
      <w:r w:rsidRPr="004449FA">
        <w:rPr>
          <w:rFonts w:ascii="Arial" w:hAnsi="Arial" w:cs="Arial"/>
        </w:rPr>
        <w:t xml:space="preserve">. </w:t>
      </w:r>
      <w:r w:rsidRPr="004449FA">
        <w:rPr>
          <w:i/>
          <w:iCs/>
        </w:rPr>
        <w:t>N</w:t>
      </w:r>
      <w:r w:rsidRPr="004449FA">
        <w:t xml:space="preserve">=3/group. </w:t>
      </w:r>
      <w:bookmarkStart w:id="12" w:name="_Hlk110468568"/>
      <w:bookmarkStart w:id="13" w:name="OLE_LINK356"/>
      <w:r>
        <w:rPr>
          <w:bCs/>
          <w:kern w:val="0"/>
          <w:szCs w:val="24"/>
        </w:rPr>
        <w:t>S</w:t>
      </w:r>
      <w:r w:rsidRPr="004449FA">
        <w:rPr>
          <w:rFonts w:eastAsia="Arial"/>
          <w:bCs/>
          <w:szCs w:val="24"/>
        </w:rPr>
        <w:t>ignificant difference</w:t>
      </w:r>
      <w:r>
        <w:rPr>
          <w:rFonts w:eastAsia="Arial"/>
          <w:bCs/>
          <w:szCs w:val="24"/>
        </w:rPr>
        <w:t>s</w:t>
      </w:r>
      <w:r w:rsidRPr="004449FA">
        <w:rPr>
          <w:rFonts w:eastAsia="Arial"/>
          <w:bCs/>
          <w:szCs w:val="24"/>
        </w:rPr>
        <w:t xml:space="preserve"> </w:t>
      </w:r>
      <w:r>
        <w:rPr>
          <w:rFonts w:eastAsia="Arial"/>
          <w:bCs/>
          <w:szCs w:val="24"/>
        </w:rPr>
        <w:t>are</w:t>
      </w:r>
      <w:r w:rsidRPr="004449FA">
        <w:rPr>
          <w:rFonts w:eastAsia="Arial"/>
          <w:bCs/>
          <w:szCs w:val="24"/>
        </w:rPr>
        <w:t xml:space="preserve"> </w:t>
      </w:r>
      <w:r>
        <w:rPr>
          <w:rFonts w:eastAsia="Arial"/>
          <w:bCs/>
          <w:szCs w:val="24"/>
        </w:rPr>
        <w:t>indicated</w:t>
      </w:r>
      <w:r w:rsidRPr="004449FA">
        <w:rPr>
          <w:bCs/>
          <w:szCs w:val="24"/>
        </w:rPr>
        <w:t xml:space="preserve">: </w:t>
      </w:r>
      <w:r w:rsidRPr="004449FA">
        <w:rPr>
          <w:kern w:val="0"/>
        </w:rPr>
        <w:t>*</w:t>
      </w:r>
      <w:r w:rsidRPr="004449FA">
        <w:rPr>
          <w:i/>
          <w:iCs/>
          <w:kern w:val="0"/>
        </w:rPr>
        <w:t>p</w:t>
      </w:r>
      <w:r w:rsidRPr="004449FA">
        <w:rPr>
          <w:kern w:val="0"/>
        </w:rPr>
        <w:t>&lt;0.05, **</w:t>
      </w:r>
      <w:r w:rsidRPr="004449FA">
        <w:rPr>
          <w:i/>
          <w:iCs/>
          <w:kern w:val="0"/>
        </w:rPr>
        <w:t>p</w:t>
      </w:r>
      <w:r w:rsidRPr="004449FA">
        <w:rPr>
          <w:kern w:val="0"/>
        </w:rPr>
        <w:t>&lt;0.01</w:t>
      </w:r>
      <w:bookmarkEnd w:id="12"/>
      <w:r w:rsidRPr="004449FA">
        <w:rPr>
          <w:kern w:val="0"/>
        </w:rPr>
        <w:t xml:space="preserve">, </w:t>
      </w:r>
      <w:r>
        <w:rPr>
          <w:kern w:val="0"/>
        </w:rPr>
        <w:t xml:space="preserve">by </w:t>
      </w:r>
      <w:r w:rsidRPr="004449FA">
        <w:rPr>
          <w:kern w:val="0"/>
        </w:rPr>
        <w:t>one-way ANOVA with Bonferroni's multiple comparisons test.</w:t>
      </w:r>
      <w:bookmarkStart w:id="14" w:name="OLE_LINK336"/>
      <w:bookmarkEnd w:id="13"/>
      <w:bookmarkEnd w:id="14"/>
    </w:p>
    <w:p w14:paraId="6E9FF7CF" w14:textId="77777777" w:rsidR="001E0438" w:rsidRPr="004449FA" w:rsidRDefault="001E0438" w:rsidP="001E0438"/>
    <w:p w14:paraId="09F2A6C8" w14:textId="77777777" w:rsidR="001E0438" w:rsidRPr="004449FA" w:rsidRDefault="001E0438" w:rsidP="001E0438">
      <w:pPr>
        <w:jc w:val="center"/>
      </w:pPr>
    </w:p>
    <w:p w14:paraId="48D5B3A6" w14:textId="77777777" w:rsidR="00EF3585" w:rsidRPr="001E0438" w:rsidRDefault="00EF3585" w:rsidP="001E0438"/>
    <w:sectPr w:rsidR="00EF3585" w:rsidRPr="001E043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F0DCB1" w14:textId="77777777" w:rsidR="001216B9" w:rsidRDefault="001216B9" w:rsidP="00690094">
      <w:r>
        <w:separator/>
      </w:r>
    </w:p>
  </w:endnote>
  <w:endnote w:type="continuationSeparator" w:id="0">
    <w:p w14:paraId="538DC53E" w14:textId="77777777" w:rsidR="001216B9" w:rsidRDefault="001216B9" w:rsidP="006900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標楷體">
    <w:altName w:val="DFKai-SB"/>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3D146" w14:textId="77777777" w:rsidR="001216B9" w:rsidRDefault="001216B9" w:rsidP="00690094">
      <w:r>
        <w:separator/>
      </w:r>
    </w:p>
  </w:footnote>
  <w:footnote w:type="continuationSeparator" w:id="0">
    <w:p w14:paraId="31DB0754" w14:textId="77777777" w:rsidR="001216B9" w:rsidRDefault="001216B9" w:rsidP="006900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524"/>
    <w:rsid w:val="00016719"/>
    <w:rsid w:val="000501E9"/>
    <w:rsid w:val="000C00BD"/>
    <w:rsid w:val="001216B9"/>
    <w:rsid w:val="00135439"/>
    <w:rsid w:val="00170E80"/>
    <w:rsid w:val="0018154F"/>
    <w:rsid w:val="001A2738"/>
    <w:rsid w:val="001E0438"/>
    <w:rsid w:val="002D5AFE"/>
    <w:rsid w:val="002F7E90"/>
    <w:rsid w:val="00351C26"/>
    <w:rsid w:val="003F2B90"/>
    <w:rsid w:val="0044213F"/>
    <w:rsid w:val="004B5BA1"/>
    <w:rsid w:val="004F44F2"/>
    <w:rsid w:val="005144E4"/>
    <w:rsid w:val="00564764"/>
    <w:rsid w:val="005D6328"/>
    <w:rsid w:val="00602133"/>
    <w:rsid w:val="006723CA"/>
    <w:rsid w:val="00690094"/>
    <w:rsid w:val="006B3FD9"/>
    <w:rsid w:val="006B7124"/>
    <w:rsid w:val="006B758D"/>
    <w:rsid w:val="006C7888"/>
    <w:rsid w:val="006D1A1D"/>
    <w:rsid w:val="006F2316"/>
    <w:rsid w:val="00727524"/>
    <w:rsid w:val="007A5053"/>
    <w:rsid w:val="007D25C7"/>
    <w:rsid w:val="007D427E"/>
    <w:rsid w:val="00804732"/>
    <w:rsid w:val="008B1ADB"/>
    <w:rsid w:val="008B3A0F"/>
    <w:rsid w:val="008C00F2"/>
    <w:rsid w:val="008F1522"/>
    <w:rsid w:val="009B3212"/>
    <w:rsid w:val="00A12478"/>
    <w:rsid w:val="00A63D43"/>
    <w:rsid w:val="00AA7145"/>
    <w:rsid w:val="00AC2055"/>
    <w:rsid w:val="00B13E1F"/>
    <w:rsid w:val="00C101CF"/>
    <w:rsid w:val="00C954BB"/>
    <w:rsid w:val="00D35923"/>
    <w:rsid w:val="00D43555"/>
    <w:rsid w:val="00E1690B"/>
    <w:rsid w:val="00E20678"/>
    <w:rsid w:val="00EC5D7B"/>
    <w:rsid w:val="00EF3585"/>
    <w:rsid w:val="00F06E70"/>
    <w:rsid w:val="00FB7B3F"/>
    <w:rsid w:val="00FC3A6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AC0B71"/>
  <w15:chartTrackingRefBased/>
  <w15:docId w15:val="{48DA5031-936E-4086-A345-19479B446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0438"/>
    <w:pPr>
      <w:widowControl w:val="0"/>
      <w:jc w:val="both"/>
    </w:pPr>
    <w:rPr>
      <w:rFonts w:eastAsia="標楷體" w:cstheme="minorHAns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0094"/>
    <w:pPr>
      <w:tabs>
        <w:tab w:val="center" w:pos="4153"/>
        <w:tab w:val="right" w:pos="8306"/>
      </w:tabs>
      <w:snapToGrid w:val="0"/>
      <w:jc w:val="left"/>
    </w:pPr>
    <w:rPr>
      <w:rFonts w:eastAsiaTheme="minorEastAsia" w:cstheme="minorBidi"/>
      <w:sz w:val="20"/>
      <w:szCs w:val="20"/>
    </w:rPr>
  </w:style>
  <w:style w:type="character" w:customStyle="1" w:styleId="a4">
    <w:name w:val="頁首 字元"/>
    <w:basedOn w:val="a0"/>
    <w:link w:val="a3"/>
    <w:uiPriority w:val="99"/>
    <w:rsid w:val="00690094"/>
    <w:rPr>
      <w:sz w:val="20"/>
      <w:szCs w:val="20"/>
    </w:rPr>
  </w:style>
  <w:style w:type="paragraph" w:styleId="a5">
    <w:name w:val="footer"/>
    <w:basedOn w:val="a"/>
    <w:link w:val="a6"/>
    <w:uiPriority w:val="99"/>
    <w:unhideWhenUsed/>
    <w:rsid w:val="00690094"/>
    <w:pPr>
      <w:tabs>
        <w:tab w:val="center" w:pos="4153"/>
        <w:tab w:val="right" w:pos="8306"/>
      </w:tabs>
      <w:snapToGrid w:val="0"/>
      <w:jc w:val="left"/>
    </w:pPr>
    <w:rPr>
      <w:rFonts w:eastAsiaTheme="minorEastAsia" w:cstheme="minorBidi"/>
      <w:sz w:val="20"/>
      <w:szCs w:val="20"/>
    </w:rPr>
  </w:style>
  <w:style w:type="character" w:customStyle="1" w:styleId="a6">
    <w:name w:val="頁尾 字元"/>
    <w:basedOn w:val="a0"/>
    <w:link w:val="a5"/>
    <w:uiPriority w:val="99"/>
    <w:rsid w:val="00690094"/>
    <w:rPr>
      <w:sz w:val="20"/>
      <w:szCs w:val="20"/>
    </w:rPr>
  </w:style>
  <w:style w:type="paragraph" w:styleId="a7">
    <w:name w:val="annotation text"/>
    <w:basedOn w:val="a"/>
    <w:link w:val="a8"/>
    <w:uiPriority w:val="99"/>
    <w:unhideWhenUsed/>
    <w:rsid w:val="004F44F2"/>
    <w:pPr>
      <w:spacing w:line="360" w:lineRule="auto"/>
      <w:ind w:firstLine="480"/>
    </w:pPr>
    <w:rPr>
      <w:rFonts w:ascii="Arial" w:eastAsiaTheme="minorEastAsia" w:hAnsi="Arial" w:cs="Arial"/>
      <w:szCs w:val="24"/>
    </w:rPr>
  </w:style>
  <w:style w:type="character" w:customStyle="1" w:styleId="a8">
    <w:name w:val="註解文字 字元"/>
    <w:basedOn w:val="a0"/>
    <w:link w:val="a7"/>
    <w:uiPriority w:val="99"/>
    <w:rsid w:val="004F44F2"/>
    <w:rPr>
      <w:rFonts w:ascii="Arial" w:hAnsi="Arial" w:cs="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Lucy">
      <a:majorFont>
        <a:latin typeface="Arial"/>
        <a:ea typeface="標楷體"/>
        <a:cs typeface=""/>
      </a:majorFont>
      <a:minorFont>
        <a:latin typeface="Arial"/>
        <a:ea typeface="標楷體"/>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41"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10718EC-8A36-4229-BE96-89D049653742}">
  <we:reference id="wa200001482" version="1.0.5.0" store="en-US" storeType="OMEX"/>
  <we:alternateReferences>
    <we:reference id="WA200001482" version="1.0.5.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24</TotalTime>
  <Pages>8</Pages>
  <Words>870</Words>
  <Characters>4963</Characters>
  <Application>Microsoft Office Word</Application>
  <DocSecurity>0</DocSecurity>
  <Lines>41</Lines>
  <Paragraphs>11</Paragraphs>
  <ScaleCrop>false</ScaleCrop>
  <Company/>
  <LinksUpToDate>false</LinksUpToDate>
  <CharactersWithSpaces>5822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何奕儒</dc:creator>
  <cp:keywords/>
  <dc:description/>
  <cp:lastModifiedBy>何奕儒</cp:lastModifiedBy>
  <cp:revision>5</cp:revision>
  <dcterms:created xsi:type="dcterms:W3CDTF">2023-01-11T09:50:00Z</dcterms:created>
  <dcterms:modified xsi:type="dcterms:W3CDTF">2023-02-28T14:48:00Z</dcterms:modified>
</cp:coreProperties>
</file>