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703C" w14:textId="63BCA1FF" w:rsidR="00E470BF" w:rsidRDefault="00E470BF" w:rsidP="00F367FC">
      <w:pPr>
        <w:rPr>
          <w:b/>
          <w:sz w:val="32"/>
          <w:lang w:val="en-US"/>
        </w:rPr>
      </w:pPr>
      <w:r>
        <w:rPr>
          <w:b/>
          <w:sz w:val="32"/>
          <w:lang w:val="en-US"/>
        </w:rPr>
        <w:t>Supplementary</w:t>
      </w:r>
      <w:r w:rsidR="00F367FC">
        <w:rPr>
          <w:b/>
          <w:sz w:val="32"/>
          <w:lang w:val="en-US"/>
        </w:rPr>
        <w:t xml:space="preserve"> material to</w:t>
      </w:r>
      <w:r>
        <w:rPr>
          <w:b/>
          <w:sz w:val="32"/>
          <w:lang w:val="en-US"/>
        </w:rPr>
        <w:t>:</w:t>
      </w:r>
    </w:p>
    <w:p w14:paraId="56B23468" w14:textId="37BA5EB3" w:rsidR="00E470BF" w:rsidRDefault="00E470BF" w:rsidP="00F367FC">
      <w:pPr>
        <w:rPr>
          <w:b/>
          <w:sz w:val="32"/>
          <w:lang w:val="en-US"/>
        </w:rPr>
      </w:pPr>
      <w:proofErr w:type="spellStart"/>
      <w:r w:rsidRPr="00E470BF">
        <w:rPr>
          <w:b/>
          <w:sz w:val="32"/>
          <w:lang w:val="en-US"/>
        </w:rPr>
        <w:t>Enzybiotic</w:t>
      </w:r>
      <w:proofErr w:type="spellEnd"/>
      <w:r w:rsidRPr="00E470BF">
        <w:rPr>
          <w:b/>
          <w:sz w:val="32"/>
          <w:lang w:val="en-US"/>
        </w:rPr>
        <w:t xml:space="preserve">-mediated antimicrobial functionalization of </w:t>
      </w:r>
      <w:proofErr w:type="spellStart"/>
      <w:r w:rsidRPr="00E470BF">
        <w:rPr>
          <w:b/>
          <w:sz w:val="32"/>
          <w:lang w:val="en-US"/>
        </w:rPr>
        <w:t>polyhydroxyalkanoate</w:t>
      </w:r>
      <w:proofErr w:type="spellEnd"/>
      <w:r w:rsidR="0028512E">
        <w:rPr>
          <w:b/>
          <w:sz w:val="32"/>
          <w:lang w:val="en-US"/>
        </w:rPr>
        <w:t xml:space="preserve"> nanoparticles</w:t>
      </w:r>
    </w:p>
    <w:p w14:paraId="78DF10C5" w14:textId="38007373" w:rsidR="00F367FC" w:rsidRPr="00E470BF" w:rsidRDefault="00F367FC" w:rsidP="00F367FC">
      <w:pPr>
        <w:rPr>
          <w:sz w:val="24"/>
        </w:rPr>
      </w:pPr>
      <w:r w:rsidRPr="00E470BF">
        <w:rPr>
          <w:sz w:val="24"/>
        </w:rPr>
        <w:t>F</w:t>
      </w:r>
      <w:r w:rsidR="00B847E1" w:rsidRPr="00E470BF">
        <w:rPr>
          <w:sz w:val="24"/>
        </w:rPr>
        <w:t xml:space="preserve">rancisco </w:t>
      </w:r>
      <w:r w:rsidRPr="00E470BF">
        <w:rPr>
          <w:sz w:val="24"/>
        </w:rPr>
        <w:t>G</w:t>
      </w:r>
      <w:r w:rsidR="00E470BF">
        <w:rPr>
          <w:sz w:val="24"/>
        </w:rPr>
        <w:t>.</w:t>
      </w:r>
      <w:r w:rsidRPr="00E470BF">
        <w:rPr>
          <w:sz w:val="24"/>
        </w:rPr>
        <w:t xml:space="preserve"> </w:t>
      </w:r>
      <w:proofErr w:type="spellStart"/>
      <w:proofErr w:type="gramStart"/>
      <w:r w:rsidRPr="00E470BF">
        <w:rPr>
          <w:sz w:val="24"/>
        </w:rPr>
        <w:t>Blanco</w:t>
      </w:r>
      <w:r w:rsidRPr="00E470BF">
        <w:rPr>
          <w:sz w:val="24"/>
          <w:vertAlign w:val="superscript"/>
        </w:rPr>
        <w:t>a,b</w:t>
      </w:r>
      <w:proofErr w:type="spellEnd"/>
      <w:proofErr w:type="gramEnd"/>
      <w:r w:rsidRPr="00E470BF">
        <w:rPr>
          <w:sz w:val="24"/>
        </w:rPr>
        <w:t>, R</w:t>
      </w:r>
      <w:r w:rsidR="00B847E1" w:rsidRPr="00E470BF">
        <w:rPr>
          <w:sz w:val="24"/>
        </w:rPr>
        <w:t>oberto</w:t>
      </w:r>
      <w:r w:rsidRPr="00E470BF">
        <w:rPr>
          <w:sz w:val="24"/>
        </w:rPr>
        <w:t xml:space="preserve"> </w:t>
      </w:r>
      <w:proofErr w:type="spellStart"/>
      <w:r w:rsidRPr="00E470BF">
        <w:rPr>
          <w:sz w:val="24"/>
        </w:rPr>
        <w:t>V</w:t>
      </w:r>
      <w:r w:rsidR="00E470BF">
        <w:rPr>
          <w:sz w:val="24"/>
        </w:rPr>
        <w:t>á</w:t>
      </w:r>
      <w:r w:rsidRPr="00E470BF">
        <w:rPr>
          <w:sz w:val="24"/>
        </w:rPr>
        <w:t>zquez</w:t>
      </w:r>
      <w:r w:rsidRPr="00E470BF">
        <w:rPr>
          <w:sz w:val="24"/>
          <w:vertAlign w:val="superscript"/>
        </w:rPr>
        <w:t>c</w:t>
      </w:r>
      <w:r w:rsidR="00CA1D4C" w:rsidRPr="00E470BF">
        <w:rPr>
          <w:sz w:val="24"/>
          <w:vertAlign w:val="superscript"/>
        </w:rPr>
        <w:t>,d</w:t>
      </w:r>
      <w:proofErr w:type="spellEnd"/>
      <w:r w:rsidRPr="00E470BF">
        <w:rPr>
          <w:sz w:val="24"/>
        </w:rPr>
        <w:t>, A</w:t>
      </w:r>
      <w:r w:rsidR="00B847E1" w:rsidRPr="00E470BF">
        <w:rPr>
          <w:sz w:val="24"/>
        </w:rPr>
        <w:t>na María</w:t>
      </w:r>
      <w:r w:rsidRPr="00E470BF">
        <w:rPr>
          <w:sz w:val="24"/>
        </w:rPr>
        <w:t xml:space="preserve"> Hernández-</w:t>
      </w:r>
      <w:proofErr w:type="spellStart"/>
      <w:r w:rsidRPr="00E470BF">
        <w:rPr>
          <w:sz w:val="24"/>
        </w:rPr>
        <w:t>Arriaga</w:t>
      </w:r>
      <w:r w:rsidRPr="00E470BF">
        <w:rPr>
          <w:sz w:val="24"/>
          <w:vertAlign w:val="superscript"/>
        </w:rPr>
        <w:t>a,b</w:t>
      </w:r>
      <w:proofErr w:type="spellEnd"/>
      <w:r w:rsidRPr="00E470BF">
        <w:rPr>
          <w:sz w:val="24"/>
        </w:rPr>
        <w:t>, P</w:t>
      </w:r>
      <w:r w:rsidR="00B847E1" w:rsidRPr="00E470BF">
        <w:rPr>
          <w:sz w:val="24"/>
        </w:rPr>
        <w:t>edro</w:t>
      </w:r>
      <w:r w:rsidRPr="00E470BF">
        <w:rPr>
          <w:sz w:val="24"/>
        </w:rPr>
        <w:t xml:space="preserve"> </w:t>
      </w:r>
      <w:proofErr w:type="spellStart"/>
      <w:r w:rsidRPr="00E470BF">
        <w:rPr>
          <w:sz w:val="24"/>
        </w:rPr>
        <w:t>García</w:t>
      </w:r>
      <w:r w:rsidR="00CA1D4C" w:rsidRPr="00E470BF">
        <w:rPr>
          <w:sz w:val="24"/>
          <w:vertAlign w:val="superscript"/>
        </w:rPr>
        <w:t>c</w:t>
      </w:r>
      <w:proofErr w:type="spellEnd"/>
      <w:r w:rsidR="00206292">
        <w:rPr>
          <w:sz w:val="24"/>
          <w:vertAlign w:val="superscript"/>
        </w:rPr>
        <w:t>,*</w:t>
      </w:r>
      <w:r w:rsidRPr="00E470BF">
        <w:rPr>
          <w:sz w:val="24"/>
        </w:rPr>
        <w:t xml:space="preserve"> and </w:t>
      </w:r>
      <w:r w:rsidR="00E470BF">
        <w:rPr>
          <w:sz w:val="24"/>
        </w:rPr>
        <w:t>M.</w:t>
      </w:r>
      <w:r w:rsidRPr="00E470BF">
        <w:rPr>
          <w:sz w:val="24"/>
        </w:rPr>
        <w:t xml:space="preserve"> Auxiliadora </w:t>
      </w:r>
      <w:proofErr w:type="spellStart"/>
      <w:r w:rsidRPr="00E470BF">
        <w:rPr>
          <w:sz w:val="24"/>
        </w:rPr>
        <w:t>Prieto</w:t>
      </w:r>
      <w:r w:rsidRPr="00E470BF">
        <w:rPr>
          <w:sz w:val="24"/>
          <w:vertAlign w:val="superscript"/>
        </w:rPr>
        <w:t>a,b</w:t>
      </w:r>
      <w:proofErr w:type="spellEnd"/>
      <w:r w:rsidR="00206292">
        <w:rPr>
          <w:sz w:val="24"/>
          <w:vertAlign w:val="superscript"/>
        </w:rPr>
        <w:t>,*</w:t>
      </w:r>
    </w:p>
    <w:p w14:paraId="42DBB031" w14:textId="77777777" w:rsidR="0028512E" w:rsidRPr="0028512E" w:rsidRDefault="0028512E" w:rsidP="0028512E">
      <w:pPr>
        <w:pStyle w:val="RSCF02FootnotestoTitleAuthors"/>
        <w:spacing w:line="360" w:lineRule="auto"/>
        <w:rPr>
          <w:iCs/>
          <w:sz w:val="22"/>
          <w:lang w:val="en-US"/>
        </w:rPr>
      </w:pPr>
      <w:r w:rsidRPr="0028512E">
        <w:rPr>
          <w:iCs/>
          <w:sz w:val="22"/>
          <w:vertAlign w:val="superscript"/>
          <w:lang w:val="en-US"/>
        </w:rPr>
        <w:t>a</w:t>
      </w:r>
      <w:r w:rsidRPr="0028512E">
        <w:rPr>
          <w:iCs/>
          <w:sz w:val="22"/>
          <w:lang w:val="en-US"/>
        </w:rPr>
        <w:t xml:space="preserve"> Polymer Biotechnology Group, Microbial &amp; Plant Biotechnology department, Margarita </w:t>
      </w:r>
    </w:p>
    <w:p w14:paraId="010331AE" w14:textId="701FE08F" w:rsidR="0028512E" w:rsidRPr="0028512E" w:rsidRDefault="0028512E" w:rsidP="0028512E">
      <w:pPr>
        <w:pStyle w:val="RSCF02FootnotestoTitleAuthors"/>
        <w:spacing w:line="360" w:lineRule="auto"/>
        <w:rPr>
          <w:iCs/>
          <w:sz w:val="22"/>
          <w:lang w:val="en-US"/>
        </w:rPr>
      </w:pPr>
      <w:r w:rsidRPr="0028512E">
        <w:rPr>
          <w:iCs/>
          <w:sz w:val="22"/>
          <w:lang w:val="en-US"/>
        </w:rPr>
        <w:t xml:space="preserve">  Salas Center for Biological Research (CIB</w:t>
      </w:r>
      <w:r>
        <w:rPr>
          <w:iCs/>
          <w:sz w:val="22"/>
          <w:lang w:val="en-US"/>
        </w:rPr>
        <w:t>-</w:t>
      </w:r>
      <w:r w:rsidRPr="0028512E">
        <w:rPr>
          <w:iCs/>
          <w:sz w:val="22"/>
          <w:lang w:val="en-US"/>
        </w:rPr>
        <w:t>CSIC), Madrid, Spain</w:t>
      </w:r>
    </w:p>
    <w:p w14:paraId="72958692" w14:textId="77777777" w:rsidR="0028512E" w:rsidRPr="0028512E" w:rsidRDefault="0028512E" w:rsidP="0028512E">
      <w:pPr>
        <w:pStyle w:val="RSCF02FootnotestoTitleAuthors"/>
        <w:spacing w:line="360" w:lineRule="auto"/>
        <w:rPr>
          <w:iCs/>
          <w:sz w:val="22"/>
          <w:lang w:val="en-US"/>
        </w:rPr>
      </w:pPr>
      <w:r w:rsidRPr="0028512E">
        <w:rPr>
          <w:iCs/>
          <w:sz w:val="22"/>
          <w:vertAlign w:val="superscript"/>
          <w:lang w:val="en-US"/>
        </w:rPr>
        <w:t>b</w:t>
      </w:r>
      <w:r w:rsidRPr="0028512E">
        <w:rPr>
          <w:iCs/>
          <w:sz w:val="22"/>
          <w:lang w:val="en-US"/>
        </w:rPr>
        <w:t xml:space="preserve"> Interdisciplinary Platform of Sustainable Plastics towards a Circular Economy, Spanish </w:t>
      </w:r>
    </w:p>
    <w:p w14:paraId="6D588F3D" w14:textId="77777777" w:rsidR="0028512E" w:rsidRPr="0028512E" w:rsidRDefault="0028512E" w:rsidP="0028512E">
      <w:pPr>
        <w:pStyle w:val="RSCF02FootnotestoTitleAuthors"/>
        <w:spacing w:line="360" w:lineRule="auto"/>
        <w:rPr>
          <w:iCs/>
          <w:sz w:val="22"/>
          <w:lang w:val="en-US"/>
        </w:rPr>
      </w:pPr>
      <w:r w:rsidRPr="0028512E">
        <w:rPr>
          <w:iCs/>
          <w:sz w:val="22"/>
          <w:lang w:val="en-US"/>
        </w:rPr>
        <w:t xml:space="preserve">  National Research Council (</w:t>
      </w:r>
      <w:proofErr w:type="spellStart"/>
      <w:r w:rsidRPr="0028512E">
        <w:rPr>
          <w:iCs/>
          <w:sz w:val="22"/>
          <w:lang w:val="en-US"/>
        </w:rPr>
        <w:t>SusPlast</w:t>
      </w:r>
      <w:proofErr w:type="spellEnd"/>
      <w:r w:rsidRPr="0028512E">
        <w:rPr>
          <w:iCs/>
          <w:sz w:val="22"/>
          <w:lang w:val="en-US"/>
        </w:rPr>
        <w:t xml:space="preserve">-CSIC), Madrid, Spain </w:t>
      </w:r>
    </w:p>
    <w:p w14:paraId="797C1ACE" w14:textId="77777777" w:rsidR="0028512E" w:rsidRPr="0028512E" w:rsidRDefault="0028512E" w:rsidP="0028512E">
      <w:pPr>
        <w:pStyle w:val="RSCF02FootnotestoTitleAuthors"/>
        <w:spacing w:line="360" w:lineRule="auto"/>
        <w:rPr>
          <w:iCs/>
          <w:sz w:val="22"/>
          <w:lang w:val="en-US"/>
        </w:rPr>
      </w:pPr>
      <w:r w:rsidRPr="0028512E">
        <w:rPr>
          <w:iCs/>
          <w:sz w:val="22"/>
          <w:vertAlign w:val="superscript"/>
          <w:lang w:val="en-US"/>
        </w:rPr>
        <w:t>c</w:t>
      </w:r>
      <w:r w:rsidRPr="0028512E">
        <w:rPr>
          <w:iCs/>
          <w:sz w:val="22"/>
          <w:lang w:val="en-US"/>
        </w:rPr>
        <w:t xml:space="preserve"> Protein Engineering Against Antibiotic Resistance Group, Microbial &amp; Plant Biotechnology </w:t>
      </w:r>
    </w:p>
    <w:p w14:paraId="291D5696" w14:textId="77777777" w:rsidR="0028512E" w:rsidRPr="0028512E" w:rsidRDefault="0028512E" w:rsidP="0028512E">
      <w:pPr>
        <w:pStyle w:val="RSCF02FootnotestoTitleAuthors"/>
        <w:spacing w:line="360" w:lineRule="auto"/>
        <w:rPr>
          <w:iCs/>
          <w:sz w:val="22"/>
          <w:lang w:val="en-US"/>
        </w:rPr>
      </w:pPr>
      <w:r w:rsidRPr="0028512E">
        <w:rPr>
          <w:iCs/>
          <w:sz w:val="22"/>
          <w:lang w:val="en-US"/>
        </w:rPr>
        <w:t xml:space="preserve">  Department, Margarita Salas Center for Biological Research (CIB-CSIC), Madrid, Spain </w:t>
      </w:r>
    </w:p>
    <w:p w14:paraId="658F74CF" w14:textId="77777777" w:rsidR="0028512E" w:rsidRPr="0028512E" w:rsidRDefault="0028512E" w:rsidP="0028512E">
      <w:pPr>
        <w:pStyle w:val="RSCF02FootnotestoTitleAuthors"/>
        <w:spacing w:line="360" w:lineRule="auto"/>
        <w:rPr>
          <w:iCs/>
          <w:sz w:val="22"/>
          <w:lang w:val="en-US"/>
        </w:rPr>
      </w:pPr>
      <w:r w:rsidRPr="0028512E">
        <w:rPr>
          <w:iCs/>
          <w:sz w:val="22"/>
          <w:vertAlign w:val="superscript"/>
          <w:lang w:val="en-US"/>
        </w:rPr>
        <w:t>d</w:t>
      </w:r>
      <w:r w:rsidRPr="0028512E">
        <w:rPr>
          <w:iCs/>
          <w:sz w:val="22"/>
          <w:lang w:val="en-US"/>
        </w:rPr>
        <w:t xml:space="preserve"> Current address: Laboratory of Applied Biotechnology. Department of Biotechnology. </w:t>
      </w:r>
    </w:p>
    <w:p w14:paraId="4B810B81" w14:textId="77777777" w:rsidR="0028512E" w:rsidRPr="0028512E" w:rsidRDefault="0028512E" w:rsidP="0028512E">
      <w:pPr>
        <w:pStyle w:val="RSCF02FootnotestoTitleAuthors"/>
        <w:spacing w:line="360" w:lineRule="auto"/>
        <w:rPr>
          <w:iCs/>
          <w:sz w:val="22"/>
          <w:lang w:val="en-US"/>
        </w:rPr>
      </w:pPr>
      <w:r w:rsidRPr="0028512E">
        <w:rPr>
          <w:iCs/>
          <w:sz w:val="22"/>
          <w:lang w:val="en-US"/>
        </w:rPr>
        <w:t xml:space="preserve">   Ghent University.  Ghent, Belgium</w:t>
      </w:r>
    </w:p>
    <w:p w14:paraId="213EC382" w14:textId="30A339B1" w:rsidR="00F367FC" w:rsidRPr="0028512E" w:rsidRDefault="0028512E" w:rsidP="0028512E">
      <w:pPr>
        <w:pStyle w:val="RSCF02FootnotestoTitleAuthors"/>
        <w:spacing w:line="360" w:lineRule="auto"/>
        <w:rPr>
          <w:iCs/>
          <w:sz w:val="22"/>
          <w:lang w:val="en-US"/>
        </w:rPr>
      </w:pPr>
      <w:r w:rsidRPr="0028512E">
        <w:rPr>
          <w:iCs/>
          <w:sz w:val="22"/>
          <w:lang w:val="en-US"/>
        </w:rPr>
        <w:t>* Corresponding authors</w:t>
      </w:r>
    </w:p>
    <w:p w14:paraId="7FDF0A45" w14:textId="758E988D" w:rsidR="00B04A12" w:rsidRDefault="00B04A12">
      <w:pPr>
        <w:rPr>
          <w:lang w:val="en-US"/>
        </w:rPr>
      </w:pPr>
    </w:p>
    <w:p w14:paraId="7A7F5B5F" w14:textId="63779D92" w:rsidR="00B21422" w:rsidRPr="00F367FC" w:rsidRDefault="008D5F1D">
      <w:pPr>
        <w:rPr>
          <w:lang w:val="en-US"/>
        </w:rPr>
      </w:pPr>
      <w:r>
        <w:rPr>
          <w:noProof/>
          <w:lang w:eastAsia="es-ES"/>
        </w:rPr>
        <w:drawing>
          <wp:inline distT="0" distB="0" distL="0" distR="0" wp14:anchorId="7EE4D602" wp14:editId="0C9357B1">
            <wp:extent cx="5400040" cy="3884930"/>
            <wp:effectExtent l="0" t="0" r="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S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8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2F851" w14:textId="02FE1B10" w:rsidR="00AA65B2" w:rsidRPr="00AA65B2" w:rsidRDefault="00B21422" w:rsidP="00AA65B2">
      <w:pPr>
        <w:jc w:val="both"/>
        <w:rPr>
          <w:bCs/>
          <w:lang w:val="en-US"/>
        </w:rPr>
      </w:pPr>
      <w:r>
        <w:rPr>
          <w:b/>
          <w:lang w:val="en-US"/>
        </w:rPr>
        <w:t>Figure S1.</w:t>
      </w:r>
      <w:r w:rsidR="00AA65B2">
        <w:rPr>
          <w:b/>
          <w:lang w:val="en-US"/>
        </w:rPr>
        <w:t xml:space="preserve"> M711 chimeric construction. </w:t>
      </w:r>
      <w:r w:rsidR="00AA65B2" w:rsidRPr="00AA65B2">
        <w:rPr>
          <w:bCs/>
          <w:lang w:val="en-US"/>
        </w:rPr>
        <w:t>A)</w:t>
      </w:r>
      <w:r w:rsidRPr="00AA65B2">
        <w:rPr>
          <w:bCs/>
          <w:lang w:val="en-US"/>
        </w:rPr>
        <w:t xml:space="preserve"> </w:t>
      </w:r>
      <w:r w:rsidR="00AA65B2" w:rsidRPr="00AA65B2">
        <w:rPr>
          <w:bCs/>
          <w:lang w:val="en-US"/>
        </w:rPr>
        <w:t>Schematic representation of the a</w:t>
      </w:r>
      <w:r w:rsidRPr="00AA65B2">
        <w:rPr>
          <w:bCs/>
          <w:lang w:val="en-US"/>
        </w:rPr>
        <w:t xml:space="preserve">rchitecture of </w:t>
      </w:r>
      <w:r w:rsidR="00AA65B2" w:rsidRPr="00AA65B2">
        <w:rPr>
          <w:bCs/>
          <w:lang w:val="en-US"/>
        </w:rPr>
        <w:t>M711. The functional domains are indicated in green for the PHA affinity tag (</w:t>
      </w:r>
      <w:proofErr w:type="spellStart"/>
      <w:r w:rsidR="00AA65B2" w:rsidRPr="00AA65B2">
        <w:rPr>
          <w:bCs/>
          <w:lang w:val="en-US"/>
        </w:rPr>
        <w:t>MinP</w:t>
      </w:r>
      <w:proofErr w:type="spellEnd"/>
      <w:r w:rsidR="00AA65B2" w:rsidRPr="00AA65B2">
        <w:rPr>
          <w:bCs/>
          <w:lang w:val="en-US"/>
        </w:rPr>
        <w:t xml:space="preserve">); in </w:t>
      </w:r>
      <w:r w:rsidR="00E470BF">
        <w:rPr>
          <w:bCs/>
          <w:lang w:val="en-US"/>
        </w:rPr>
        <w:t>orange</w:t>
      </w:r>
      <w:r w:rsidR="00AA65B2" w:rsidRPr="00AA65B2">
        <w:rPr>
          <w:bCs/>
          <w:lang w:val="en-US"/>
        </w:rPr>
        <w:t xml:space="preserve"> for the catalytic lysozyme domain; and in purple for the </w:t>
      </w:r>
      <w:r w:rsidR="00E470BF">
        <w:rPr>
          <w:bCs/>
          <w:lang w:val="en-US"/>
        </w:rPr>
        <w:t>choline-binding</w:t>
      </w:r>
      <w:r w:rsidR="00AA65B2" w:rsidRPr="00AA65B2">
        <w:rPr>
          <w:bCs/>
          <w:lang w:val="en-US"/>
        </w:rPr>
        <w:t xml:space="preserve"> </w:t>
      </w:r>
      <w:r w:rsidR="00206292">
        <w:rPr>
          <w:bCs/>
          <w:lang w:val="en-US"/>
        </w:rPr>
        <w:t>repeats (CBR)</w:t>
      </w:r>
      <w:r w:rsidR="00AA65B2" w:rsidRPr="00AA65B2">
        <w:rPr>
          <w:bCs/>
          <w:lang w:val="en-US"/>
        </w:rPr>
        <w:t xml:space="preserve"> or cell wall binding domain. B) Amino</w:t>
      </w:r>
      <w:r w:rsidR="00E470BF">
        <w:rPr>
          <w:bCs/>
          <w:lang w:val="en-US"/>
        </w:rPr>
        <w:t xml:space="preserve"> </w:t>
      </w:r>
      <w:r w:rsidR="00AA65B2" w:rsidRPr="00AA65B2">
        <w:rPr>
          <w:bCs/>
          <w:lang w:val="en-US"/>
        </w:rPr>
        <w:t xml:space="preserve">acid sequence of M711. Each functional domain is highlighted in </w:t>
      </w:r>
      <w:r w:rsidR="00AA65B2" w:rsidRPr="00AA65B2">
        <w:rPr>
          <w:bCs/>
          <w:lang w:val="en-US"/>
        </w:rPr>
        <w:lastRenderedPageBreak/>
        <w:t xml:space="preserve">the same </w:t>
      </w:r>
      <w:r w:rsidR="00E470BF">
        <w:rPr>
          <w:bCs/>
          <w:lang w:val="en-US"/>
        </w:rPr>
        <w:t>color</w:t>
      </w:r>
      <w:r w:rsidR="00AA65B2" w:rsidRPr="00AA65B2">
        <w:rPr>
          <w:bCs/>
          <w:lang w:val="en-US"/>
        </w:rPr>
        <w:t xml:space="preserve"> as in </w:t>
      </w:r>
      <w:r w:rsidR="00E470BF">
        <w:rPr>
          <w:bCs/>
          <w:lang w:val="en-US"/>
        </w:rPr>
        <w:t>the upper panel</w:t>
      </w:r>
      <w:r w:rsidR="00AA65B2" w:rsidRPr="00AA65B2">
        <w:rPr>
          <w:bCs/>
          <w:lang w:val="en-US"/>
        </w:rPr>
        <w:t xml:space="preserve">. Underlined sequences indicate the sequences obtained by N-terminal sequencing. </w:t>
      </w:r>
    </w:p>
    <w:p w14:paraId="760F1F2C" w14:textId="77777777" w:rsidR="00C64721" w:rsidRDefault="00C64721" w:rsidP="00C64721">
      <w:pPr>
        <w:tabs>
          <w:tab w:val="left" w:pos="567"/>
        </w:tabs>
        <w:ind w:left="851" w:right="1274"/>
        <w:jc w:val="both"/>
        <w:rPr>
          <w:lang w:val="en-US"/>
        </w:rPr>
      </w:pPr>
    </w:p>
    <w:p w14:paraId="3D2BE2C1" w14:textId="0CD42013" w:rsidR="00FF11A3" w:rsidRDefault="00FF11A3" w:rsidP="00C64721">
      <w:pPr>
        <w:tabs>
          <w:tab w:val="left" w:pos="567"/>
        </w:tabs>
        <w:ind w:left="851" w:right="1274"/>
        <w:jc w:val="both"/>
        <w:rPr>
          <w:lang w:val="en-US"/>
        </w:rPr>
      </w:pPr>
    </w:p>
    <w:p w14:paraId="4BCD8163" w14:textId="04254B1D" w:rsidR="00E470BF" w:rsidRDefault="008D5F1D" w:rsidP="00FF11A3">
      <w:pPr>
        <w:tabs>
          <w:tab w:val="left" w:pos="567"/>
        </w:tabs>
        <w:ind w:left="851" w:right="849"/>
        <w:jc w:val="both"/>
        <w:rPr>
          <w:b/>
          <w:lang w:val="en-US"/>
        </w:rPr>
      </w:pPr>
      <w:r>
        <w:rPr>
          <w:b/>
          <w:noProof/>
          <w:lang w:eastAsia="es-ES"/>
        </w:rPr>
        <w:drawing>
          <wp:inline distT="0" distB="0" distL="0" distR="0" wp14:anchorId="25BF50C8" wp14:editId="7A5B9EF0">
            <wp:extent cx="4326851" cy="3279228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S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9549" cy="328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E50C" w14:textId="6AEF42FB" w:rsidR="00E470BF" w:rsidRDefault="00FF11A3" w:rsidP="00FF11A3">
      <w:pPr>
        <w:tabs>
          <w:tab w:val="left" w:pos="567"/>
        </w:tabs>
        <w:ind w:left="851" w:right="849"/>
        <w:jc w:val="both"/>
        <w:rPr>
          <w:b/>
          <w:lang w:val="en-US"/>
        </w:rPr>
      </w:pPr>
      <w:r>
        <w:rPr>
          <w:b/>
          <w:lang w:val="en-US"/>
        </w:rPr>
        <w:t>Figure S</w:t>
      </w:r>
      <w:r w:rsidR="00DB6988">
        <w:rPr>
          <w:b/>
          <w:lang w:val="en-US"/>
        </w:rPr>
        <w:t>2</w:t>
      </w:r>
      <w:r w:rsidRPr="00C64721">
        <w:rPr>
          <w:b/>
          <w:lang w:val="en-US"/>
        </w:rPr>
        <w:t xml:space="preserve">. </w:t>
      </w:r>
      <w:r>
        <w:rPr>
          <w:b/>
          <w:lang w:val="en-US"/>
        </w:rPr>
        <w:t xml:space="preserve">Optical density decrease at 550 nm with different antimicrobial proteins at 250 nM (A), 125 nM (B), 62.5 nM (C), or 31.25 nM (D). </w:t>
      </w:r>
      <w:r w:rsidRPr="00FF11A3">
        <w:rPr>
          <w:lang w:val="en-US"/>
        </w:rPr>
        <w:t xml:space="preserve">Black circles indicate a negative control of </w:t>
      </w:r>
      <w:r w:rsidR="00DB6988">
        <w:rPr>
          <w:lang w:val="en-US"/>
        </w:rPr>
        <w:t>untreated resting cells</w:t>
      </w:r>
      <w:r w:rsidRPr="00FF11A3">
        <w:rPr>
          <w:lang w:val="en-US"/>
        </w:rPr>
        <w:t xml:space="preserve">; dark grey squares indicate cultures treated with Cpl-711; light grey triangles indicate a control of </w:t>
      </w:r>
      <w:r w:rsidR="00E470BF">
        <w:rPr>
          <w:lang w:val="en-US"/>
        </w:rPr>
        <w:t>SDS-treated</w:t>
      </w:r>
      <w:r w:rsidRPr="00FF11A3">
        <w:rPr>
          <w:lang w:val="en-US"/>
        </w:rPr>
        <w:t xml:space="preserve"> </w:t>
      </w:r>
      <w:r w:rsidR="00DB6988">
        <w:rPr>
          <w:lang w:val="en-US"/>
        </w:rPr>
        <w:t>Cpl-</w:t>
      </w:r>
      <w:r w:rsidRPr="00FF11A3">
        <w:rPr>
          <w:lang w:val="en-US"/>
        </w:rPr>
        <w:t>711</w:t>
      </w:r>
      <w:r w:rsidR="00DB6988">
        <w:rPr>
          <w:lang w:val="en-US"/>
        </w:rPr>
        <w:t xml:space="preserve"> (Cpl-711d)</w:t>
      </w:r>
      <w:r w:rsidRPr="00FF11A3">
        <w:rPr>
          <w:lang w:val="en-US"/>
        </w:rPr>
        <w:t>; and green triangles indicate M711 treated cultures.</w:t>
      </w:r>
      <w:r>
        <w:rPr>
          <w:b/>
          <w:lang w:val="en-US"/>
        </w:rPr>
        <w:t xml:space="preserve">   </w:t>
      </w:r>
    </w:p>
    <w:p w14:paraId="77E97824" w14:textId="77777777" w:rsidR="00E470BF" w:rsidRDefault="00E470BF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0282B1E5" w14:textId="77777777" w:rsidR="00FF11A3" w:rsidRDefault="00FF11A3" w:rsidP="00FF11A3">
      <w:pPr>
        <w:tabs>
          <w:tab w:val="left" w:pos="567"/>
        </w:tabs>
        <w:ind w:left="851" w:right="849"/>
        <w:jc w:val="both"/>
        <w:rPr>
          <w:b/>
          <w:lang w:val="en-US"/>
        </w:rPr>
      </w:pPr>
    </w:p>
    <w:p w14:paraId="38ADDC85" w14:textId="77777777" w:rsidR="00FF11A3" w:rsidRDefault="00FF11A3" w:rsidP="00E470BF">
      <w:pPr>
        <w:tabs>
          <w:tab w:val="left" w:pos="567"/>
        </w:tabs>
        <w:ind w:right="849"/>
        <w:jc w:val="both"/>
        <w:rPr>
          <w:lang w:val="en-US"/>
        </w:rPr>
      </w:pPr>
    </w:p>
    <w:p w14:paraId="00F1A805" w14:textId="0C0F5B9B" w:rsidR="00FF11A3" w:rsidRPr="008D5F1D" w:rsidRDefault="008D5F1D" w:rsidP="00FF11A3">
      <w:pPr>
        <w:tabs>
          <w:tab w:val="left" w:pos="567"/>
        </w:tabs>
        <w:ind w:left="851" w:right="849"/>
        <w:jc w:val="both"/>
        <w:rPr>
          <w:lang w:val="en-US"/>
        </w:rPr>
      </w:pPr>
      <w:r>
        <w:rPr>
          <w:noProof/>
          <w:lang w:eastAsia="es-ES"/>
        </w:rPr>
        <w:drawing>
          <wp:inline distT="0" distB="0" distL="0" distR="0" wp14:anchorId="4439FECF" wp14:editId="3F05FD76">
            <wp:extent cx="4276510" cy="2475186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S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436" cy="248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9BFEB" w14:textId="6960E630" w:rsidR="00C64721" w:rsidRDefault="000D1F88" w:rsidP="006E688D">
      <w:pPr>
        <w:tabs>
          <w:tab w:val="left" w:pos="567"/>
        </w:tabs>
        <w:ind w:left="851" w:right="849"/>
        <w:jc w:val="both"/>
        <w:rPr>
          <w:lang w:val="en-US"/>
        </w:rPr>
      </w:pPr>
      <w:r w:rsidRPr="003059F2">
        <w:rPr>
          <w:b/>
          <w:bCs/>
          <w:lang w:val="en-US"/>
        </w:rPr>
        <w:t xml:space="preserve">Figure S3. M711 distribution between pellet and supernatant </w:t>
      </w:r>
      <w:r w:rsidR="00E470BF">
        <w:rPr>
          <w:b/>
          <w:bCs/>
          <w:lang w:val="en-US"/>
        </w:rPr>
        <w:t xml:space="preserve">fractions after centrifugation, as </w:t>
      </w:r>
      <w:r w:rsidRPr="003059F2">
        <w:rPr>
          <w:b/>
          <w:bCs/>
          <w:lang w:val="en-US"/>
        </w:rPr>
        <w:t xml:space="preserve">assessed </w:t>
      </w:r>
      <w:r w:rsidR="00E470BF">
        <w:rPr>
          <w:b/>
          <w:bCs/>
          <w:lang w:val="en-US"/>
        </w:rPr>
        <w:t xml:space="preserve">on 12.5 % </w:t>
      </w:r>
      <w:r w:rsidRPr="003059F2">
        <w:rPr>
          <w:b/>
          <w:bCs/>
          <w:lang w:val="en-US"/>
        </w:rPr>
        <w:t xml:space="preserve">SDS-PAGE </w:t>
      </w:r>
      <w:r w:rsidR="00E470BF">
        <w:rPr>
          <w:b/>
          <w:bCs/>
          <w:lang w:val="en-US"/>
        </w:rPr>
        <w:t>for</w:t>
      </w:r>
      <w:r w:rsidRPr="003059F2">
        <w:rPr>
          <w:b/>
          <w:bCs/>
          <w:lang w:val="en-US"/>
        </w:rPr>
        <w:t xml:space="preserve"> PHA NPs stabilized with different surfactants</w:t>
      </w:r>
      <w:r>
        <w:rPr>
          <w:lang w:val="en-US"/>
        </w:rPr>
        <w:t xml:space="preserve">. Lane 1: </w:t>
      </w:r>
      <w:r w:rsidR="00E470BF" w:rsidRPr="00E470BF">
        <w:rPr>
          <w:lang w:val="en-US"/>
        </w:rPr>
        <w:t>Molecular weight markers</w:t>
      </w:r>
      <w:r>
        <w:rPr>
          <w:lang w:val="en-US"/>
        </w:rPr>
        <w:t>; lane</w:t>
      </w:r>
      <w:r w:rsidR="003059F2">
        <w:rPr>
          <w:lang w:val="en-US"/>
        </w:rPr>
        <w:t>s</w:t>
      </w:r>
      <w:r>
        <w:rPr>
          <w:lang w:val="en-US"/>
        </w:rPr>
        <w:t xml:space="preserve"> 2</w:t>
      </w:r>
      <w:r w:rsidR="003059F2">
        <w:rPr>
          <w:lang w:val="en-US"/>
        </w:rPr>
        <w:t>,4,6,8</w:t>
      </w:r>
      <w:r>
        <w:rPr>
          <w:lang w:val="en-US"/>
        </w:rPr>
        <w:t>: pellet fraction</w:t>
      </w:r>
      <w:r w:rsidR="00E470BF">
        <w:rPr>
          <w:lang w:val="en-US"/>
        </w:rPr>
        <w:t>s</w:t>
      </w:r>
      <w:r>
        <w:rPr>
          <w:lang w:val="en-US"/>
        </w:rPr>
        <w:t xml:space="preserve"> </w:t>
      </w:r>
      <w:r w:rsidR="003059F2">
        <w:rPr>
          <w:lang w:val="en-US"/>
        </w:rPr>
        <w:t xml:space="preserve">after centrifugation containing the </w:t>
      </w:r>
      <w:r>
        <w:rPr>
          <w:lang w:val="en-US"/>
        </w:rPr>
        <w:t xml:space="preserve">NPs </w:t>
      </w:r>
      <w:r w:rsidR="003059F2">
        <w:rPr>
          <w:lang w:val="en-US"/>
        </w:rPr>
        <w:t>(immobilized fraction); lanes 3,5,7,9: supernatant fraction</w:t>
      </w:r>
      <w:r w:rsidR="00E470BF">
        <w:rPr>
          <w:lang w:val="en-US"/>
        </w:rPr>
        <w:t>s</w:t>
      </w:r>
      <w:r w:rsidR="003059F2">
        <w:rPr>
          <w:lang w:val="en-US"/>
        </w:rPr>
        <w:t xml:space="preserve"> of the NPs after centrifugation (unbound fraction). Surfactants on the NPs are indicated.</w:t>
      </w:r>
      <w:r w:rsidR="00E470BF">
        <w:rPr>
          <w:lang w:val="en-US"/>
        </w:rPr>
        <w:t xml:space="preserve"> BSA</w:t>
      </w:r>
      <w:r w:rsidR="003059F2">
        <w:rPr>
          <w:lang w:val="en-US"/>
        </w:rPr>
        <w:t xml:space="preserve"> </w:t>
      </w:r>
      <w:r w:rsidR="00E470BF">
        <w:rPr>
          <w:lang w:val="en-US"/>
        </w:rPr>
        <w:t xml:space="preserve">stands for bovine serum albumin. </w:t>
      </w:r>
    </w:p>
    <w:p w14:paraId="682450D8" w14:textId="77777777" w:rsidR="00F367FC" w:rsidRPr="00F367FC" w:rsidRDefault="00F367FC" w:rsidP="00F367FC">
      <w:pPr>
        <w:tabs>
          <w:tab w:val="left" w:pos="0"/>
        </w:tabs>
        <w:ind w:right="-1"/>
        <w:jc w:val="both"/>
        <w:rPr>
          <w:lang w:val="en-US"/>
        </w:rPr>
      </w:pPr>
    </w:p>
    <w:sectPr w:rsidR="00F367FC" w:rsidRPr="00F367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S0tDQ1NTAyNjI3sDRS0lEKTi0uzszPAykwrAUAFntykywAAAA="/>
  </w:docVars>
  <w:rsids>
    <w:rsidRoot w:val="00F367FC"/>
    <w:rsid w:val="000D1F88"/>
    <w:rsid w:val="00206292"/>
    <w:rsid w:val="0028512E"/>
    <w:rsid w:val="003059F2"/>
    <w:rsid w:val="00375345"/>
    <w:rsid w:val="005220B6"/>
    <w:rsid w:val="006E688D"/>
    <w:rsid w:val="008D5F1D"/>
    <w:rsid w:val="00AA65B2"/>
    <w:rsid w:val="00B04A12"/>
    <w:rsid w:val="00B21422"/>
    <w:rsid w:val="00B847E1"/>
    <w:rsid w:val="00BB566F"/>
    <w:rsid w:val="00C64721"/>
    <w:rsid w:val="00C72840"/>
    <w:rsid w:val="00C77332"/>
    <w:rsid w:val="00CA1D4C"/>
    <w:rsid w:val="00DB3206"/>
    <w:rsid w:val="00DB6988"/>
    <w:rsid w:val="00E470BF"/>
    <w:rsid w:val="00EA40F6"/>
    <w:rsid w:val="00F07177"/>
    <w:rsid w:val="00F367FC"/>
    <w:rsid w:val="00FC090F"/>
    <w:rsid w:val="00FF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A757E"/>
  <w15:chartTrackingRefBased/>
  <w15:docId w15:val="{483D57FC-FC1E-465B-9EDF-081C35AAD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SCF01FootnoteAuthorAddress">
    <w:name w:val="RSC F01 Footnote Author Address"/>
    <w:link w:val="RSCF01FootnoteAuthorAddressChar"/>
    <w:qFormat/>
    <w:rsid w:val="00F367FC"/>
    <w:pPr>
      <w:numPr>
        <w:numId w:val="1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  <w:lang w:val="en-GB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F367FC"/>
    <w:pPr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Fuentedeprrafopredeter"/>
    <w:link w:val="RSCF01FootnoteAuthorAddress"/>
    <w:rsid w:val="00F367FC"/>
    <w:rPr>
      <w:rFonts w:cs="Times New Roman"/>
      <w:i/>
      <w:w w:val="105"/>
      <w:sz w:val="14"/>
      <w:szCs w:val="14"/>
      <w:lang w:val="en-GB"/>
    </w:rPr>
  </w:style>
  <w:style w:type="character" w:customStyle="1" w:styleId="RSCF02FootnotestoTitleAuthorsChar">
    <w:name w:val="RSC F02 Footnotes to Title/Authors Char"/>
    <w:basedOn w:val="Fuentedeprrafopredeter"/>
    <w:link w:val="RSCF02FootnotestoTitleAuthors"/>
    <w:rsid w:val="00F367FC"/>
    <w:rPr>
      <w:rFonts w:cs="Times New Roman"/>
      <w:w w:val="105"/>
      <w:sz w:val="14"/>
      <w:szCs w:val="14"/>
      <w:lang w:val="en-GB"/>
    </w:rPr>
  </w:style>
  <w:style w:type="table" w:styleId="Tablaconcuadrcula">
    <w:name w:val="Table Grid"/>
    <w:basedOn w:val="Tablanormal"/>
    <w:uiPriority w:val="39"/>
    <w:rsid w:val="00F36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FranBlanco</dc:creator>
  <cp:keywords/>
  <dc:description/>
  <cp:lastModifiedBy>Microsoft Office User</cp:lastModifiedBy>
  <cp:revision>2</cp:revision>
  <dcterms:created xsi:type="dcterms:W3CDTF">2023-03-30T16:39:00Z</dcterms:created>
  <dcterms:modified xsi:type="dcterms:W3CDTF">2023-03-30T16:39:00Z</dcterms:modified>
</cp:coreProperties>
</file>