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B447A" w:rsidRPr="00767D69" w:rsidRDefault="00AB447A" w:rsidP="00AB447A">
      <w:pPr>
        <w:pStyle w:val="a3"/>
        <w:spacing w:beforeLines="100" w:before="312"/>
        <w:ind w:firstLineChars="0" w:firstLine="0"/>
        <w:jc w:val="left"/>
        <w:rPr>
          <w:rFonts w:ascii="Times New Roman" w:hAnsi="Times New Roman"/>
          <w:b/>
          <w:sz w:val="24"/>
          <w:szCs w:val="24"/>
        </w:rPr>
      </w:pPr>
      <w:r w:rsidRPr="00767D69">
        <w:rPr>
          <w:rFonts w:ascii="Times New Roman" w:hAnsi="Times New Roman"/>
          <w:b/>
          <w:sz w:val="24"/>
          <w:szCs w:val="24"/>
        </w:rPr>
        <w:t>Supplementary (if necessary)</w:t>
      </w:r>
    </w:p>
    <w:p w:rsidR="00AB447A" w:rsidRDefault="00AB447A" w:rsidP="00AB447A">
      <w:pPr>
        <w:pStyle w:val="a3"/>
        <w:spacing w:beforeLines="100" w:before="312"/>
        <w:ind w:firstLineChars="0" w:firstLine="0"/>
        <w:jc w:val="left"/>
        <w:rPr>
          <w:rFonts w:ascii="Times New Roman" w:hAnsi="Times New Roman"/>
          <w:b/>
          <w:sz w:val="24"/>
          <w:szCs w:val="24"/>
        </w:rPr>
      </w:pPr>
    </w:p>
    <w:p w:rsidR="00AB447A" w:rsidRPr="00767D69" w:rsidRDefault="00AB447A" w:rsidP="00AB447A">
      <w:pPr>
        <w:pStyle w:val="a3"/>
        <w:spacing w:beforeLines="100" w:before="312"/>
        <w:ind w:firstLineChars="0" w:firstLine="0"/>
        <w:jc w:val="left"/>
        <w:rPr>
          <w:rFonts w:ascii="Times New Roman" w:hAnsi="Times New Roman"/>
          <w:b/>
          <w:sz w:val="24"/>
          <w:szCs w:val="24"/>
        </w:rPr>
      </w:pPr>
    </w:p>
    <w:p w:rsidR="00AB447A" w:rsidRPr="00767D69" w:rsidRDefault="00AB447A" w:rsidP="00AB447A">
      <w:pPr>
        <w:jc w:val="center"/>
        <w:rPr>
          <w:rFonts w:ascii="Times New Roman" w:hAnsi="Times New Roman"/>
          <w:b/>
          <w:bCs/>
          <w:sz w:val="24"/>
          <w:szCs w:val="24"/>
        </w:rPr>
      </w:pPr>
      <w:r w:rsidRPr="00767D69">
        <w:rPr>
          <w:rFonts w:ascii="Times New Roman" w:hAnsi="Times New Roman"/>
          <w:b/>
          <w:bCs/>
          <w:sz w:val="24"/>
          <w:szCs w:val="24"/>
        </w:rPr>
        <w:t>Appendix A. The</w:t>
      </w:r>
      <w:r>
        <w:rPr>
          <w:rFonts w:ascii="Times New Roman" w:hAnsi="Times New Roman"/>
          <w:b/>
          <w:bCs/>
          <w:sz w:val="24"/>
          <w:szCs w:val="24"/>
        </w:rPr>
        <w:t xml:space="preserve"> definition of</w:t>
      </w:r>
      <w:r w:rsidRPr="00767D69">
        <w:rPr>
          <w:rFonts w:ascii="Times New Roman" w:hAnsi="Times New Roman"/>
          <w:b/>
          <w:bCs/>
          <w:sz w:val="24"/>
          <w:szCs w:val="24"/>
        </w:rPr>
        <w:t xml:space="preserve"> ICD code </w:t>
      </w:r>
      <w:r>
        <w:rPr>
          <w:rFonts w:ascii="Times New Roman" w:hAnsi="Times New Roman"/>
          <w:b/>
          <w:bCs/>
          <w:sz w:val="24"/>
          <w:szCs w:val="24"/>
        </w:rPr>
        <w:t>variables</w:t>
      </w:r>
    </w:p>
    <w:tbl>
      <w:tblPr>
        <w:tblW w:w="4034" w:type="pct"/>
        <w:jc w:val="center"/>
        <w:tblLayout w:type="fixed"/>
        <w:tblCellMar>
          <w:left w:w="0" w:type="dxa"/>
          <w:right w:w="0" w:type="dxa"/>
        </w:tblCellMar>
        <w:tblLook w:val="04A0" w:firstRow="1" w:lastRow="0" w:firstColumn="1" w:lastColumn="0" w:noHBand="0" w:noVBand="1"/>
      </w:tblPr>
      <w:tblGrid>
        <w:gridCol w:w="1899"/>
        <w:gridCol w:w="4794"/>
      </w:tblGrid>
      <w:tr w:rsidR="00AB447A" w:rsidRPr="009E5DC2" w:rsidTr="005D182A">
        <w:trPr>
          <w:trHeight w:val="426"/>
          <w:jc w:val="center"/>
        </w:trPr>
        <w:tc>
          <w:tcPr>
            <w:tcW w:w="1419"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B447A" w:rsidRPr="00124B49" w:rsidRDefault="00AB447A" w:rsidP="005D182A">
            <w:pPr>
              <w:jc w:val="center"/>
              <w:rPr>
                <w:rFonts w:ascii="Times New Roman" w:hAnsi="Times New Roman"/>
                <w:color w:val="000000"/>
                <w:szCs w:val="21"/>
              </w:rPr>
            </w:pPr>
            <w:r w:rsidRPr="00124B49">
              <w:rPr>
                <w:rFonts w:ascii="Times New Roman" w:hAnsi="Times New Roman"/>
                <w:color w:val="000000"/>
                <w:szCs w:val="21"/>
              </w:rPr>
              <w:t>ICD code variables</w:t>
            </w:r>
          </w:p>
        </w:tc>
        <w:tc>
          <w:tcPr>
            <w:tcW w:w="3581"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B447A" w:rsidRPr="00124B49" w:rsidRDefault="00AB447A" w:rsidP="005D182A">
            <w:pPr>
              <w:jc w:val="center"/>
              <w:rPr>
                <w:rFonts w:ascii="Times New Roman" w:hAnsi="Times New Roman"/>
                <w:color w:val="000000"/>
                <w:szCs w:val="21"/>
              </w:rPr>
            </w:pPr>
            <w:r w:rsidRPr="00124B49">
              <w:rPr>
                <w:rFonts w:ascii="Times New Roman" w:hAnsi="Times New Roman"/>
                <w:color w:val="000000"/>
                <w:szCs w:val="21"/>
              </w:rPr>
              <w:t>Definitions</w:t>
            </w:r>
          </w:p>
        </w:tc>
      </w:tr>
      <w:tr w:rsidR="00AB447A" w:rsidRPr="009E5DC2" w:rsidTr="005D182A">
        <w:trPr>
          <w:trHeight w:val="556"/>
          <w:jc w:val="center"/>
        </w:trPr>
        <w:tc>
          <w:tcPr>
            <w:tcW w:w="1419" w:type="pct"/>
            <w:vMerge/>
            <w:tcBorders>
              <w:top w:val="single" w:sz="4" w:space="0" w:color="auto"/>
              <w:left w:val="single" w:sz="4" w:space="0" w:color="auto"/>
              <w:bottom w:val="single" w:sz="4" w:space="0" w:color="auto"/>
              <w:right w:val="single" w:sz="4" w:space="0" w:color="auto"/>
            </w:tcBorders>
            <w:vAlign w:val="center"/>
            <w:hideMark/>
          </w:tcPr>
          <w:p w:rsidR="00AB447A" w:rsidRPr="00124B49" w:rsidRDefault="00AB447A" w:rsidP="005D182A">
            <w:pPr>
              <w:jc w:val="left"/>
              <w:rPr>
                <w:rFonts w:ascii="Times New Roman" w:hAnsi="Times New Roman"/>
                <w:color w:val="000000"/>
                <w:szCs w:val="21"/>
              </w:rPr>
            </w:pPr>
          </w:p>
        </w:tc>
        <w:tc>
          <w:tcPr>
            <w:tcW w:w="3581" w:type="pct"/>
            <w:vMerge/>
            <w:tcBorders>
              <w:top w:val="single" w:sz="4" w:space="0" w:color="auto"/>
              <w:left w:val="single" w:sz="4" w:space="0" w:color="auto"/>
              <w:bottom w:val="single" w:sz="4" w:space="0" w:color="auto"/>
              <w:right w:val="single" w:sz="4" w:space="0" w:color="auto"/>
            </w:tcBorders>
            <w:vAlign w:val="center"/>
            <w:hideMark/>
          </w:tcPr>
          <w:p w:rsidR="00AB447A" w:rsidRPr="00124B49" w:rsidRDefault="00AB447A" w:rsidP="005D182A">
            <w:pPr>
              <w:jc w:val="left"/>
              <w:rPr>
                <w:rFonts w:ascii="Times New Roman" w:hAnsi="Times New Roman"/>
                <w:color w:val="000000"/>
                <w:szCs w:val="21"/>
              </w:rPr>
            </w:pPr>
          </w:p>
        </w:tc>
      </w:tr>
      <w:tr w:rsidR="00AB447A" w:rsidRPr="009E5DC2" w:rsidTr="005D182A">
        <w:trPr>
          <w:trHeight w:val="2024"/>
          <w:jc w:val="center"/>
        </w:trPr>
        <w:tc>
          <w:tcPr>
            <w:tcW w:w="141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B447A" w:rsidRPr="00124B49" w:rsidRDefault="00AB447A" w:rsidP="005D182A">
            <w:pPr>
              <w:jc w:val="left"/>
              <w:rPr>
                <w:rFonts w:ascii="Times New Roman" w:hAnsi="Times New Roman"/>
                <w:color w:val="000000"/>
                <w:szCs w:val="21"/>
              </w:rPr>
            </w:pPr>
            <w:r w:rsidRPr="00124B49">
              <w:rPr>
                <w:rFonts w:ascii="Times New Roman" w:hAnsi="Times New Roman"/>
                <w:color w:val="000000"/>
                <w:szCs w:val="21"/>
              </w:rPr>
              <w:t>Primary diagnosis codes</w:t>
            </w:r>
          </w:p>
        </w:tc>
        <w:tc>
          <w:tcPr>
            <w:tcW w:w="358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B447A" w:rsidRPr="00124B49" w:rsidRDefault="00AB447A" w:rsidP="005D182A">
            <w:pPr>
              <w:jc w:val="left"/>
              <w:rPr>
                <w:rFonts w:ascii="Times New Roman" w:hAnsi="Times New Roman"/>
                <w:color w:val="000000"/>
                <w:szCs w:val="21"/>
              </w:rPr>
            </w:pPr>
            <w:r w:rsidRPr="00124B49">
              <w:rPr>
                <w:rFonts w:ascii="Times New Roman" w:hAnsi="Times New Roman"/>
                <w:color w:val="000000"/>
                <w:szCs w:val="21"/>
              </w:rPr>
              <w:t xml:space="preserve">The diagnosis concepts that were coded </w:t>
            </w:r>
            <w:r>
              <w:rPr>
                <w:rFonts w:ascii="Times New Roman" w:hAnsi="Times New Roman"/>
                <w:color w:val="000000"/>
                <w:szCs w:val="21"/>
              </w:rPr>
              <w:t>using</w:t>
            </w:r>
            <w:r w:rsidRPr="00124B49">
              <w:rPr>
                <w:rFonts w:ascii="Times New Roman" w:hAnsi="Times New Roman"/>
                <w:color w:val="000000"/>
                <w:szCs w:val="21"/>
              </w:rPr>
              <w:t xml:space="preserve"> ICD-10 codes. The main condition is defined as the condition, diagnosed at the end of the episode of healthcare, primarily responsible for the patient`s need for treatment or investigation. There can only be one primary discharge diagnosis per patient.</w:t>
            </w:r>
          </w:p>
        </w:tc>
      </w:tr>
      <w:tr w:rsidR="00AB447A" w:rsidRPr="009E5DC2" w:rsidTr="005D182A">
        <w:trPr>
          <w:trHeight w:val="2024"/>
          <w:jc w:val="center"/>
        </w:trPr>
        <w:tc>
          <w:tcPr>
            <w:tcW w:w="141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B447A" w:rsidRPr="00124B49" w:rsidRDefault="00AB447A" w:rsidP="005D182A">
            <w:pPr>
              <w:jc w:val="left"/>
              <w:rPr>
                <w:rFonts w:ascii="Times New Roman" w:hAnsi="Times New Roman"/>
                <w:color w:val="000000"/>
                <w:szCs w:val="21"/>
              </w:rPr>
            </w:pPr>
            <w:r w:rsidRPr="00124B49">
              <w:rPr>
                <w:rFonts w:ascii="Times New Roman" w:hAnsi="Times New Roman"/>
                <w:color w:val="000000"/>
                <w:szCs w:val="21"/>
              </w:rPr>
              <w:t>Other diagnosis codes</w:t>
            </w:r>
          </w:p>
        </w:tc>
        <w:tc>
          <w:tcPr>
            <w:tcW w:w="358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B447A" w:rsidRPr="00124B49" w:rsidRDefault="00AB447A" w:rsidP="005D182A">
            <w:pPr>
              <w:jc w:val="left"/>
              <w:rPr>
                <w:rFonts w:ascii="Times New Roman" w:hAnsi="Times New Roman"/>
                <w:color w:val="000000"/>
                <w:szCs w:val="21"/>
              </w:rPr>
            </w:pPr>
            <w:r w:rsidRPr="00124B49">
              <w:rPr>
                <w:rFonts w:ascii="Times New Roman" w:hAnsi="Times New Roman"/>
                <w:color w:val="000000"/>
                <w:szCs w:val="21"/>
              </w:rPr>
              <w:t>The diagnosis concepts coded with ICD-10 codes. Additional conditions that affect patient care may coexist with the primary diagnosis in terms of requiring clinical evaluation, therapeutic treatment, diagnostic procedures, extended length of hospital stay, increased nursing care, and/or monitoring. This includes any comorbidity that the patient may have. There may be multiple secondary diagnoses per patient.</w:t>
            </w:r>
          </w:p>
        </w:tc>
      </w:tr>
      <w:tr w:rsidR="00AB447A" w:rsidRPr="009E5DC2" w:rsidTr="005D182A">
        <w:trPr>
          <w:trHeight w:val="2024"/>
          <w:jc w:val="center"/>
        </w:trPr>
        <w:tc>
          <w:tcPr>
            <w:tcW w:w="141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B447A" w:rsidRPr="00124B49" w:rsidRDefault="00AB447A" w:rsidP="005D182A">
            <w:pPr>
              <w:jc w:val="left"/>
              <w:rPr>
                <w:rFonts w:ascii="Times New Roman" w:hAnsi="Times New Roman"/>
                <w:color w:val="000000"/>
                <w:szCs w:val="21"/>
              </w:rPr>
            </w:pPr>
            <w:r w:rsidRPr="00124B49">
              <w:rPr>
                <w:rFonts w:ascii="Times New Roman" w:hAnsi="Times New Roman"/>
                <w:color w:val="000000"/>
                <w:szCs w:val="21"/>
              </w:rPr>
              <w:t>Primary procedure codes</w:t>
            </w:r>
          </w:p>
        </w:tc>
        <w:tc>
          <w:tcPr>
            <w:tcW w:w="358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B447A" w:rsidRPr="00124B49" w:rsidRDefault="00AB447A" w:rsidP="005D182A">
            <w:pPr>
              <w:jc w:val="left"/>
              <w:rPr>
                <w:rFonts w:ascii="Times New Roman" w:hAnsi="Times New Roman"/>
                <w:color w:val="000000"/>
                <w:szCs w:val="21"/>
              </w:rPr>
            </w:pPr>
            <w:r w:rsidRPr="00124B49">
              <w:rPr>
                <w:rFonts w:ascii="Times New Roman" w:hAnsi="Times New Roman"/>
                <w:color w:val="000000"/>
                <w:szCs w:val="21"/>
              </w:rPr>
              <w:t xml:space="preserve">The procedure concepts coded with ICD-9-CM codes. The procedure is surgical in nature, or carries a procedural risk, carries an </w:t>
            </w:r>
            <w:proofErr w:type="spellStart"/>
            <w:r w:rsidRPr="00124B49">
              <w:rPr>
                <w:rFonts w:ascii="Times New Roman" w:hAnsi="Times New Roman"/>
                <w:color w:val="000000"/>
                <w:szCs w:val="21"/>
              </w:rPr>
              <w:t>anaesthetic</w:t>
            </w:r>
            <w:proofErr w:type="spellEnd"/>
            <w:r w:rsidRPr="00124B49">
              <w:rPr>
                <w:rFonts w:ascii="Times New Roman" w:hAnsi="Times New Roman"/>
                <w:color w:val="000000"/>
                <w:szCs w:val="21"/>
              </w:rPr>
              <w:t xml:space="preserve"> risk, requires specialized training, requires special facilities, or requires equipment only available in an acute care setting. The primary procedure mainly performed for treatment of the primary diagnosis, or related to the primary diagnosis.</w:t>
            </w:r>
          </w:p>
        </w:tc>
      </w:tr>
      <w:tr w:rsidR="00AB447A" w:rsidRPr="009E5DC2" w:rsidTr="005D182A">
        <w:trPr>
          <w:trHeight w:val="2024"/>
          <w:jc w:val="center"/>
        </w:trPr>
        <w:tc>
          <w:tcPr>
            <w:tcW w:w="141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B447A" w:rsidRPr="00124B49" w:rsidRDefault="00AB447A" w:rsidP="005D182A">
            <w:pPr>
              <w:jc w:val="left"/>
              <w:rPr>
                <w:rFonts w:ascii="Times New Roman" w:hAnsi="Times New Roman"/>
                <w:color w:val="000000"/>
                <w:szCs w:val="21"/>
              </w:rPr>
            </w:pPr>
            <w:r w:rsidRPr="00124B49">
              <w:rPr>
                <w:rFonts w:ascii="Times New Roman" w:hAnsi="Times New Roman"/>
                <w:color w:val="000000"/>
                <w:szCs w:val="21"/>
              </w:rPr>
              <w:t>Other procedure codes</w:t>
            </w:r>
          </w:p>
        </w:tc>
        <w:tc>
          <w:tcPr>
            <w:tcW w:w="358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B447A" w:rsidRPr="00124B49" w:rsidRDefault="00AB447A" w:rsidP="005D182A">
            <w:pPr>
              <w:jc w:val="left"/>
              <w:rPr>
                <w:rFonts w:ascii="Times New Roman" w:hAnsi="Times New Roman"/>
                <w:color w:val="000000"/>
                <w:szCs w:val="21"/>
              </w:rPr>
            </w:pPr>
            <w:r w:rsidRPr="00124B49">
              <w:rPr>
                <w:rFonts w:ascii="Times New Roman" w:hAnsi="Times New Roman"/>
                <w:color w:val="000000"/>
                <w:szCs w:val="21"/>
              </w:rPr>
              <w:t xml:space="preserve">The procedure concepts coded with ICD-9-CM codes. The procedure is surgical in nature, carries a procedural risk, carries an </w:t>
            </w:r>
            <w:proofErr w:type="spellStart"/>
            <w:r w:rsidRPr="00124B49">
              <w:rPr>
                <w:rFonts w:ascii="Times New Roman" w:hAnsi="Times New Roman"/>
                <w:color w:val="000000"/>
                <w:szCs w:val="21"/>
              </w:rPr>
              <w:t>anaesthetic</w:t>
            </w:r>
            <w:proofErr w:type="spellEnd"/>
            <w:r w:rsidRPr="00124B49">
              <w:rPr>
                <w:rFonts w:ascii="Times New Roman" w:hAnsi="Times New Roman"/>
                <w:color w:val="000000"/>
                <w:szCs w:val="21"/>
              </w:rPr>
              <w:t xml:space="preserve"> risk, requires specialized training, requires special facilities, or requires equipment only available in an acute care setting.</w:t>
            </w:r>
          </w:p>
        </w:tc>
      </w:tr>
    </w:tbl>
    <w:p w:rsidR="00AB447A" w:rsidRDefault="00AB447A" w:rsidP="00AB447A">
      <w:pPr>
        <w:jc w:val="center"/>
        <w:rPr>
          <w:rFonts w:ascii="Times New Roman" w:hAnsi="Times New Roman"/>
          <w:b/>
          <w:bCs/>
          <w:sz w:val="24"/>
          <w:szCs w:val="24"/>
        </w:rPr>
      </w:pPr>
    </w:p>
    <w:p w:rsidR="00AB447A" w:rsidRDefault="00AB447A" w:rsidP="00AB447A">
      <w:pPr>
        <w:jc w:val="center"/>
        <w:rPr>
          <w:rFonts w:ascii="Times New Roman" w:hAnsi="Times New Roman"/>
          <w:b/>
          <w:bCs/>
          <w:sz w:val="24"/>
          <w:szCs w:val="24"/>
        </w:rPr>
      </w:pPr>
    </w:p>
    <w:p w:rsidR="00AB447A" w:rsidRDefault="00AB447A" w:rsidP="00AB447A">
      <w:pPr>
        <w:jc w:val="center"/>
        <w:rPr>
          <w:rFonts w:ascii="Times New Roman" w:hAnsi="Times New Roman"/>
          <w:b/>
          <w:bCs/>
          <w:sz w:val="24"/>
          <w:szCs w:val="24"/>
        </w:rPr>
      </w:pPr>
    </w:p>
    <w:p w:rsidR="00AB447A" w:rsidRDefault="00AB447A" w:rsidP="00AB447A">
      <w:pPr>
        <w:jc w:val="center"/>
        <w:rPr>
          <w:rFonts w:ascii="Times New Roman" w:hAnsi="Times New Roman"/>
          <w:b/>
          <w:bCs/>
          <w:sz w:val="24"/>
          <w:szCs w:val="24"/>
        </w:rPr>
      </w:pPr>
    </w:p>
    <w:p w:rsidR="00AB447A" w:rsidRDefault="00AB447A" w:rsidP="00AB447A">
      <w:pPr>
        <w:jc w:val="center"/>
        <w:rPr>
          <w:rFonts w:ascii="Times New Roman" w:hAnsi="Times New Roman"/>
          <w:b/>
          <w:bCs/>
          <w:sz w:val="24"/>
          <w:szCs w:val="24"/>
        </w:rPr>
      </w:pPr>
    </w:p>
    <w:p w:rsidR="00AB447A" w:rsidRDefault="00AB447A" w:rsidP="00AB447A">
      <w:pPr>
        <w:jc w:val="center"/>
        <w:rPr>
          <w:rFonts w:ascii="Times New Roman" w:hAnsi="Times New Roman"/>
          <w:b/>
          <w:bCs/>
          <w:sz w:val="24"/>
          <w:szCs w:val="24"/>
        </w:rPr>
      </w:pPr>
    </w:p>
    <w:p w:rsidR="00AB447A" w:rsidRPr="00767D69" w:rsidRDefault="00AB447A" w:rsidP="00AB447A">
      <w:pPr>
        <w:jc w:val="center"/>
        <w:rPr>
          <w:rFonts w:ascii="Times New Roman" w:hAnsi="Times New Roman"/>
          <w:b/>
          <w:bCs/>
          <w:sz w:val="24"/>
          <w:szCs w:val="24"/>
        </w:rPr>
      </w:pPr>
      <w:r w:rsidRPr="00767D69">
        <w:rPr>
          <w:rFonts w:ascii="Times New Roman" w:hAnsi="Times New Roman"/>
          <w:b/>
          <w:bCs/>
          <w:sz w:val="24"/>
          <w:szCs w:val="24"/>
        </w:rPr>
        <w:t>Appendix B</w:t>
      </w:r>
      <w:bookmarkStart w:id="0" w:name="_Hlk69913060"/>
      <w:r w:rsidRPr="00767D69">
        <w:rPr>
          <w:rFonts w:ascii="Times New Roman" w:hAnsi="Times New Roman"/>
          <w:b/>
          <w:bCs/>
          <w:sz w:val="24"/>
          <w:szCs w:val="24"/>
        </w:rPr>
        <w:t>. The ICD code DQA detailed results</w:t>
      </w:r>
      <w:bookmarkEnd w:id="0"/>
      <w:r w:rsidR="00EE538D">
        <w:rPr>
          <w:rFonts w:ascii="Times New Roman" w:hAnsi="Times New Roman"/>
          <w:b/>
          <w:bCs/>
          <w:sz w:val="24"/>
          <w:szCs w:val="24"/>
        </w:rPr>
        <w:t xml:space="preserve"> for sampled charts</w:t>
      </w:r>
    </w:p>
    <w:tbl>
      <w:tblPr>
        <w:tblW w:w="11489" w:type="dxa"/>
        <w:jc w:val="center"/>
        <w:tblCellMar>
          <w:left w:w="0" w:type="dxa"/>
          <w:right w:w="0" w:type="dxa"/>
        </w:tblCellMar>
        <w:tblLook w:val="04A0" w:firstRow="1" w:lastRow="0" w:firstColumn="1" w:lastColumn="0" w:noHBand="0" w:noVBand="1"/>
      </w:tblPr>
      <w:tblGrid>
        <w:gridCol w:w="2645"/>
        <w:gridCol w:w="1000"/>
        <w:gridCol w:w="1301"/>
        <w:gridCol w:w="1495"/>
        <w:gridCol w:w="1081"/>
        <w:gridCol w:w="90"/>
        <w:gridCol w:w="1301"/>
        <w:gridCol w:w="1495"/>
        <w:gridCol w:w="1081"/>
      </w:tblGrid>
      <w:tr w:rsidR="00AB447A" w:rsidRPr="00767D69" w:rsidTr="005D182A">
        <w:trPr>
          <w:trHeight w:val="274"/>
          <w:jc w:val="center"/>
        </w:trPr>
        <w:tc>
          <w:tcPr>
            <w:tcW w:w="2645" w:type="dxa"/>
            <w:vMerge w:val="restart"/>
            <w:tcBorders>
              <w:top w:val="single" w:sz="8" w:space="0" w:color="auto"/>
              <w:left w:val="nil"/>
              <w:bottom w:val="single" w:sz="8" w:space="0" w:color="000000"/>
              <w:right w:val="nil"/>
            </w:tcBorders>
            <w:shd w:val="clear" w:color="auto" w:fill="auto"/>
            <w:tcMar>
              <w:top w:w="15" w:type="dxa"/>
              <w:left w:w="15" w:type="dxa"/>
              <w:bottom w:w="0" w:type="dxa"/>
              <w:right w:w="15" w:type="dxa"/>
            </w:tcMar>
            <w:vAlign w:val="center"/>
            <w:hideMark/>
          </w:tcPr>
          <w:p w:rsidR="00AB447A" w:rsidRPr="00124B49" w:rsidRDefault="00AB447A" w:rsidP="005D182A">
            <w:pPr>
              <w:jc w:val="center"/>
              <w:rPr>
                <w:rFonts w:ascii="Times New Roman" w:eastAsia="等线" w:hAnsi="Times New Roman"/>
                <w:b/>
                <w:bCs/>
                <w:color w:val="000000"/>
                <w:szCs w:val="21"/>
              </w:rPr>
            </w:pPr>
            <w:bookmarkStart w:id="1" w:name="RANGE!A1"/>
            <w:r w:rsidRPr="00124B49">
              <w:rPr>
                <w:rFonts w:ascii="Times New Roman" w:eastAsia="等线" w:hAnsi="Times New Roman"/>
                <w:b/>
                <w:bCs/>
                <w:color w:val="000000"/>
                <w:szCs w:val="21"/>
              </w:rPr>
              <w:t>Department</w:t>
            </w:r>
            <w:bookmarkEnd w:id="1"/>
          </w:p>
        </w:tc>
        <w:tc>
          <w:tcPr>
            <w:tcW w:w="1000" w:type="dxa"/>
            <w:vMerge w:val="restart"/>
            <w:tcBorders>
              <w:top w:val="single" w:sz="8" w:space="0" w:color="auto"/>
              <w:left w:val="nil"/>
              <w:bottom w:val="single" w:sz="8" w:space="0" w:color="000000"/>
              <w:right w:val="nil"/>
            </w:tcBorders>
            <w:shd w:val="clear" w:color="auto" w:fill="auto"/>
            <w:tcMar>
              <w:top w:w="15" w:type="dxa"/>
              <w:left w:w="15" w:type="dxa"/>
              <w:bottom w:w="0" w:type="dxa"/>
              <w:right w:w="15" w:type="dxa"/>
            </w:tcMar>
            <w:vAlign w:val="center"/>
            <w:hideMark/>
          </w:tcPr>
          <w:p w:rsidR="00AB447A" w:rsidRPr="00124B49" w:rsidRDefault="00AB447A" w:rsidP="005D182A">
            <w:pPr>
              <w:jc w:val="center"/>
              <w:rPr>
                <w:rFonts w:ascii="Times New Roman" w:eastAsia="等线" w:hAnsi="Times New Roman"/>
                <w:b/>
                <w:bCs/>
                <w:color w:val="000000"/>
                <w:szCs w:val="21"/>
              </w:rPr>
            </w:pPr>
            <w:r w:rsidRPr="00124B49">
              <w:rPr>
                <w:rFonts w:ascii="Times New Roman" w:eastAsia="等线" w:hAnsi="Times New Roman"/>
                <w:b/>
                <w:bCs/>
                <w:color w:val="000000"/>
                <w:szCs w:val="21"/>
              </w:rPr>
              <w:t>Number of codes</w:t>
            </w:r>
          </w:p>
        </w:tc>
        <w:tc>
          <w:tcPr>
            <w:tcW w:w="3877" w:type="dxa"/>
            <w:gridSpan w:val="3"/>
            <w:tcBorders>
              <w:top w:val="single" w:sz="8" w:space="0" w:color="auto"/>
              <w:left w:val="nil"/>
              <w:bottom w:val="nil"/>
              <w:right w:val="nil"/>
            </w:tcBorders>
            <w:shd w:val="clear" w:color="auto" w:fill="auto"/>
            <w:tcMar>
              <w:top w:w="15" w:type="dxa"/>
              <w:left w:w="15" w:type="dxa"/>
              <w:bottom w:w="0" w:type="dxa"/>
              <w:right w:w="15" w:type="dxa"/>
            </w:tcMar>
            <w:vAlign w:val="center"/>
            <w:hideMark/>
          </w:tcPr>
          <w:p w:rsidR="00AB447A" w:rsidRPr="00124B49" w:rsidRDefault="00AB447A" w:rsidP="005D182A">
            <w:pPr>
              <w:jc w:val="center"/>
              <w:rPr>
                <w:rFonts w:ascii="Times New Roman" w:eastAsia="等线" w:hAnsi="Times New Roman"/>
                <w:b/>
                <w:bCs/>
                <w:color w:val="000000"/>
                <w:szCs w:val="21"/>
              </w:rPr>
            </w:pPr>
            <w:r w:rsidRPr="00124B49">
              <w:rPr>
                <w:rFonts w:ascii="Times New Roman" w:eastAsia="等线" w:hAnsi="Times New Roman"/>
                <w:b/>
                <w:bCs/>
                <w:color w:val="000000"/>
                <w:szCs w:val="21"/>
              </w:rPr>
              <w:t>DQA of physician</w:t>
            </w:r>
          </w:p>
        </w:tc>
        <w:tc>
          <w:tcPr>
            <w:tcW w:w="90" w:type="dxa"/>
            <w:vMerge w:val="restart"/>
            <w:tcBorders>
              <w:top w:val="single" w:sz="8" w:space="0" w:color="auto"/>
              <w:left w:val="nil"/>
              <w:bottom w:val="single" w:sz="8" w:space="0" w:color="000000"/>
              <w:right w:val="nil"/>
            </w:tcBorders>
            <w:shd w:val="clear" w:color="auto" w:fill="auto"/>
            <w:tcMar>
              <w:top w:w="15" w:type="dxa"/>
              <w:left w:w="15" w:type="dxa"/>
              <w:bottom w:w="0" w:type="dxa"/>
              <w:right w:w="15" w:type="dxa"/>
            </w:tcMar>
            <w:vAlign w:val="center"/>
            <w:hideMark/>
          </w:tcPr>
          <w:p w:rsidR="00AB447A" w:rsidRPr="00124B49" w:rsidRDefault="00AB447A" w:rsidP="005D182A">
            <w:pPr>
              <w:jc w:val="center"/>
              <w:rPr>
                <w:rFonts w:ascii="Times New Roman" w:eastAsia="等线" w:hAnsi="Times New Roman"/>
                <w:b/>
                <w:bCs/>
                <w:color w:val="000000"/>
                <w:szCs w:val="21"/>
              </w:rPr>
            </w:pPr>
          </w:p>
        </w:tc>
        <w:tc>
          <w:tcPr>
            <w:tcW w:w="3877" w:type="dxa"/>
            <w:gridSpan w:val="3"/>
            <w:tcBorders>
              <w:top w:val="single" w:sz="8" w:space="0" w:color="auto"/>
              <w:left w:val="nil"/>
              <w:bottom w:val="nil"/>
              <w:right w:val="nil"/>
            </w:tcBorders>
            <w:shd w:val="clear" w:color="auto" w:fill="auto"/>
            <w:tcMar>
              <w:top w:w="15" w:type="dxa"/>
              <w:left w:w="15" w:type="dxa"/>
              <w:bottom w:w="0" w:type="dxa"/>
              <w:right w:w="15" w:type="dxa"/>
            </w:tcMar>
            <w:vAlign w:val="center"/>
            <w:hideMark/>
          </w:tcPr>
          <w:p w:rsidR="00AB447A" w:rsidRPr="00124B49" w:rsidRDefault="00AB447A" w:rsidP="005D182A">
            <w:pPr>
              <w:jc w:val="center"/>
              <w:rPr>
                <w:rFonts w:ascii="Times New Roman" w:eastAsia="等线" w:hAnsi="Times New Roman"/>
                <w:b/>
                <w:bCs/>
                <w:color w:val="000000"/>
                <w:szCs w:val="21"/>
              </w:rPr>
            </w:pPr>
            <w:r w:rsidRPr="00124B49">
              <w:rPr>
                <w:rFonts w:ascii="Times New Roman" w:eastAsia="等线" w:hAnsi="Times New Roman"/>
                <w:b/>
                <w:bCs/>
                <w:color w:val="000000"/>
                <w:szCs w:val="21"/>
              </w:rPr>
              <w:t>DQA of coder</w:t>
            </w:r>
          </w:p>
        </w:tc>
      </w:tr>
      <w:tr w:rsidR="00AB447A" w:rsidRPr="00767D69" w:rsidTr="005D182A">
        <w:trPr>
          <w:trHeight w:val="274"/>
          <w:jc w:val="center"/>
        </w:trPr>
        <w:tc>
          <w:tcPr>
            <w:tcW w:w="2645" w:type="dxa"/>
            <w:vMerge/>
            <w:tcBorders>
              <w:top w:val="single" w:sz="8" w:space="0" w:color="auto"/>
              <w:left w:val="nil"/>
              <w:bottom w:val="single" w:sz="8" w:space="0" w:color="000000"/>
              <w:right w:val="nil"/>
            </w:tcBorders>
            <w:vAlign w:val="center"/>
            <w:hideMark/>
          </w:tcPr>
          <w:p w:rsidR="00AB447A" w:rsidRPr="00124B49" w:rsidRDefault="00AB447A" w:rsidP="005D182A">
            <w:pPr>
              <w:jc w:val="center"/>
              <w:rPr>
                <w:rFonts w:ascii="Times New Roman" w:eastAsia="等线" w:hAnsi="Times New Roman"/>
                <w:b/>
                <w:bCs/>
                <w:color w:val="000000"/>
                <w:szCs w:val="21"/>
              </w:rPr>
            </w:pPr>
          </w:p>
        </w:tc>
        <w:tc>
          <w:tcPr>
            <w:tcW w:w="0" w:type="auto"/>
            <w:vMerge/>
            <w:tcBorders>
              <w:top w:val="single" w:sz="8" w:space="0" w:color="auto"/>
              <w:left w:val="nil"/>
              <w:bottom w:val="single" w:sz="8" w:space="0" w:color="000000"/>
              <w:right w:val="nil"/>
            </w:tcBorders>
            <w:vAlign w:val="center"/>
            <w:hideMark/>
          </w:tcPr>
          <w:p w:rsidR="00AB447A" w:rsidRPr="00124B49" w:rsidRDefault="00AB447A" w:rsidP="005D182A">
            <w:pPr>
              <w:jc w:val="center"/>
              <w:rPr>
                <w:rFonts w:ascii="Times New Roman" w:eastAsia="等线" w:hAnsi="Times New Roman"/>
                <w:b/>
                <w:bCs/>
                <w:color w:val="000000"/>
                <w:szCs w:val="21"/>
              </w:rPr>
            </w:pPr>
          </w:p>
        </w:tc>
        <w:tc>
          <w:tcPr>
            <w:tcW w:w="3877" w:type="dxa"/>
            <w:gridSpan w:val="3"/>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AB447A" w:rsidRPr="00124B49" w:rsidRDefault="00AB447A" w:rsidP="005D182A">
            <w:pPr>
              <w:jc w:val="center"/>
              <w:rPr>
                <w:rFonts w:ascii="Times New Roman" w:eastAsia="等线" w:hAnsi="Times New Roman"/>
                <w:b/>
                <w:bCs/>
                <w:color w:val="000000"/>
                <w:szCs w:val="21"/>
              </w:rPr>
            </w:pPr>
            <w:r w:rsidRPr="00124B49">
              <w:rPr>
                <w:rFonts w:ascii="Times New Roman" w:eastAsia="等线" w:hAnsi="Times New Roman"/>
                <w:b/>
                <w:bCs/>
                <w:color w:val="000000"/>
                <w:szCs w:val="21"/>
              </w:rPr>
              <w:t>(Percentage)</w:t>
            </w:r>
          </w:p>
        </w:tc>
        <w:tc>
          <w:tcPr>
            <w:tcW w:w="0" w:type="auto"/>
            <w:vMerge/>
            <w:tcBorders>
              <w:top w:val="single" w:sz="8" w:space="0" w:color="auto"/>
              <w:left w:val="nil"/>
              <w:bottom w:val="single" w:sz="8" w:space="0" w:color="000000"/>
              <w:right w:val="nil"/>
            </w:tcBorders>
            <w:vAlign w:val="center"/>
            <w:hideMark/>
          </w:tcPr>
          <w:p w:rsidR="00AB447A" w:rsidRPr="00124B49" w:rsidRDefault="00AB447A" w:rsidP="005D182A">
            <w:pPr>
              <w:jc w:val="center"/>
              <w:rPr>
                <w:rFonts w:ascii="Times New Roman" w:eastAsia="等线" w:hAnsi="Times New Roman"/>
                <w:b/>
                <w:bCs/>
                <w:color w:val="000000"/>
                <w:szCs w:val="21"/>
              </w:rPr>
            </w:pPr>
          </w:p>
        </w:tc>
        <w:tc>
          <w:tcPr>
            <w:tcW w:w="3877" w:type="dxa"/>
            <w:gridSpan w:val="3"/>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AB447A" w:rsidRPr="00124B49" w:rsidRDefault="00AB447A" w:rsidP="005D182A">
            <w:pPr>
              <w:jc w:val="center"/>
              <w:rPr>
                <w:rFonts w:ascii="Times New Roman" w:eastAsia="等线" w:hAnsi="Times New Roman"/>
                <w:b/>
                <w:bCs/>
                <w:color w:val="000000"/>
                <w:szCs w:val="21"/>
              </w:rPr>
            </w:pPr>
            <w:r w:rsidRPr="00124B49">
              <w:rPr>
                <w:rFonts w:ascii="Times New Roman" w:eastAsia="等线" w:hAnsi="Times New Roman"/>
                <w:b/>
                <w:bCs/>
                <w:color w:val="000000"/>
                <w:szCs w:val="21"/>
              </w:rPr>
              <w:t>(Percentage)</w:t>
            </w:r>
          </w:p>
        </w:tc>
      </w:tr>
      <w:tr w:rsidR="00AB447A" w:rsidRPr="00767D69" w:rsidTr="00AB447A">
        <w:trPr>
          <w:trHeight w:val="274"/>
          <w:jc w:val="center"/>
        </w:trPr>
        <w:tc>
          <w:tcPr>
            <w:tcW w:w="2645" w:type="dxa"/>
            <w:vMerge/>
            <w:tcBorders>
              <w:top w:val="single" w:sz="8" w:space="0" w:color="auto"/>
              <w:left w:val="nil"/>
              <w:bottom w:val="single" w:sz="8" w:space="0" w:color="000000"/>
              <w:right w:val="nil"/>
            </w:tcBorders>
            <w:vAlign w:val="center"/>
            <w:hideMark/>
          </w:tcPr>
          <w:p w:rsidR="00AB447A" w:rsidRPr="00124B49" w:rsidRDefault="00AB447A" w:rsidP="005D182A">
            <w:pPr>
              <w:jc w:val="center"/>
              <w:rPr>
                <w:rFonts w:ascii="Times New Roman" w:eastAsia="等线" w:hAnsi="Times New Roman"/>
                <w:b/>
                <w:bCs/>
                <w:color w:val="000000"/>
                <w:szCs w:val="21"/>
              </w:rPr>
            </w:pPr>
          </w:p>
        </w:tc>
        <w:tc>
          <w:tcPr>
            <w:tcW w:w="0" w:type="auto"/>
            <w:vMerge/>
            <w:tcBorders>
              <w:top w:val="single" w:sz="8" w:space="0" w:color="auto"/>
              <w:left w:val="nil"/>
              <w:bottom w:val="single" w:sz="8" w:space="0" w:color="000000"/>
              <w:right w:val="nil"/>
            </w:tcBorders>
            <w:vAlign w:val="center"/>
            <w:hideMark/>
          </w:tcPr>
          <w:p w:rsidR="00AB447A" w:rsidRPr="00124B49" w:rsidRDefault="00AB447A" w:rsidP="005D182A">
            <w:pPr>
              <w:jc w:val="center"/>
              <w:rPr>
                <w:rFonts w:ascii="Times New Roman" w:eastAsia="等线" w:hAnsi="Times New Roman"/>
                <w:b/>
                <w:bCs/>
                <w:color w:val="000000"/>
                <w:szCs w:val="21"/>
              </w:rPr>
            </w:pPr>
          </w:p>
        </w:tc>
        <w:tc>
          <w:tcPr>
            <w:tcW w:w="1301"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AB447A" w:rsidRPr="00124B49" w:rsidRDefault="00AB447A" w:rsidP="005D182A">
            <w:pPr>
              <w:jc w:val="center"/>
              <w:rPr>
                <w:rFonts w:ascii="Times New Roman" w:eastAsia="等线" w:hAnsi="Times New Roman"/>
                <w:b/>
                <w:bCs/>
                <w:color w:val="000000"/>
                <w:szCs w:val="21"/>
              </w:rPr>
            </w:pPr>
            <w:r w:rsidRPr="00124B49">
              <w:rPr>
                <w:rFonts w:ascii="Times New Roman" w:eastAsia="等线" w:hAnsi="Times New Roman"/>
                <w:b/>
                <w:bCs/>
                <w:color w:val="000000"/>
                <w:szCs w:val="21"/>
              </w:rPr>
              <w:t>Consistency</w:t>
            </w:r>
          </w:p>
        </w:tc>
        <w:tc>
          <w:tcPr>
            <w:tcW w:w="1495"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AB447A" w:rsidRPr="00124B49" w:rsidRDefault="00AB447A" w:rsidP="005D182A">
            <w:pPr>
              <w:jc w:val="center"/>
              <w:rPr>
                <w:rFonts w:ascii="Times New Roman" w:eastAsia="等线" w:hAnsi="Times New Roman"/>
                <w:b/>
                <w:bCs/>
                <w:color w:val="000000"/>
                <w:szCs w:val="21"/>
              </w:rPr>
            </w:pPr>
            <w:r w:rsidRPr="00124B49">
              <w:rPr>
                <w:rFonts w:ascii="Times New Roman" w:eastAsia="等线" w:hAnsi="Times New Roman"/>
                <w:b/>
                <w:bCs/>
                <w:color w:val="000000"/>
                <w:szCs w:val="21"/>
              </w:rPr>
              <w:t>Completeness</w:t>
            </w:r>
          </w:p>
        </w:tc>
        <w:tc>
          <w:tcPr>
            <w:tcW w:w="1081"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AB447A" w:rsidRPr="00124B49" w:rsidRDefault="00AB447A" w:rsidP="005D182A">
            <w:pPr>
              <w:jc w:val="center"/>
              <w:rPr>
                <w:rFonts w:ascii="Times New Roman" w:eastAsia="等线" w:hAnsi="Times New Roman"/>
                <w:b/>
                <w:bCs/>
                <w:color w:val="000000"/>
                <w:szCs w:val="21"/>
              </w:rPr>
            </w:pPr>
            <w:r w:rsidRPr="00124B49">
              <w:rPr>
                <w:rFonts w:ascii="Times New Roman" w:eastAsia="等线" w:hAnsi="Times New Roman"/>
                <w:b/>
                <w:bCs/>
                <w:color w:val="000000"/>
                <w:szCs w:val="21"/>
              </w:rPr>
              <w:t>Currency</w:t>
            </w:r>
          </w:p>
        </w:tc>
        <w:tc>
          <w:tcPr>
            <w:tcW w:w="90"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AB447A" w:rsidRPr="00124B49" w:rsidRDefault="00AB447A" w:rsidP="005D182A">
            <w:pPr>
              <w:jc w:val="center"/>
              <w:rPr>
                <w:rFonts w:ascii="Times New Roman" w:eastAsia="等线" w:hAnsi="Times New Roman"/>
                <w:b/>
                <w:bCs/>
                <w:color w:val="000000"/>
                <w:szCs w:val="21"/>
              </w:rPr>
            </w:pPr>
          </w:p>
        </w:tc>
        <w:tc>
          <w:tcPr>
            <w:tcW w:w="1301"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AB447A" w:rsidRPr="00124B49" w:rsidRDefault="00AB447A" w:rsidP="005D182A">
            <w:pPr>
              <w:jc w:val="center"/>
              <w:rPr>
                <w:rFonts w:ascii="Times New Roman" w:eastAsia="等线" w:hAnsi="Times New Roman"/>
                <w:b/>
                <w:bCs/>
                <w:color w:val="000000"/>
                <w:szCs w:val="21"/>
              </w:rPr>
            </w:pPr>
            <w:r w:rsidRPr="00124B49">
              <w:rPr>
                <w:rFonts w:ascii="Times New Roman" w:eastAsia="等线" w:hAnsi="Times New Roman"/>
                <w:b/>
                <w:bCs/>
                <w:color w:val="000000"/>
                <w:szCs w:val="21"/>
              </w:rPr>
              <w:t>Consistency</w:t>
            </w:r>
          </w:p>
        </w:tc>
        <w:tc>
          <w:tcPr>
            <w:tcW w:w="1495"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AB447A" w:rsidRPr="00124B49" w:rsidRDefault="00AB447A" w:rsidP="005D182A">
            <w:pPr>
              <w:jc w:val="center"/>
              <w:rPr>
                <w:rFonts w:ascii="Times New Roman" w:eastAsia="等线" w:hAnsi="Times New Roman"/>
                <w:b/>
                <w:bCs/>
                <w:color w:val="000000"/>
                <w:szCs w:val="21"/>
              </w:rPr>
            </w:pPr>
            <w:r w:rsidRPr="00124B49">
              <w:rPr>
                <w:rFonts w:ascii="Times New Roman" w:eastAsia="等线" w:hAnsi="Times New Roman"/>
                <w:b/>
                <w:bCs/>
                <w:color w:val="000000"/>
                <w:szCs w:val="21"/>
              </w:rPr>
              <w:t>Completeness</w:t>
            </w:r>
          </w:p>
        </w:tc>
        <w:tc>
          <w:tcPr>
            <w:tcW w:w="1081"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AB447A" w:rsidRPr="00124B49" w:rsidRDefault="00AB447A" w:rsidP="005D182A">
            <w:pPr>
              <w:jc w:val="center"/>
              <w:rPr>
                <w:rFonts w:ascii="Times New Roman" w:eastAsia="等线" w:hAnsi="Times New Roman"/>
                <w:b/>
                <w:bCs/>
                <w:color w:val="000000"/>
                <w:szCs w:val="21"/>
              </w:rPr>
            </w:pPr>
            <w:r w:rsidRPr="00124B49">
              <w:rPr>
                <w:rFonts w:ascii="Times New Roman" w:eastAsia="等线" w:hAnsi="Times New Roman"/>
                <w:b/>
                <w:bCs/>
                <w:color w:val="000000"/>
                <w:szCs w:val="21"/>
              </w:rPr>
              <w:t>Currency</w:t>
            </w:r>
          </w:p>
        </w:tc>
      </w:tr>
      <w:tr w:rsidR="00AB447A" w:rsidRPr="00767D69" w:rsidTr="00AB447A">
        <w:trPr>
          <w:trHeight w:val="274"/>
          <w:jc w:val="center"/>
        </w:trPr>
        <w:tc>
          <w:tcPr>
            <w:tcW w:w="264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Obstetrics</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Times New Roman" w:hAnsi="Times New Roman"/>
                <w:szCs w:val="21"/>
              </w:rPr>
            </w:pP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Times New Roman" w:hAnsi="Times New Roman"/>
                <w:szCs w:val="21"/>
              </w:rPr>
            </w:pP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Times New Roman" w:hAnsi="Times New Roman"/>
                <w:szCs w:val="21"/>
              </w:rPr>
            </w:pPr>
          </w:p>
        </w:tc>
        <w:tc>
          <w:tcPr>
            <w:tcW w:w="9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Times New Roman" w:hAnsi="Times New Roman"/>
                <w:szCs w:val="21"/>
              </w:rPr>
            </w:pP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Times New Roman" w:hAnsi="Times New Roman"/>
                <w:szCs w:val="21"/>
              </w:rPr>
            </w:pP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Times New Roman" w:hAnsi="Times New Roman"/>
                <w:szCs w:val="21"/>
              </w:rPr>
            </w:pP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Times New Roman" w:hAnsi="Times New Roman"/>
                <w:szCs w:val="21"/>
              </w:rPr>
            </w:pPr>
          </w:p>
        </w:tc>
      </w:tr>
      <w:tr w:rsidR="00AB447A" w:rsidRPr="00767D69" w:rsidTr="00AB447A">
        <w:trPr>
          <w:trHeight w:val="274"/>
          <w:jc w:val="center"/>
        </w:trPr>
        <w:tc>
          <w:tcPr>
            <w:tcW w:w="264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primary diagnosis codes</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94</w:t>
            </w: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61.70%</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2.13%</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c>
          <w:tcPr>
            <w:tcW w:w="9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15.96%</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r>
      <w:tr w:rsidR="00AB447A" w:rsidRPr="00767D69" w:rsidTr="00AB447A">
        <w:trPr>
          <w:trHeight w:val="274"/>
          <w:jc w:val="center"/>
        </w:trPr>
        <w:tc>
          <w:tcPr>
            <w:tcW w:w="264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other diagnosis codes</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386</w:t>
            </w: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26.17%</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22.54%</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2.07%</w:t>
            </w:r>
          </w:p>
        </w:tc>
        <w:tc>
          <w:tcPr>
            <w:tcW w:w="9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4.15%</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10.62%</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r>
      <w:tr w:rsidR="00AB447A" w:rsidRPr="00767D69" w:rsidTr="00AB447A">
        <w:trPr>
          <w:trHeight w:val="274"/>
          <w:jc w:val="center"/>
        </w:trPr>
        <w:tc>
          <w:tcPr>
            <w:tcW w:w="264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primary procedure codes</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70</w:t>
            </w: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98.57%</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c>
          <w:tcPr>
            <w:tcW w:w="9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5.71%</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r>
      <w:tr w:rsidR="00AB447A" w:rsidRPr="00767D69" w:rsidTr="00AB447A">
        <w:trPr>
          <w:trHeight w:val="274"/>
          <w:jc w:val="center"/>
        </w:trPr>
        <w:tc>
          <w:tcPr>
            <w:tcW w:w="264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Other procedure codes</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69</w:t>
            </w: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97.10%</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c>
          <w:tcPr>
            <w:tcW w:w="9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5.80%</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20.29%</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r>
      <w:tr w:rsidR="00AB447A" w:rsidRPr="00767D69" w:rsidTr="00AB447A">
        <w:trPr>
          <w:trHeight w:val="274"/>
          <w:jc w:val="center"/>
        </w:trPr>
        <w:tc>
          <w:tcPr>
            <w:tcW w:w="264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total</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619</w:t>
            </w: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25.69%</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36.35%</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1.29%</w:t>
            </w:r>
          </w:p>
        </w:tc>
        <w:tc>
          <w:tcPr>
            <w:tcW w:w="9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6.30%</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8.89%</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r>
      <w:tr w:rsidR="00AB447A" w:rsidRPr="00767D69" w:rsidTr="00AB447A">
        <w:trPr>
          <w:trHeight w:val="274"/>
          <w:jc w:val="center"/>
        </w:trPr>
        <w:tc>
          <w:tcPr>
            <w:tcW w:w="264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proofErr w:type="spellStart"/>
            <w:r w:rsidRPr="00767D69">
              <w:rPr>
                <w:rFonts w:ascii="Times New Roman" w:eastAsia="等线" w:hAnsi="Times New Roman"/>
                <w:color w:val="000000"/>
                <w:szCs w:val="21"/>
              </w:rPr>
              <w:t>Paediatrics</w:t>
            </w:r>
            <w:proofErr w:type="spellEnd"/>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Times New Roman" w:hAnsi="Times New Roman"/>
                <w:szCs w:val="21"/>
              </w:rPr>
            </w:pP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Times New Roman" w:hAnsi="Times New Roman"/>
                <w:szCs w:val="21"/>
              </w:rPr>
            </w:pP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Times New Roman" w:hAnsi="Times New Roman"/>
                <w:szCs w:val="21"/>
              </w:rPr>
            </w:pPr>
          </w:p>
        </w:tc>
        <w:tc>
          <w:tcPr>
            <w:tcW w:w="9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Times New Roman" w:hAnsi="Times New Roman"/>
                <w:szCs w:val="21"/>
              </w:rPr>
            </w:pP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Times New Roman" w:hAnsi="Times New Roman"/>
                <w:szCs w:val="21"/>
              </w:rPr>
            </w:pP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Times New Roman" w:hAnsi="Times New Roman"/>
                <w:szCs w:val="21"/>
              </w:rPr>
            </w:pP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Times New Roman" w:hAnsi="Times New Roman"/>
                <w:szCs w:val="21"/>
              </w:rPr>
            </w:pPr>
          </w:p>
        </w:tc>
      </w:tr>
      <w:tr w:rsidR="00AB447A" w:rsidRPr="00767D69" w:rsidTr="00AB447A">
        <w:trPr>
          <w:trHeight w:val="274"/>
          <w:jc w:val="center"/>
        </w:trPr>
        <w:tc>
          <w:tcPr>
            <w:tcW w:w="264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primary diagnosis codes</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80</w:t>
            </w: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26.25%</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6.25%</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c>
          <w:tcPr>
            <w:tcW w:w="9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15.00%</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6.25%</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r>
      <w:tr w:rsidR="00AB447A" w:rsidRPr="00767D69" w:rsidTr="00AB447A">
        <w:trPr>
          <w:trHeight w:val="274"/>
          <w:jc w:val="center"/>
        </w:trPr>
        <w:tc>
          <w:tcPr>
            <w:tcW w:w="264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other diagnosis codes</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155</w:t>
            </w: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17.42%</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18.06%</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c>
          <w:tcPr>
            <w:tcW w:w="9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8.39%</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12.90%</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r>
      <w:tr w:rsidR="00AB447A" w:rsidRPr="00767D69" w:rsidTr="00AB447A">
        <w:trPr>
          <w:trHeight w:val="274"/>
          <w:jc w:val="center"/>
        </w:trPr>
        <w:tc>
          <w:tcPr>
            <w:tcW w:w="264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primary procedure codes</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15</w:t>
            </w: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93.33%</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c>
          <w:tcPr>
            <w:tcW w:w="9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26.67%</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r>
      <w:tr w:rsidR="00AB447A" w:rsidRPr="00767D69" w:rsidTr="00AB447A">
        <w:trPr>
          <w:trHeight w:val="274"/>
          <w:jc w:val="center"/>
        </w:trPr>
        <w:tc>
          <w:tcPr>
            <w:tcW w:w="264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Other procedure codes</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11</w:t>
            </w: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100.00%</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c>
          <w:tcPr>
            <w:tcW w:w="9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36.36%</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r>
      <w:tr w:rsidR="00AB447A" w:rsidRPr="00767D69" w:rsidTr="00AB447A">
        <w:trPr>
          <w:trHeight w:val="274"/>
          <w:jc w:val="center"/>
        </w:trPr>
        <w:tc>
          <w:tcPr>
            <w:tcW w:w="264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total</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261</w:t>
            </w: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18.39%</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22.22%</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c>
          <w:tcPr>
            <w:tcW w:w="9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9.58%</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12.64%</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r>
      <w:tr w:rsidR="00AB447A" w:rsidRPr="00767D69" w:rsidTr="00AB447A">
        <w:trPr>
          <w:trHeight w:val="274"/>
          <w:jc w:val="center"/>
        </w:trPr>
        <w:tc>
          <w:tcPr>
            <w:tcW w:w="264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proofErr w:type="spellStart"/>
            <w:r w:rsidRPr="00767D69">
              <w:rPr>
                <w:rFonts w:ascii="Times New Roman" w:eastAsia="等线" w:hAnsi="Times New Roman"/>
                <w:color w:val="000000"/>
                <w:szCs w:val="21"/>
              </w:rPr>
              <w:t>Gynaecology</w:t>
            </w:r>
            <w:proofErr w:type="spellEnd"/>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Times New Roman" w:hAnsi="Times New Roman"/>
                <w:szCs w:val="21"/>
              </w:rPr>
            </w:pP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Times New Roman" w:hAnsi="Times New Roman"/>
                <w:szCs w:val="21"/>
              </w:rPr>
            </w:pP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Times New Roman" w:hAnsi="Times New Roman"/>
                <w:szCs w:val="21"/>
              </w:rPr>
            </w:pPr>
          </w:p>
        </w:tc>
        <w:tc>
          <w:tcPr>
            <w:tcW w:w="9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Times New Roman" w:hAnsi="Times New Roman"/>
                <w:szCs w:val="21"/>
              </w:rPr>
            </w:pP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Times New Roman" w:hAnsi="Times New Roman"/>
                <w:szCs w:val="21"/>
              </w:rPr>
            </w:pP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Times New Roman" w:hAnsi="Times New Roman"/>
                <w:szCs w:val="21"/>
              </w:rPr>
            </w:pP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Times New Roman" w:hAnsi="Times New Roman"/>
                <w:szCs w:val="21"/>
              </w:rPr>
            </w:pPr>
          </w:p>
        </w:tc>
      </w:tr>
      <w:tr w:rsidR="00AB447A" w:rsidRPr="00767D69" w:rsidTr="00AB447A">
        <w:trPr>
          <w:trHeight w:val="274"/>
          <w:jc w:val="center"/>
        </w:trPr>
        <w:tc>
          <w:tcPr>
            <w:tcW w:w="264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primary diagnosis codes</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88</w:t>
            </w: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27.27%</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2.27%</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1.14%</w:t>
            </w:r>
          </w:p>
        </w:tc>
        <w:tc>
          <w:tcPr>
            <w:tcW w:w="9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15.91%</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1.14%</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r>
      <w:tr w:rsidR="00AB447A" w:rsidRPr="00767D69" w:rsidTr="00AB447A">
        <w:trPr>
          <w:trHeight w:val="274"/>
          <w:jc w:val="center"/>
        </w:trPr>
        <w:tc>
          <w:tcPr>
            <w:tcW w:w="264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other diagnosis codes</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212</w:t>
            </w: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27.36%</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15.09%</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0.47%</w:t>
            </w:r>
          </w:p>
        </w:tc>
        <w:tc>
          <w:tcPr>
            <w:tcW w:w="9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8.96%</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8.02%</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r>
      <w:tr w:rsidR="00AB447A" w:rsidRPr="00767D69" w:rsidTr="00AB447A">
        <w:trPr>
          <w:trHeight w:val="274"/>
          <w:jc w:val="center"/>
        </w:trPr>
        <w:tc>
          <w:tcPr>
            <w:tcW w:w="264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primary procedure codes</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74</w:t>
            </w: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2.70%</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95.95%</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c>
          <w:tcPr>
            <w:tcW w:w="9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5.41%</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r>
      <w:tr w:rsidR="00AB447A" w:rsidRPr="00767D69" w:rsidTr="00AB447A">
        <w:trPr>
          <w:trHeight w:val="274"/>
          <w:jc w:val="center"/>
        </w:trPr>
        <w:tc>
          <w:tcPr>
            <w:tcW w:w="264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Other procedure codes</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163</w:t>
            </w: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4.91%</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92.64%</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c>
          <w:tcPr>
            <w:tcW w:w="9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2.45%</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4.29%</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r>
      <w:tr w:rsidR="00AB447A" w:rsidRPr="00767D69" w:rsidTr="00AB447A">
        <w:trPr>
          <w:trHeight w:val="274"/>
          <w:jc w:val="center"/>
        </w:trPr>
        <w:tc>
          <w:tcPr>
            <w:tcW w:w="264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total</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537</w:t>
            </w: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17.13%</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47.67%</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0.37%</w:t>
            </w:r>
          </w:p>
        </w:tc>
        <w:tc>
          <w:tcPr>
            <w:tcW w:w="9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7.64%</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4.66%</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r>
      <w:tr w:rsidR="00AB447A" w:rsidRPr="00767D69" w:rsidTr="00AB447A">
        <w:trPr>
          <w:trHeight w:val="274"/>
          <w:jc w:val="center"/>
        </w:trPr>
        <w:tc>
          <w:tcPr>
            <w:tcW w:w="264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 xml:space="preserve">Neonatal </w:t>
            </w:r>
            <w:proofErr w:type="spellStart"/>
            <w:r w:rsidRPr="00767D69">
              <w:rPr>
                <w:rFonts w:ascii="Times New Roman" w:eastAsia="等线" w:hAnsi="Times New Roman"/>
                <w:color w:val="000000"/>
                <w:szCs w:val="21"/>
              </w:rPr>
              <w:t>Paediatrics</w:t>
            </w:r>
            <w:proofErr w:type="spellEnd"/>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Times New Roman" w:hAnsi="Times New Roman"/>
                <w:szCs w:val="21"/>
              </w:rPr>
            </w:pP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Times New Roman" w:hAnsi="Times New Roman"/>
                <w:szCs w:val="21"/>
              </w:rPr>
            </w:pP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Times New Roman" w:hAnsi="Times New Roman"/>
                <w:szCs w:val="21"/>
              </w:rPr>
            </w:pPr>
          </w:p>
        </w:tc>
        <w:tc>
          <w:tcPr>
            <w:tcW w:w="9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Times New Roman" w:hAnsi="Times New Roman"/>
                <w:szCs w:val="21"/>
              </w:rPr>
            </w:pP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Times New Roman" w:hAnsi="Times New Roman"/>
                <w:szCs w:val="21"/>
              </w:rPr>
            </w:pP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Times New Roman" w:hAnsi="Times New Roman"/>
                <w:szCs w:val="21"/>
              </w:rPr>
            </w:pP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Times New Roman" w:hAnsi="Times New Roman"/>
                <w:szCs w:val="21"/>
              </w:rPr>
            </w:pPr>
          </w:p>
        </w:tc>
      </w:tr>
      <w:tr w:rsidR="00AB447A" w:rsidRPr="00767D69" w:rsidTr="00AB447A">
        <w:trPr>
          <w:trHeight w:val="274"/>
          <w:jc w:val="center"/>
        </w:trPr>
        <w:tc>
          <w:tcPr>
            <w:tcW w:w="264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primary diagnosis codes</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100</w:t>
            </w: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24.00%</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c>
          <w:tcPr>
            <w:tcW w:w="9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10.00%</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r>
      <w:tr w:rsidR="00AB447A" w:rsidRPr="00767D69" w:rsidTr="00AB447A">
        <w:trPr>
          <w:trHeight w:val="274"/>
          <w:jc w:val="center"/>
        </w:trPr>
        <w:tc>
          <w:tcPr>
            <w:tcW w:w="264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other diagnosis codes</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412</w:t>
            </w: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24.03%</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8.01%</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c>
          <w:tcPr>
            <w:tcW w:w="9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4.61%</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8.01%</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r>
      <w:tr w:rsidR="00AB447A" w:rsidRPr="00767D69" w:rsidTr="00AB447A">
        <w:trPr>
          <w:trHeight w:val="274"/>
          <w:jc w:val="center"/>
        </w:trPr>
        <w:tc>
          <w:tcPr>
            <w:tcW w:w="264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primary procedure codes</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40</w:t>
            </w: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10.00%</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65.00%</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c>
          <w:tcPr>
            <w:tcW w:w="9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20.00%</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35.00%</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r>
      <w:tr w:rsidR="00AB447A" w:rsidRPr="00767D69" w:rsidTr="00AB447A">
        <w:trPr>
          <w:trHeight w:val="274"/>
          <w:jc w:val="center"/>
        </w:trPr>
        <w:tc>
          <w:tcPr>
            <w:tcW w:w="264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Other procedure codes</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78</w:t>
            </w: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2.56%</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84.62%</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c>
          <w:tcPr>
            <w:tcW w:w="90"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p>
        </w:tc>
        <w:tc>
          <w:tcPr>
            <w:tcW w:w="130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6.41%</w:t>
            </w:r>
          </w:p>
        </w:tc>
        <w:tc>
          <w:tcPr>
            <w:tcW w:w="1495"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76.92%</w:t>
            </w:r>
          </w:p>
        </w:tc>
        <w:tc>
          <w:tcPr>
            <w:tcW w:w="1081" w:type="dxa"/>
            <w:tcBorders>
              <w:top w:val="nil"/>
              <w:left w:val="nil"/>
              <w:bottom w:val="nil"/>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r>
      <w:tr w:rsidR="00AB447A" w:rsidRPr="00767D69" w:rsidTr="00AB447A">
        <w:trPr>
          <w:trHeight w:val="274"/>
          <w:jc w:val="center"/>
        </w:trPr>
        <w:tc>
          <w:tcPr>
            <w:tcW w:w="2645"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total</w:t>
            </w:r>
          </w:p>
        </w:tc>
        <w:tc>
          <w:tcPr>
            <w:tcW w:w="1000"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630</w:t>
            </w:r>
          </w:p>
        </w:tc>
        <w:tc>
          <w:tcPr>
            <w:tcW w:w="1301"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20.48%</w:t>
            </w:r>
          </w:p>
        </w:tc>
        <w:tc>
          <w:tcPr>
            <w:tcW w:w="1495"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19.84%</w:t>
            </w:r>
          </w:p>
        </w:tc>
        <w:tc>
          <w:tcPr>
            <w:tcW w:w="1081"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c>
          <w:tcPr>
            <w:tcW w:w="90"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 xml:space="preserve">　</w:t>
            </w:r>
          </w:p>
        </w:tc>
        <w:tc>
          <w:tcPr>
            <w:tcW w:w="1301"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6.67%</w:t>
            </w:r>
          </w:p>
        </w:tc>
        <w:tc>
          <w:tcPr>
            <w:tcW w:w="1495"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16.98%</w:t>
            </w:r>
          </w:p>
        </w:tc>
        <w:tc>
          <w:tcPr>
            <w:tcW w:w="1081"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AB447A" w:rsidRPr="00767D69" w:rsidRDefault="00AB447A" w:rsidP="005D182A">
            <w:pPr>
              <w:jc w:val="left"/>
              <w:rPr>
                <w:rFonts w:ascii="Times New Roman" w:eastAsia="等线" w:hAnsi="Times New Roman"/>
                <w:color w:val="000000"/>
                <w:szCs w:val="21"/>
              </w:rPr>
            </w:pPr>
            <w:r w:rsidRPr="00767D69">
              <w:rPr>
                <w:rFonts w:ascii="Times New Roman" w:eastAsia="等线" w:hAnsi="Times New Roman"/>
                <w:color w:val="000000"/>
                <w:szCs w:val="21"/>
              </w:rPr>
              <w:t>0.00%</w:t>
            </w:r>
          </w:p>
        </w:tc>
      </w:tr>
    </w:tbl>
    <w:p w:rsidR="00AB447A" w:rsidRDefault="00AB447A" w:rsidP="00AB447A">
      <w:pPr>
        <w:jc w:val="center"/>
        <w:rPr>
          <w:rFonts w:ascii="Times New Roman" w:hAnsi="Times New Roman"/>
          <w:b/>
          <w:bCs/>
          <w:sz w:val="24"/>
          <w:szCs w:val="24"/>
        </w:rPr>
      </w:pPr>
    </w:p>
    <w:p w:rsidR="00AB447A" w:rsidRDefault="00AB447A" w:rsidP="00AB447A">
      <w:pPr>
        <w:jc w:val="center"/>
        <w:rPr>
          <w:rFonts w:ascii="Times New Roman" w:hAnsi="Times New Roman"/>
          <w:b/>
          <w:bCs/>
          <w:sz w:val="24"/>
          <w:szCs w:val="24"/>
        </w:rPr>
      </w:pPr>
    </w:p>
    <w:p w:rsidR="00AB447A" w:rsidRDefault="00AB447A" w:rsidP="00AB447A">
      <w:pPr>
        <w:jc w:val="center"/>
        <w:rPr>
          <w:rFonts w:ascii="Times New Roman" w:hAnsi="Times New Roman"/>
          <w:b/>
          <w:bCs/>
          <w:sz w:val="24"/>
          <w:szCs w:val="24"/>
        </w:rPr>
      </w:pPr>
    </w:p>
    <w:p w:rsidR="00AB447A" w:rsidRDefault="00AB447A" w:rsidP="00AB447A">
      <w:pPr>
        <w:jc w:val="center"/>
        <w:rPr>
          <w:rFonts w:ascii="Times New Roman" w:hAnsi="Times New Roman"/>
          <w:b/>
          <w:bCs/>
          <w:sz w:val="24"/>
          <w:szCs w:val="24"/>
        </w:rPr>
      </w:pPr>
    </w:p>
    <w:p w:rsidR="00AB447A" w:rsidRDefault="00AB447A">
      <w:pPr>
        <w:widowControl/>
        <w:jc w:val="left"/>
        <w:rPr>
          <w:rFonts w:ascii="Times New Roman" w:eastAsia="宋体" w:hAnsi="Times New Roman" w:cs="Times New Roman"/>
          <w:b/>
          <w:sz w:val="24"/>
          <w:szCs w:val="24"/>
        </w:rPr>
      </w:pPr>
      <w:r>
        <w:rPr>
          <w:rFonts w:ascii="Times New Roman" w:hAnsi="Times New Roman"/>
          <w:b/>
          <w:sz w:val="24"/>
          <w:szCs w:val="24"/>
        </w:rPr>
        <w:br w:type="page"/>
      </w:r>
    </w:p>
    <w:p w:rsidR="00AB447A" w:rsidRDefault="00AB447A" w:rsidP="00AB447A">
      <w:pPr>
        <w:jc w:val="center"/>
        <w:rPr>
          <w:rFonts w:ascii="Times New Roman" w:hAnsi="Times New Roman"/>
          <w:b/>
          <w:bCs/>
          <w:sz w:val="24"/>
          <w:szCs w:val="24"/>
        </w:rPr>
      </w:pPr>
    </w:p>
    <w:p w:rsidR="00AB447A" w:rsidRDefault="00AB447A" w:rsidP="00AB447A">
      <w:pPr>
        <w:jc w:val="center"/>
        <w:rPr>
          <w:rFonts w:ascii="Times New Roman" w:hAnsi="Times New Roman"/>
          <w:b/>
          <w:bCs/>
          <w:sz w:val="24"/>
          <w:szCs w:val="24"/>
        </w:rPr>
      </w:pPr>
    </w:p>
    <w:p w:rsidR="00AB447A" w:rsidRDefault="00AB447A" w:rsidP="00AB447A">
      <w:pPr>
        <w:jc w:val="center"/>
        <w:rPr>
          <w:rFonts w:ascii="Times New Roman" w:hAnsi="Times New Roman"/>
          <w:b/>
          <w:bCs/>
          <w:sz w:val="24"/>
          <w:szCs w:val="24"/>
        </w:rPr>
      </w:pPr>
    </w:p>
    <w:p w:rsidR="00AB447A" w:rsidRDefault="00AB447A" w:rsidP="00AB447A">
      <w:pPr>
        <w:jc w:val="center"/>
        <w:rPr>
          <w:rFonts w:ascii="Times New Roman" w:hAnsi="Times New Roman"/>
          <w:b/>
          <w:bCs/>
          <w:sz w:val="24"/>
          <w:szCs w:val="24"/>
        </w:rPr>
      </w:pPr>
    </w:p>
    <w:p w:rsidR="00AB447A" w:rsidRPr="00767D69" w:rsidRDefault="00AB447A" w:rsidP="00AB447A">
      <w:pPr>
        <w:jc w:val="center"/>
        <w:rPr>
          <w:rFonts w:ascii="Times New Roman" w:hAnsi="Times New Roman"/>
          <w:b/>
          <w:bCs/>
          <w:sz w:val="24"/>
          <w:szCs w:val="24"/>
        </w:rPr>
      </w:pPr>
      <w:r w:rsidRPr="00767D69">
        <w:rPr>
          <w:rFonts w:ascii="Times New Roman" w:hAnsi="Times New Roman"/>
          <w:b/>
          <w:bCs/>
          <w:sz w:val="24"/>
          <w:szCs w:val="24"/>
        </w:rPr>
        <w:t xml:space="preserve">Appendix C. </w:t>
      </w:r>
      <w:r>
        <w:rPr>
          <w:rFonts w:ascii="Times New Roman" w:hAnsi="Times New Roman"/>
          <w:b/>
          <w:bCs/>
          <w:sz w:val="24"/>
          <w:szCs w:val="24"/>
        </w:rPr>
        <w:t>The i</w:t>
      </w:r>
      <w:r w:rsidRPr="00767D69">
        <w:rPr>
          <w:rFonts w:ascii="Times New Roman" w:hAnsi="Times New Roman"/>
          <w:b/>
          <w:bCs/>
          <w:sz w:val="24"/>
          <w:szCs w:val="24"/>
        </w:rPr>
        <w:t xml:space="preserve">mproper payments in </w:t>
      </w:r>
      <w:r>
        <w:rPr>
          <w:rFonts w:ascii="Times New Roman" w:hAnsi="Times New Roman"/>
          <w:b/>
          <w:bCs/>
          <w:sz w:val="24"/>
          <w:szCs w:val="24"/>
        </w:rPr>
        <w:t xml:space="preserve">the </w:t>
      </w:r>
      <w:r w:rsidRPr="00767D69">
        <w:rPr>
          <w:rFonts w:ascii="Times New Roman" w:hAnsi="Times New Roman"/>
          <w:b/>
          <w:bCs/>
          <w:sz w:val="24"/>
          <w:szCs w:val="24"/>
        </w:rPr>
        <w:t>sample</w:t>
      </w:r>
      <w:r>
        <w:rPr>
          <w:rFonts w:ascii="Times New Roman" w:hAnsi="Times New Roman"/>
          <w:b/>
          <w:bCs/>
          <w:sz w:val="24"/>
          <w:szCs w:val="24"/>
        </w:rPr>
        <w:t>d charts</w:t>
      </w:r>
    </w:p>
    <w:tbl>
      <w:tblPr>
        <w:tblW w:w="11086" w:type="dxa"/>
        <w:jc w:val="center"/>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1438"/>
        <w:gridCol w:w="1349"/>
        <w:gridCol w:w="1074"/>
        <w:gridCol w:w="1155"/>
        <w:gridCol w:w="1181"/>
        <w:gridCol w:w="55"/>
        <w:gridCol w:w="1349"/>
        <w:gridCol w:w="1068"/>
        <w:gridCol w:w="1349"/>
        <w:gridCol w:w="1068"/>
      </w:tblGrid>
      <w:tr w:rsidR="00AB447A" w:rsidRPr="009E5DC2" w:rsidTr="005D182A">
        <w:trPr>
          <w:trHeight w:val="224"/>
          <w:jc w:val="center"/>
        </w:trPr>
        <w:tc>
          <w:tcPr>
            <w:tcW w:w="1438" w:type="dxa"/>
            <w:vMerge w:val="restart"/>
            <w:tcBorders>
              <w:top w:val="single" w:sz="8" w:space="0" w:color="auto"/>
              <w:left w:val="nil"/>
              <w:bottom w:val="single" w:sz="4" w:space="0" w:color="auto"/>
              <w:right w:val="nil"/>
            </w:tcBorders>
            <w:vAlign w:val="center"/>
            <w:hideMark/>
          </w:tcPr>
          <w:p w:rsidR="00AB447A" w:rsidRPr="00124B49" w:rsidRDefault="00AB447A" w:rsidP="005D182A">
            <w:pPr>
              <w:pStyle w:val="MDPI42tablebody"/>
              <w:spacing w:line="240" w:lineRule="auto"/>
              <w:jc w:val="left"/>
              <w:rPr>
                <w:rFonts w:ascii="Times New Roman" w:hAnsi="Times New Roman"/>
                <w:b/>
                <w:sz w:val="21"/>
                <w:szCs w:val="21"/>
              </w:rPr>
            </w:pPr>
            <w:bookmarkStart w:id="2" w:name="_Hlk61879384"/>
            <w:r w:rsidRPr="00124B49">
              <w:rPr>
                <w:rFonts w:ascii="Times New Roman" w:hAnsi="Times New Roman"/>
                <w:b/>
                <w:sz w:val="21"/>
                <w:szCs w:val="21"/>
              </w:rPr>
              <w:t>Department</w:t>
            </w:r>
          </w:p>
        </w:tc>
        <w:tc>
          <w:tcPr>
            <w:tcW w:w="2423" w:type="dxa"/>
            <w:gridSpan w:val="2"/>
            <w:tcBorders>
              <w:top w:val="single" w:sz="8" w:space="0" w:color="auto"/>
              <w:left w:val="nil"/>
              <w:bottom w:val="single" w:sz="4" w:space="0" w:color="auto"/>
              <w:right w:val="nil"/>
            </w:tcBorders>
            <w:vAlign w:val="center"/>
            <w:hideMark/>
          </w:tcPr>
          <w:p w:rsidR="00AB447A" w:rsidRPr="00124B49" w:rsidRDefault="00AB447A" w:rsidP="005D182A">
            <w:pPr>
              <w:pStyle w:val="MDPI42tablebody"/>
              <w:spacing w:line="240" w:lineRule="auto"/>
              <w:jc w:val="left"/>
              <w:rPr>
                <w:rFonts w:ascii="Times New Roman" w:hAnsi="Times New Roman"/>
                <w:b/>
                <w:sz w:val="21"/>
                <w:szCs w:val="21"/>
              </w:rPr>
            </w:pPr>
            <w:r w:rsidRPr="00124B49">
              <w:rPr>
                <w:rFonts w:ascii="Times New Roman" w:hAnsi="Times New Roman"/>
                <w:b/>
                <w:sz w:val="21"/>
                <w:szCs w:val="21"/>
              </w:rPr>
              <w:t>Underpayment (RMB¥)</w:t>
            </w:r>
          </w:p>
          <w:p w:rsidR="00AB447A" w:rsidRPr="00124B49" w:rsidRDefault="00AB447A" w:rsidP="005D182A">
            <w:pPr>
              <w:pStyle w:val="MDPI42tablebody"/>
              <w:spacing w:line="240" w:lineRule="auto"/>
              <w:jc w:val="left"/>
              <w:rPr>
                <w:rFonts w:ascii="Times New Roman" w:hAnsi="Times New Roman"/>
                <w:b/>
                <w:sz w:val="21"/>
                <w:szCs w:val="21"/>
              </w:rPr>
            </w:pPr>
            <w:r w:rsidRPr="00124B49">
              <w:rPr>
                <w:rFonts w:ascii="Times New Roman" w:hAnsi="Times New Roman"/>
                <w:b/>
                <w:sz w:val="21"/>
                <w:szCs w:val="21"/>
              </w:rPr>
              <w:t>(Physician vs. Specialist)</w:t>
            </w:r>
          </w:p>
        </w:tc>
        <w:tc>
          <w:tcPr>
            <w:tcW w:w="2336" w:type="dxa"/>
            <w:gridSpan w:val="2"/>
            <w:tcBorders>
              <w:top w:val="single" w:sz="8" w:space="0" w:color="auto"/>
              <w:left w:val="nil"/>
              <w:bottom w:val="single" w:sz="4" w:space="0" w:color="auto"/>
              <w:right w:val="nil"/>
            </w:tcBorders>
            <w:vAlign w:val="center"/>
            <w:hideMark/>
          </w:tcPr>
          <w:p w:rsidR="00AB447A" w:rsidRPr="00124B49" w:rsidRDefault="00AB447A" w:rsidP="005D182A">
            <w:pPr>
              <w:pStyle w:val="MDPI42tablebody"/>
              <w:spacing w:line="240" w:lineRule="auto"/>
              <w:jc w:val="left"/>
              <w:rPr>
                <w:rFonts w:ascii="Times New Roman" w:hAnsi="Times New Roman"/>
                <w:b/>
                <w:sz w:val="21"/>
                <w:szCs w:val="21"/>
              </w:rPr>
            </w:pPr>
            <w:r w:rsidRPr="00124B49">
              <w:rPr>
                <w:rFonts w:ascii="Times New Roman" w:hAnsi="Times New Roman"/>
                <w:b/>
                <w:sz w:val="21"/>
                <w:szCs w:val="21"/>
              </w:rPr>
              <w:t>Overpayment (RMB¥)</w:t>
            </w:r>
          </w:p>
          <w:p w:rsidR="00AB447A" w:rsidRPr="00124B49" w:rsidRDefault="00AB447A" w:rsidP="005D182A">
            <w:pPr>
              <w:pStyle w:val="MDPI42tablebody"/>
              <w:spacing w:line="240" w:lineRule="auto"/>
              <w:jc w:val="left"/>
              <w:rPr>
                <w:rFonts w:ascii="Times New Roman" w:hAnsi="Times New Roman"/>
                <w:b/>
                <w:sz w:val="21"/>
                <w:szCs w:val="21"/>
              </w:rPr>
            </w:pPr>
            <w:r w:rsidRPr="00124B49">
              <w:rPr>
                <w:rFonts w:ascii="Times New Roman" w:hAnsi="Times New Roman"/>
                <w:b/>
                <w:sz w:val="21"/>
                <w:szCs w:val="21"/>
              </w:rPr>
              <w:t>(Physician vs. Specialist)</w:t>
            </w:r>
          </w:p>
        </w:tc>
        <w:tc>
          <w:tcPr>
            <w:tcW w:w="55" w:type="dxa"/>
            <w:vMerge w:val="restart"/>
            <w:tcBorders>
              <w:top w:val="single" w:sz="8" w:space="0" w:color="auto"/>
              <w:left w:val="nil"/>
              <w:bottom w:val="single" w:sz="4" w:space="0" w:color="auto"/>
              <w:right w:val="nil"/>
            </w:tcBorders>
            <w:vAlign w:val="center"/>
          </w:tcPr>
          <w:p w:rsidR="00AB447A" w:rsidRPr="00124B49" w:rsidRDefault="00AB447A" w:rsidP="005D182A">
            <w:pPr>
              <w:pStyle w:val="MDPI42tablebody"/>
              <w:spacing w:line="240" w:lineRule="auto"/>
              <w:jc w:val="left"/>
              <w:rPr>
                <w:rFonts w:ascii="Times New Roman" w:hAnsi="Times New Roman"/>
                <w:b/>
                <w:sz w:val="21"/>
                <w:szCs w:val="21"/>
              </w:rPr>
            </w:pPr>
          </w:p>
        </w:tc>
        <w:tc>
          <w:tcPr>
            <w:tcW w:w="2417" w:type="dxa"/>
            <w:gridSpan w:val="2"/>
            <w:tcBorders>
              <w:top w:val="single" w:sz="8" w:space="0" w:color="auto"/>
              <w:left w:val="nil"/>
              <w:bottom w:val="single" w:sz="4" w:space="0" w:color="auto"/>
              <w:right w:val="nil"/>
            </w:tcBorders>
            <w:vAlign w:val="center"/>
            <w:hideMark/>
          </w:tcPr>
          <w:p w:rsidR="00AB447A" w:rsidRPr="00124B49" w:rsidRDefault="00AB447A" w:rsidP="005D182A">
            <w:pPr>
              <w:pStyle w:val="MDPI42tablebody"/>
              <w:spacing w:line="240" w:lineRule="auto"/>
              <w:jc w:val="left"/>
              <w:rPr>
                <w:rFonts w:ascii="Times New Roman" w:hAnsi="Times New Roman"/>
                <w:b/>
                <w:sz w:val="21"/>
                <w:szCs w:val="21"/>
              </w:rPr>
            </w:pPr>
            <w:r w:rsidRPr="00124B49">
              <w:rPr>
                <w:rFonts w:ascii="Times New Roman" w:hAnsi="Times New Roman"/>
                <w:b/>
                <w:sz w:val="21"/>
                <w:szCs w:val="21"/>
              </w:rPr>
              <w:t>Underpayment (RMB¥)</w:t>
            </w:r>
          </w:p>
          <w:p w:rsidR="00AB447A" w:rsidRPr="00124B49" w:rsidRDefault="00AB447A" w:rsidP="005D182A">
            <w:pPr>
              <w:pStyle w:val="MDPI42tablebody"/>
              <w:spacing w:line="240" w:lineRule="auto"/>
              <w:jc w:val="left"/>
              <w:rPr>
                <w:rFonts w:ascii="Times New Roman" w:hAnsi="Times New Roman"/>
                <w:b/>
                <w:sz w:val="21"/>
                <w:szCs w:val="21"/>
              </w:rPr>
            </w:pPr>
            <w:r w:rsidRPr="00124B49">
              <w:rPr>
                <w:rFonts w:ascii="Times New Roman" w:hAnsi="Times New Roman"/>
                <w:b/>
                <w:sz w:val="21"/>
                <w:szCs w:val="21"/>
              </w:rPr>
              <w:t>(Coder vs. Specialist)</w:t>
            </w:r>
          </w:p>
        </w:tc>
        <w:tc>
          <w:tcPr>
            <w:tcW w:w="2417" w:type="dxa"/>
            <w:gridSpan w:val="2"/>
            <w:tcBorders>
              <w:top w:val="single" w:sz="8" w:space="0" w:color="auto"/>
              <w:left w:val="nil"/>
              <w:bottom w:val="single" w:sz="4" w:space="0" w:color="auto"/>
              <w:right w:val="nil"/>
            </w:tcBorders>
            <w:vAlign w:val="center"/>
            <w:hideMark/>
          </w:tcPr>
          <w:p w:rsidR="00AB447A" w:rsidRPr="00124B49" w:rsidRDefault="00AB447A" w:rsidP="005D182A">
            <w:pPr>
              <w:pStyle w:val="MDPI42tablebody"/>
              <w:spacing w:line="240" w:lineRule="auto"/>
              <w:jc w:val="left"/>
              <w:rPr>
                <w:rFonts w:ascii="Times New Roman" w:hAnsi="Times New Roman"/>
                <w:b/>
                <w:sz w:val="21"/>
                <w:szCs w:val="21"/>
              </w:rPr>
            </w:pPr>
            <w:r w:rsidRPr="00124B49">
              <w:rPr>
                <w:rFonts w:ascii="Times New Roman" w:hAnsi="Times New Roman"/>
                <w:b/>
                <w:sz w:val="21"/>
                <w:szCs w:val="21"/>
              </w:rPr>
              <w:t>Overpayment (RMB¥)</w:t>
            </w:r>
          </w:p>
          <w:p w:rsidR="00AB447A" w:rsidRPr="00124B49" w:rsidRDefault="00AB447A" w:rsidP="005D182A">
            <w:pPr>
              <w:pStyle w:val="MDPI42tablebody"/>
              <w:spacing w:line="240" w:lineRule="auto"/>
              <w:jc w:val="left"/>
              <w:rPr>
                <w:rFonts w:ascii="Times New Roman" w:hAnsi="Times New Roman"/>
                <w:b/>
                <w:sz w:val="21"/>
                <w:szCs w:val="21"/>
              </w:rPr>
            </w:pPr>
            <w:r w:rsidRPr="00124B49">
              <w:rPr>
                <w:rFonts w:ascii="Times New Roman" w:hAnsi="Times New Roman"/>
                <w:b/>
                <w:sz w:val="21"/>
                <w:szCs w:val="21"/>
              </w:rPr>
              <w:t>(Coder vs. Specialist)</w:t>
            </w:r>
          </w:p>
        </w:tc>
      </w:tr>
      <w:tr w:rsidR="00AB447A" w:rsidRPr="009E5DC2" w:rsidTr="00AB447A">
        <w:trPr>
          <w:trHeight w:val="224"/>
          <w:jc w:val="center"/>
        </w:trPr>
        <w:tc>
          <w:tcPr>
            <w:tcW w:w="1438" w:type="dxa"/>
            <w:vMerge/>
            <w:tcBorders>
              <w:top w:val="single" w:sz="8" w:space="0" w:color="auto"/>
              <w:left w:val="nil"/>
              <w:bottom w:val="single" w:sz="4" w:space="0" w:color="auto"/>
              <w:right w:val="nil"/>
            </w:tcBorders>
            <w:vAlign w:val="center"/>
            <w:hideMark/>
          </w:tcPr>
          <w:p w:rsidR="00AB447A" w:rsidRPr="00124B49" w:rsidRDefault="00AB447A" w:rsidP="005D182A">
            <w:pPr>
              <w:jc w:val="left"/>
              <w:rPr>
                <w:rFonts w:ascii="Times New Roman" w:eastAsia="Times New Roman" w:hAnsi="Times New Roman"/>
                <w:b/>
                <w:color w:val="000000"/>
                <w:szCs w:val="21"/>
                <w:lang w:eastAsia="de-DE" w:bidi="en-US"/>
              </w:rPr>
            </w:pPr>
          </w:p>
        </w:tc>
        <w:tc>
          <w:tcPr>
            <w:tcW w:w="1349" w:type="dxa"/>
            <w:tcBorders>
              <w:top w:val="nil"/>
              <w:left w:val="nil"/>
              <w:bottom w:val="single" w:sz="4" w:space="0" w:color="auto"/>
              <w:right w:val="nil"/>
            </w:tcBorders>
            <w:vAlign w:val="center"/>
            <w:hideMark/>
          </w:tcPr>
          <w:p w:rsidR="00AB447A" w:rsidRPr="00124B49" w:rsidRDefault="00AB447A" w:rsidP="005D182A">
            <w:pPr>
              <w:pStyle w:val="MDPI42tablebody"/>
              <w:spacing w:line="240" w:lineRule="auto"/>
              <w:jc w:val="left"/>
              <w:rPr>
                <w:rFonts w:ascii="Times New Roman" w:hAnsi="Times New Roman"/>
                <w:b/>
                <w:sz w:val="21"/>
                <w:szCs w:val="21"/>
              </w:rPr>
            </w:pPr>
            <w:r w:rsidRPr="00124B49">
              <w:rPr>
                <w:rFonts w:ascii="Times New Roman" w:hAnsi="Times New Roman"/>
                <w:b/>
                <w:sz w:val="21"/>
                <w:szCs w:val="21"/>
              </w:rPr>
              <w:t>Number of Charts (Percentage)</w:t>
            </w:r>
          </w:p>
        </w:tc>
        <w:tc>
          <w:tcPr>
            <w:tcW w:w="1074" w:type="dxa"/>
            <w:tcBorders>
              <w:top w:val="nil"/>
              <w:left w:val="nil"/>
              <w:bottom w:val="single" w:sz="4" w:space="0" w:color="auto"/>
              <w:right w:val="nil"/>
            </w:tcBorders>
            <w:vAlign w:val="center"/>
            <w:hideMark/>
          </w:tcPr>
          <w:p w:rsidR="00AB447A" w:rsidRPr="00124B49" w:rsidRDefault="00AB447A" w:rsidP="005D182A">
            <w:pPr>
              <w:pStyle w:val="MDPI42tablebody"/>
              <w:spacing w:line="240" w:lineRule="auto"/>
              <w:jc w:val="left"/>
              <w:rPr>
                <w:rFonts w:ascii="Times New Roman" w:hAnsi="Times New Roman"/>
                <w:b/>
                <w:sz w:val="21"/>
                <w:szCs w:val="21"/>
              </w:rPr>
            </w:pPr>
            <w:r w:rsidRPr="00124B49">
              <w:rPr>
                <w:rFonts w:ascii="Times New Roman" w:hAnsi="Times New Roman"/>
                <w:b/>
                <w:sz w:val="21"/>
                <w:szCs w:val="21"/>
              </w:rPr>
              <w:t>Median of D-value (quartile)</w:t>
            </w:r>
          </w:p>
        </w:tc>
        <w:tc>
          <w:tcPr>
            <w:tcW w:w="1155" w:type="dxa"/>
            <w:tcBorders>
              <w:top w:val="nil"/>
              <w:left w:val="nil"/>
              <w:bottom w:val="single" w:sz="4" w:space="0" w:color="auto"/>
              <w:right w:val="nil"/>
            </w:tcBorders>
            <w:vAlign w:val="center"/>
            <w:hideMark/>
          </w:tcPr>
          <w:p w:rsidR="00AB447A" w:rsidRPr="00124B49" w:rsidRDefault="00AB447A" w:rsidP="005D182A">
            <w:pPr>
              <w:pStyle w:val="MDPI42tablebody"/>
              <w:spacing w:line="240" w:lineRule="auto"/>
              <w:jc w:val="left"/>
              <w:rPr>
                <w:rFonts w:ascii="Times New Roman" w:hAnsi="Times New Roman"/>
                <w:b/>
                <w:sz w:val="21"/>
                <w:szCs w:val="21"/>
              </w:rPr>
            </w:pPr>
            <w:r w:rsidRPr="00124B49">
              <w:rPr>
                <w:rFonts w:ascii="Times New Roman" w:hAnsi="Times New Roman"/>
                <w:b/>
                <w:sz w:val="21"/>
                <w:szCs w:val="21"/>
              </w:rPr>
              <w:t>Number of Charts (Percentage)</w:t>
            </w:r>
          </w:p>
        </w:tc>
        <w:tc>
          <w:tcPr>
            <w:tcW w:w="1181" w:type="dxa"/>
            <w:tcBorders>
              <w:top w:val="nil"/>
              <w:left w:val="nil"/>
              <w:bottom w:val="single" w:sz="4" w:space="0" w:color="auto"/>
              <w:right w:val="nil"/>
            </w:tcBorders>
            <w:vAlign w:val="center"/>
            <w:hideMark/>
          </w:tcPr>
          <w:p w:rsidR="00AB447A" w:rsidRPr="00124B49" w:rsidRDefault="00AB447A" w:rsidP="005D182A">
            <w:pPr>
              <w:pStyle w:val="MDPI42tablebody"/>
              <w:spacing w:line="240" w:lineRule="auto"/>
              <w:jc w:val="left"/>
              <w:rPr>
                <w:rFonts w:ascii="Times New Roman" w:hAnsi="Times New Roman"/>
                <w:b/>
                <w:sz w:val="21"/>
                <w:szCs w:val="21"/>
              </w:rPr>
            </w:pPr>
            <w:r w:rsidRPr="00124B49">
              <w:rPr>
                <w:rFonts w:ascii="Times New Roman" w:hAnsi="Times New Roman"/>
                <w:b/>
                <w:sz w:val="21"/>
                <w:szCs w:val="21"/>
              </w:rPr>
              <w:t>Median of D-value (quartile)</w:t>
            </w:r>
          </w:p>
        </w:tc>
        <w:tc>
          <w:tcPr>
            <w:tcW w:w="55" w:type="dxa"/>
            <w:vMerge/>
            <w:tcBorders>
              <w:top w:val="single" w:sz="8" w:space="0" w:color="auto"/>
              <w:left w:val="nil"/>
              <w:bottom w:val="single" w:sz="4" w:space="0" w:color="auto"/>
              <w:right w:val="nil"/>
            </w:tcBorders>
            <w:vAlign w:val="center"/>
            <w:hideMark/>
          </w:tcPr>
          <w:p w:rsidR="00AB447A" w:rsidRPr="00124B49" w:rsidRDefault="00AB447A" w:rsidP="005D182A">
            <w:pPr>
              <w:jc w:val="left"/>
              <w:rPr>
                <w:rFonts w:ascii="Times New Roman" w:eastAsia="Times New Roman" w:hAnsi="Times New Roman"/>
                <w:b/>
                <w:color w:val="000000"/>
                <w:szCs w:val="21"/>
                <w:lang w:eastAsia="de-DE" w:bidi="en-US"/>
              </w:rPr>
            </w:pPr>
          </w:p>
        </w:tc>
        <w:tc>
          <w:tcPr>
            <w:tcW w:w="1349" w:type="dxa"/>
            <w:tcBorders>
              <w:top w:val="nil"/>
              <w:left w:val="nil"/>
              <w:bottom w:val="single" w:sz="4" w:space="0" w:color="auto"/>
              <w:right w:val="nil"/>
            </w:tcBorders>
            <w:vAlign w:val="center"/>
            <w:hideMark/>
          </w:tcPr>
          <w:p w:rsidR="00AB447A" w:rsidRPr="00124B49" w:rsidRDefault="00AB447A" w:rsidP="005D182A">
            <w:pPr>
              <w:pStyle w:val="MDPI42tablebody"/>
              <w:spacing w:line="240" w:lineRule="auto"/>
              <w:jc w:val="left"/>
              <w:rPr>
                <w:rFonts w:ascii="Times New Roman" w:hAnsi="Times New Roman"/>
                <w:b/>
                <w:sz w:val="21"/>
                <w:szCs w:val="21"/>
              </w:rPr>
            </w:pPr>
            <w:r w:rsidRPr="00124B49">
              <w:rPr>
                <w:rFonts w:ascii="Times New Roman" w:hAnsi="Times New Roman"/>
                <w:b/>
                <w:sz w:val="21"/>
                <w:szCs w:val="21"/>
              </w:rPr>
              <w:t>Number of Charts (Percentage)</w:t>
            </w:r>
          </w:p>
        </w:tc>
        <w:tc>
          <w:tcPr>
            <w:tcW w:w="1068" w:type="dxa"/>
            <w:tcBorders>
              <w:top w:val="nil"/>
              <w:left w:val="nil"/>
              <w:bottom w:val="single" w:sz="4" w:space="0" w:color="auto"/>
              <w:right w:val="nil"/>
            </w:tcBorders>
            <w:vAlign w:val="center"/>
            <w:hideMark/>
          </w:tcPr>
          <w:p w:rsidR="00AB447A" w:rsidRPr="00124B49" w:rsidRDefault="00AB447A" w:rsidP="005D182A">
            <w:pPr>
              <w:pStyle w:val="MDPI42tablebody"/>
              <w:spacing w:line="240" w:lineRule="auto"/>
              <w:jc w:val="left"/>
              <w:rPr>
                <w:rFonts w:ascii="Times New Roman" w:hAnsi="Times New Roman"/>
                <w:b/>
                <w:sz w:val="21"/>
                <w:szCs w:val="21"/>
              </w:rPr>
            </w:pPr>
            <w:r w:rsidRPr="00124B49">
              <w:rPr>
                <w:rFonts w:ascii="Times New Roman" w:hAnsi="Times New Roman"/>
                <w:b/>
                <w:sz w:val="21"/>
                <w:szCs w:val="21"/>
              </w:rPr>
              <w:t>Median of D-value (quartile)</w:t>
            </w:r>
          </w:p>
        </w:tc>
        <w:tc>
          <w:tcPr>
            <w:tcW w:w="1349" w:type="dxa"/>
            <w:tcBorders>
              <w:top w:val="nil"/>
              <w:left w:val="nil"/>
              <w:bottom w:val="single" w:sz="4" w:space="0" w:color="auto"/>
              <w:right w:val="nil"/>
            </w:tcBorders>
            <w:vAlign w:val="center"/>
            <w:hideMark/>
          </w:tcPr>
          <w:p w:rsidR="00AB447A" w:rsidRPr="00124B49" w:rsidRDefault="00AB447A" w:rsidP="005D182A">
            <w:pPr>
              <w:pStyle w:val="MDPI42tablebody"/>
              <w:spacing w:line="240" w:lineRule="auto"/>
              <w:jc w:val="left"/>
              <w:rPr>
                <w:rFonts w:ascii="Times New Roman" w:hAnsi="Times New Roman"/>
                <w:b/>
                <w:sz w:val="21"/>
                <w:szCs w:val="21"/>
              </w:rPr>
            </w:pPr>
            <w:r w:rsidRPr="00124B49">
              <w:rPr>
                <w:rFonts w:ascii="Times New Roman" w:hAnsi="Times New Roman"/>
                <w:b/>
                <w:sz w:val="21"/>
                <w:szCs w:val="21"/>
              </w:rPr>
              <w:t>Number of Charts (Percentage)</w:t>
            </w:r>
          </w:p>
        </w:tc>
        <w:tc>
          <w:tcPr>
            <w:tcW w:w="1068" w:type="dxa"/>
            <w:tcBorders>
              <w:top w:val="nil"/>
              <w:left w:val="nil"/>
              <w:bottom w:val="single" w:sz="4" w:space="0" w:color="auto"/>
              <w:right w:val="nil"/>
            </w:tcBorders>
            <w:vAlign w:val="center"/>
            <w:hideMark/>
          </w:tcPr>
          <w:p w:rsidR="00AB447A" w:rsidRPr="00124B49" w:rsidRDefault="00AB447A" w:rsidP="005D182A">
            <w:pPr>
              <w:pStyle w:val="MDPI42tablebody"/>
              <w:spacing w:line="240" w:lineRule="auto"/>
              <w:jc w:val="left"/>
              <w:rPr>
                <w:rFonts w:ascii="Times New Roman" w:hAnsi="Times New Roman"/>
                <w:b/>
                <w:sz w:val="21"/>
                <w:szCs w:val="21"/>
              </w:rPr>
            </w:pPr>
            <w:r w:rsidRPr="00124B49">
              <w:rPr>
                <w:rFonts w:ascii="Times New Roman" w:hAnsi="Times New Roman"/>
                <w:b/>
                <w:sz w:val="21"/>
                <w:szCs w:val="21"/>
              </w:rPr>
              <w:t>Median of D-value (quartile)</w:t>
            </w:r>
          </w:p>
        </w:tc>
      </w:tr>
      <w:tr w:rsidR="00AB447A" w:rsidRPr="009E5DC2" w:rsidTr="00AB447A">
        <w:trPr>
          <w:trHeight w:val="224"/>
          <w:jc w:val="center"/>
        </w:trPr>
        <w:tc>
          <w:tcPr>
            <w:tcW w:w="1438" w:type="dxa"/>
            <w:tcBorders>
              <w:top w:val="nil"/>
              <w:left w:val="nil"/>
              <w:bottom w:val="nil"/>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r w:rsidRPr="00124B49">
              <w:rPr>
                <w:rFonts w:ascii="Times New Roman" w:hAnsi="Times New Roman"/>
                <w:sz w:val="21"/>
                <w:szCs w:val="21"/>
              </w:rPr>
              <w:t>Obstetrics</w:t>
            </w:r>
          </w:p>
        </w:tc>
        <w:tc>
          <w:tcPr>
            <w:tcW w:w="1349" w:type="dxa"/>
            <w:tcBorders>
              <w:top w:val="nil"/>
              <w:left w:val="nil"/>
              <w:bottom w:val="nil"/>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r w:rsidRPr="00124B49">
              <w:rPr>
                <w:rFonts w:ascii="Times New Roman" w:hAnsi="Times New Roman"/>
                <w:sz w:val="21"/>
                <w:szCs w:val="21"/>
              </w:rPr>
              <w:t>44(52.38%)</w:t>
            </w:r>
          </w:p>
        </w:tc>
        <w:tc>
          <w:tcPr>
            <w:tcW w:w="1074" w:type="dxa"/>
            <w:tcBorders>
              <w:top w:val="nil"/>
              <w:left w:val="nil"/>
              <w:bottom w:val="nil"/>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r w:rsidRPr="00124B49">
              <w:rPr>
                <w:rFonts w:ascii="Times New Roman" w:hAnsi="Times New Roman"/>
                <w:sz w:val="21"/>
                <w:szCs w:val="21"/>
              </w:rPr>
              <w:t>1173.22 (756.63-1434.83)</w:t>
            </w:r>
          </w:p>
        </w:tc>
        <w:tc>
          <w:tcPr>
            <w:tcW w:w="1155" w:type="dxa"/>
            <w:tcBorders>
              <w:top w:val="nil"/>
              <w:left w:val="nil"/>
              <w:bottom w:val="nil"/>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r w:rsidRPr="00124B49">
              <w:rPr>
                <w:rFonts w:ascii="Times New Roman" w:hAnsi="Times New Roman"/>
                <w:sz w:val="21"/>
                <w:szCs w:val="21"/>
              </w:rPr>
              <w:t>13(15.48%)</w:t>
            </w:r>
          </w:p>
        </w:tc>
        <w:tc>
          <w:tcPr>
            <w:tcW w:w="1181" w:type="dxa"/>
            <w:tcBorders>
              <w:top w:val="nil"/>
              <w:left w:val="nil"/>
              <w:bottom w:val="nil"/>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r w:rsidRPr="00124B49">
              <w:rPr>
                <w:rFonts w:ascii="Times New Roman" w:hAnsi="Times New Roman"/>
                <w:sz w:val="21"/>
                <w:szCs w:val="21"/>
              </w:rPr>
              <w:t>1000.76 (433.74-3996.90)</w:t>
            </w:r>
          </w:p>
        </w:tc>
        <w:tc>
          <w:tcPr>
            <w:tcW w:w="55" w:type="dxa"/>
            <w:tcBorders>
              <w:top w:val="nil"/>
              <w:left w:val="nil"/>
              <w:bottom w:val="nil"/>
              <w:right w:val="nil"/>
            </w:tcBorders>
            <w:vAlign w:val="center"/>
          </w:tcPr>
          <w:p w:rsidR="00AB447A" w:rsidRPr="00124B49" w:rsidRDefault="00AB447A" w:rsidP="005D182A">
            <w:pPr>
              <w:pStyle w:val="MDPI42tablebody"/>
              <w:spacing w:line="240" w:lineRule="auto"/>
              <w:jc w:val="left"/>
              <w:rPr>
                <w:rFonts w:ascii="Times New Roman" w:hAnsi="Times New Roman"/>
                <w:sz w:val="21"/>
                <w:szCs w:val="21"/>
              </w:rPr>
            </w:pPr>
          </w:p>
        </w:tc>
        <w:tc>
          <w:tcPr>
            <w:tcW w:w="1349" w:type="dxa"/>
            <w:tcBorders>
              <w:top w:val="nil"/>
              <w:left w:val="nil"/>
              <w:bottom w:val="nil"/>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r w:rsidRPr="00124B49">
              <w:rPr>
                <w:rFonts w:ascii="Times New Roman" w:hAnsi="Times New Roman"/>
                <w:sz w:val="21"/>
                <w:szCs w:val="21"/>
              </w:rPr>
              <w:t>14(16.67%)</w:t>
            </w:r>
          </w:p>
        </w:tc>
        <w:tc>
          <w:tcPr>
            <w:tcW w:w="1068" w:type="dxa"/>
            <w:tcBorders>
              <w:top w:val="nil"/>
              <w:left w:val="nil"/>
              <w:bottom w:val="nil"/>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r w:rsidRPr="00124B49">
              <w:rPr>
                <w:rFonts w:ascii="Times New Roman" w:hAnsi="Times New Roman"/>
                <w:sz w:val="21"/>
                <w:szCs w:val="21"/>
              </w:rPr>
              <w:t>707.88 (599.43-849.11)</w:t>
            </w:r>
          </w:p>
        </w:tc>
        <w:tc>
          <w:tcPr>
            <w:tcW w:w="1349" w:type="dxa"/>
            <w:tcBorders>
              <w:top w:val="nil"/>
              <w:left w:val="nil"/>
              <w:bottom w:val="nil"/>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r w:rsidRPr="00124B49">
              <w:rPr>
                <w:rFonts w:ascii="Times New Roman" w:hAnsi="Times New Roman"/>
                <w:sz w:val="21"/>
                <w:szCs w:val="21"/>
              </w:rPr>
              <w:t>22(26.19%)</w:t>
            </w:r>
          </w:p>
        </w:tc>
        <w:tc>
          <w:tcPr>
            <w:tcW w:w="1068" w:type="dxa"/>
            <w:tcBorders>
              <w:top w:val="nil"/>
              <w:left w:val="nil"/>
              <w:bottom w:val="nil"/>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r w:rsidRPr="00124B49">
              <w:rPr>
                <w:rFonts w:ascii="Times New Roman" w:hAnsi="Times New Roman"/>
                <w:sz w:val="21"/>
                <w:szCs w:val="21"/>
              </w:rPr>
              <w:t>1273.22 (771.55-4970.79)</w:t>
            </w:r>
          </w:p>
        </w:tc>
      </w:tr>
      <w:tr w:rsidR="00AB447A" w:rsidRPr="009E5DC2" w:rsidTr="00AB447A">
        <w:trPr>
          <w:trHeight w:val="224"/>
          <w:jc w:val="center"/>
        </w:trPr>
        <w:tc>
          <w:tcPr>
            <w:tcW w:w="1438" w:type="dxa"/>
            <w:tcBorders>
              <w:top w:val="nil"/>
              <w:left w:val="nil"/>
              <w:bottom w:val="nil"/>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proofErr w:type="spellStart"/>
            <w:r w:rsidRPr="00124B49">
              <w:rPr>
                <w:rFonts w:ascii="Times New Roman" w:hAnsi="Times New Roman"/>
                <w:sz w:val="21"/>
                <w:szCs w:val="21"/>
              </w:rPr>
              <w:t>Paediatrics</w:t>
            </w:r>
            <w:proofErr w:type="spellEnd"/>
          </w:p>
        </w:tc>
        <w:tc>
          <w:tcPr>
            <w:tcW w:w="1349" w:type="dxa"/>
            <w:tcBorders>
              <w:top w:val="nil"/>
              <w:left w:val="nil"/>
              <w:bottom w:val="nil"/>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r w:rsidRPr="00124B49">
              <w:rPr>
                <w:rFonts w:ascii="Times New Roman" w:hAnsi="Times New Roman"/>
                <w:sz w:val="21"/>
                <w:szCs w:val="21"/>
              </w:rPr>
              <w:t>7(8.86%)</w:t>
            </w:r>
          </w:p>
        </w:tc>
        <w:tc>
          <w:tcPr>
            <w:tcW w:w="1074" w:type="dxa"/>
            <w:tcBorders>
              <w:top w:val="nil"/>
              <w:left w:val="nil"/>
              <w:bottom w:val="nil"/>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r w:rsidRPr="00124B49">
              <w:rPr>
                <w:rFonts w:ascii="Times New Roman" w:hAnsi="Times New Roman"/>
                <w:sz w:val="21"/>
                <w:szCs w:val="21"/>
              </w:rPr>
              <w:t>1628.60 (1402.94-1893.66)</w:t>
            </w:r>
          </w:p>
        </w:tc>
        <w:tc>
          <w:tcPr>
            <w:tcW w:w="1155" w:type="dxa"/>
            <w:tcBorders>
              <w:top w:val="nil"/>
              <w:left w:val="nil"/>
              <w:bottom w:val="nil"/>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r w:rsidRPr="00124B49">
              <w:rPr>
                <w:rFonts w:ascii="Times New Roman" w:hAnsi="Times New Roman"/>
                <w:sz w:val="21"/>
                <w:szCs w:val="21"/>
              </w:rPr>
              <w:t>6(7.59%)</w:t>
            </w:r>
          </w:p>
        </w:tc>
        <w:tc>
          <w:tcPr>
            <w:tcW w:w="1181" w:type="dxa"/>
            <w:tcBorders>
              <w:top w:val="nil"/>
              <w:left w:val="nil"/>
              <w:bottom w:val="nil"/>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r w:rsidRPr="00124B49">
              <w:rPr>
                <w:rFonts w:ascii="Times New Roman" w:hAnsi="Times New Roman"/>
                <w:sz w:val="21"/>
                <w:szCs w:val="21"/>
              </w:rPr>
              <w:t>591.06 (586.90-4739.25)</w:t>
            </w:r>
          </w:p>
        </w:tc>
        <w:tc>
          <w:tcPr>
            <w:tcW w:w="55" w:type="dxa"/>
            <w:tcBorders>
              <w:top w:val="nil"/>
              <w:left w:val="nil"/>
              <w:bottom w:val="nil"/>
              <w:right w:val="nil"/>
            </w:tcBorders>
            <w:vAlign w:val="center"/>
          </w:tcPr>
          <w:p w:rsidR="00AB447A" w:rsidRPr="00124B49" w:rsidRDefault="00AB447A" w:rsidP="005D182A">
            <w:pPr>
              <w:pStyle w:val="MDPI42tablebody"/>
              <w:spacing w:line="240" w:lineRule="auto"/>
              <w:jc w:val="left"/>
              <w:rPr>
                <w:rFonts w:ascii="Times New Roman" w:hAnsi="Times New Roman"/>
                <w:sz w:val="21"/>
                <w:szCs w:val="21"/>
              </w:rPr>
            </w:pPr>
          </w:p>
        </w:tc>
        <w:tc>
          <w:tcPr>
            <w:tcW w:w="1349" w:type="dxa"/>
            <w:tcBorders>
              <w:top w:val="nil"/>
              <w:left w:val="nil"/>
              <w:bottom w:val="nil"/>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r w:rsidRPr="00124B49">
              <w:rPr>
                <w:rFonts w:ascii="Times New Roman" w:hAnsi="Times New Roman"/>
                <w:sz w:val="21"/>
                <w:szCs w:val="21"/>
              </w:rPr>
              <w:t>2(2.53%)</w:t>
            </w:r>
          </w:p>
        </w:tc>
        <w:tc>
          <w:tcPr>
            <w:tcW w:w="1068" w:type="dxa"/>
            <w:tcBorders>
              <w:top w:val="nil"/>
              <w:left w:val="nil"/>
              <w:bottom w:val="nil"/>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r w:rsidRPr="00124B49">
              <w:rPr>
                <w:rFonts w:ascii="Times New Roman" w:hAnsi="Times New Roman"/>
                <w:sz w:val="21"/>
                <w:szCs w:val="21"/>
              </w:rPr>
              <w:t>1482.44 (1451.47-1513.40)</w:t>
            </w:r>
          </w:p>
        </w:tc>
        <w:tc>
          <w:tcPr>
            <w:tcW w:w="1349" w:type="dxa"/>
            <w:tcBorders>
              <w:top w:val="nil"/>
              <w:left w:val="nil"/>
              <w:bottom w:val="nil"/>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r w:rsidRPr="00124B49">
              <w:rPr>
                <w:rFonts w:ascii="Times New Roman" w:hAnsi="Times New Roman"/>
                <w:sz w:val="21"/>
                <w:szCs w:val="21"/>
              </w:rPr>
              <w:t>5(6.33%)</w:t>
            </w:r>
          </w:p>
        </w:tc>
        <w:tc>
          <w:tcPr>
            <w:tcW w:w="1068" w:type="dxa"/>
            <w:tcBorders>
              <w:top w:val="nil"/>
              <w:left w:val="nil"/>
              <w:bottom w:val="nil"/>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r w:rsidRPr="00124B49">
              <w:rPr>
                <w:rFonts w:ascii="Times New Roman" w:hAnsi="Times New Roman"/>
                <w:sz w:val="21"/>
                <w:szCs w:val="21"/>
              </w:rPr>
              <w:t>595.23 (586.90-2292.62)</w:t>
            </w:r>
          </w:p>
        </w:tc>
      </w:tr>
      <w:tr w:rsidR="00AB447A" w:rsidRPr="009E5DC2" w:rsidTr="00AB447A">
        <w:trPr>
          <w:trHeight w:val="224"/>
          <w:jc w:val="center"/>
        </w:trPr>
        <w:tc>
          <w:tcPr>
            <w:tcW w:w="1438" w:type="dxa"/>
            <w:tcBorders>
              <w:top w:val="nil"/>
              <w:left w:val="nil"/>
              <w:bottom w:val="nil"/>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proofErr w:type="spellStart"/>
            <w:r w:rsidRPr="00124B49">
              <w:rPr>
                <w:rFonts w:ascii="Times New Roman" w:hAnsi="Times New Roman"/>
                <w:sz w:val="21"/>
                <w:szCs w:val="21"/>
              </w:rPr>
              <w:t>Gynaecology</w:t>
            </w:r>
            <w:proofErr w:type="spellEnd"/>
          </w:p>
        </w:tc>
        <w:tc>
          <w:tcPr>
            <w:tcW w:w="1349" w:type="dxa"/>
            <w:tcBorders>
              <w:top w:val="nil"/>
              <w:left w:val="nil"/>
              <w:bottom w:val="nil"/>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r w:rsidRPr="00124B49">
              <w:rPr>
                <w:rFonts w:ascii="Times New Roman" w:hAnsi="Times New Roman"/>
                <w:sz w:val="21"/>
                <w:szCs w:val="21"/>
              </w:rPr>
              <w:t>49(55.68%)</w:t>
            </w:r>
          </w:p>
        </w:tc>
        <w:tc>
          <w:tcPr>
            <w:tcW w:w="1074" w:type="dxa"/>
            <w:tcBorders>
              <w:top w:val="nil"/>
              <w:left w:val="nil"/>
              <w:bottom w:val="nil"/>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r w:rsidRPr="00124B49">
              <w:rPr>
                <w:rFonts w:ascii="Times New Roman" w:hAnsi="Times New Roman"/>
                <w:sz w:val="21"/>
                <w:szCs w:val="21"/>
              </w:rPr>
              <w:t>7310.82 (2845.36-7480.81)</w:t>
            </w:r>
          </w:p>
        </w:tc>
        <w:tc>
          <w:tcPr>
            <w:tcW w:w="1155" w:type="dxa"/>
            <w:tcBorders>
              <w:top w:val="nil"/>
              <w:left w:val="nil"/>
              <w:bottom w:val="nil"/>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r w:rsidRPr="00124B49">
              <w:rPr>
                <w:rFonts w:ascii="Times New Roman" w:hAnsi="Times New Roman"/>
                <w:sz w:val="21"/>
                <w:szCs w:val="21"/>
              </w:rPr>
              <w:t>9(10.23%)</w:t>
            </w:r>
          </w:p>
        </w:tc>
        <w:tc>
          <w:tcPr>
            <w:tcW w:w="1181" w:type="dxa"/>
            <w:tcBorders>
              <w:top w:val="nil"/>
              <w:left w:val="nil"/>
              <w:bottom w:val="nil"/>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r w:rsidRPr="00124B49">
              <w:rPr>
                <w:rFonts w:ascii="Times New Roman" w:hAnsi="Times New Roman"/>
                <w:sz w:val="21"/>
                <w:szCs w:val="21"/>
              </w:rPr>
              <w:t>2841.90 (115.73-7480.81)</w:t>
            </w:r>
          </w:p>
        </w:tc>
        <w:tc>
          <w:tcPr>
            <w:tcW w:w="55" w:type="dxa"/>
            <w:tcBorders>
              <w:top w:val="nil"/>
              <w:left w:val="nil"/>
              <w:bottom w:val="nil"/>
              <w:right w:val="nil"/>
            </w:tcBorders>
            <w:vAlign w:val="center"/>
          </w:tcPr>
          <w:p w:rsidR="00AB447A" w:rsidRPr="00124B49" w:rsidRDefault="00AB447A" w:rsidP="005D182A">
            <w:pPr>
              <w:pStyle w:val="MDPI42tablebody"/>
              <w:spacing w:line="240" w:lineRule="auto"/>
              <w:jc w:val="left"/>
              <w:rPr>
                <w:rFonts w:ascii="Times New Roman" w:hAnsi="Times New Roman"/>
                <w:sz w:val="21"/>
                <w:szCs w:val="21"/>
              </w:rPr>
            </w:pPr>
          </w:p>
        </w:tc>
        <w:tc>
          <w:tcPr>
            <w:tcW w:w="1349" w:type="dxa"/>
            <w:tcBorders>
              <w:top w:val="nil"/>
              <w:left w:val="nil"/>
              <w:bottom w:val="nil"/>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r w:rsidRPr="00124B49">
              <w:rPr>
                <w:rFonts w:ascii="Times New Roman" w:hAnsi="Times New Roman"/>
                <w:sz w:val="21"/>
                <w:szCs w:val="21"/>
              </w:rPr>
              <w:t>13(14.77%)</w:t>
            </w:r>
          </w:p>
        </w:tc>
        <w:tc>
          <w:tcPr>
            <w:tcW w:w="1068" w:type="dxa"/>
            <w:tcBorders>
              <w:top w:val="nil"/>
              <w:left w:val="nil"/>
              <w:bottom w:val="nil"/>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r w:rsidRPr="00124B49">
              <w:rPr>
                <w:rFonts w:ascii="Times New Roman" w:hAnsi="Times New Roman"/>
                <w:sz w:val="21"/>
                <w:szCs w:val="21"/>
              </w:rPr>
              <w:t>2128.93 (1095.79-7480.81)</w:t>
            </w:r>
          </w:p>
        </w:tc>
        <w:tc>
          <w:tcPr>
            <w:tcW w:w="1349" w:type="dxa"/>
            <w:tcBorders>
              <w:top w:val="nil"/>
              <w:left w:val="nil"/>
              <w:bottom w:val="nil"/>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r w:rsidRPr="00124B49">
              <w:rPr>
                <w:rFonts w:ascii="Times New Roman" w:hAnsi="Times New Roman"/>
                <w:sz w:val="21"/>
                <w:szCs w:val="21"/>
              </w:rPr>
              <w:t>8(9.09%)</w:t>
            </w:r>
          </w:p>
        </w:tc>
        <w:tc>
          <w:tcPr>
            <w:tcW w:w="1068" w:type="dxa"/>
            <w:tcBorders>
              <w:top w:val="nil"/>
              <w:left w:val="nil"/>
              <w:bottom w:val="nil"/>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r w:rsidRPr="00124B49">
              <w:rPr>
                <w:rFonts w:ascii="Times New Roman" w:hAnsi="Times New Roman"/>
                <w:sz w:val="21"/>
                <w:szCs w:val="21"/>
              </w:rPr>
              <w:t>5938.65 (5612.85-6324.19)</w:t>
            </w:r>
          </w:p>
        </w:tc>
      </w:tr>
      <w:tr w:rsidR="00AB447A" w:rsidRPr="009E5DC2" w:rsidTr="00AB447A">
        <w:trPr>
          <w:trHeight w:val="224"/>
          <w:jc w:val="center"/>
        </w:trPr>
        <w:tc>
          <w:tcPr>
            <w:tcW w:w="1438" w:type="dxa"/>
            <w:tcBorders>
              <w:top w:val="nil"/>
              <w:left w:val="nil"/>
              <w:bottom w:val="single" w:sz="8" w:space="0" w:color="auto"/>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bookmarkStart w:id="3" w:name="_Hlk62029879"/>
            <w:r w:rsidRPr="00124B49">
              <w:rPr>
                <w:rFonts w:ascii="Times New Roman" w:hAnsi="Times New Roman"/>
                <w:sz w:val="21"/>
                <w:szCs w:val="21"/>
              </w:rPr>
              <w:t xml:space="preserve">Neonatal </w:t>
            </w:r>
            <w:proofErr w:type="spellStart"/>
            <w:r w:rsidRPr="00124B49">
              <w:rPr>
                <w:rFonts w:ascii="Times New Roman" w:hAnsi="Times New Roman"/>
                <w:sz w:val="21"/>
                <w:szCs w:val="21"/>
              </w:rPr>
              <w:t>Paediatrics</w:t>
            </w:r>
            <w:bookmarkEnd w:id="3"/>
            <w:proofErr w:type="spellEnd"/>
          </w:p>
        </w:tc>
        <w:tc>
          <w:tcPr>
            <w:tcW w:w="1349" w:type="dxa"/>
            <w:tcBorders>
              <w:top w:val="nil"/>
              <w:left w:val="nil"/>
              <w:bottom w:val="single" w:sz="8" w:space="0" w:color="auto"/>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r w:rsidRPr="00124B49">
              <w:rPr>
                <w:rFonts w:ascii="Times New Roman" w:hAnsi="Times New Roman"/>
                <w:sz w:val="21"/>
                <w:szCs w:val="21"/>
              </w:rPr>
              <w:t>6(6.06%)</w:t>
            </w:r>
          </w:p>
        </w:tc>
        <w:tc>
          <w:tcPr>
            <w:tcW w:w="1074" w:type="dxa"/>
            <w:tcBorders>
              <w:top w:val="nil"/>
              <w:left w:val="nil"/>
              <w:bottom w:val="single" w:sz="8" w:space="0" w:color="auto"/>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r w:rsidRPr="00124B49">
              <w:rPr>
                <w:rFonts w:ascii="Times New Roman" w:hAnsi="Times New Roman"/>
                <w:sz w:val="21"/>
                <w:szCs w:val="21"/>
              </w:rPr>
              <w:t>3133.93 (994.51-6206.31)</w:t>
            </w:r>
          </w:p>
        </w:tc>
        <w:tc>
          <w:tcPr>
            <w:tcW w:w="1155" w:type="dxa"/>
            <w:tcBorders>
              <w:top w:val="nil"/>
              <w:left w:val="nil"/>
              <w:bottom w:val="single" w:sz="8" w:space="0" w:color="auto"/>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r w:rsidRPr="00124B49">
              <w:rPr>
                <w:rFonts w:ascii="Times New Roman" w:hAnsi="Times New Roman"/>
                <w:sz w:val="21"/>
                <w:szCs w:val="21"/>
              </w:rPr>
              <w:t>13(13.13%)</w:t>
            </w:r>
          </w:p>
        </w:tc>
        <w:tc>
          <w:tcPr>
            <w:tcW w:w="1181" w:type="dxa"/>
            <w:tcBorders>
              <w:top w:val="nil"/>
              <w:left w:val="nil"/>
              <w:bottom w:val="single" w:sz="8" w:space="0" w:color="auto"/>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r w:rsidRPr="00124B49">
              <w:rPr>
                <w:rFonts w:ascii="Times New Roman" w:hAnsi="Times New Roman"/>
                <w:sz w:val="21"/>
                <w:szCs w:val="21"/>
              </w:rPr>
              <w:t>2229.50 (260.86-4400.51)</w:t>
            </w:r>
          </w:p>
        </w:tc>
        <w:tc>
          <w:tcPr>
            <w:tcW w:w="55" w:type="dxa"/>
            <w:tcBorders>
              <w:top w:val="nil"/>
              <w:left w:val="nil"/>
              <w:bottom w:val="single" w:sz="8" w:space="0" w:color="auto"/>
              <w:right w:val="nil"/>
            </w:tcBorders>
            <w:vAlign w:val="center"/>
          </w:tcPr>
          <w:p w:rsidR="00AB447A" w:rsidRPr="00124B49" w:rsidRDefault="00AB447A" w:rsidP="005D182A">
            <w:pPr>
              <w:pStyle w:val="MDPI42tablebody"/>
              <w:spacing w:line="240" w:lineRule="auto"/>
              <w:jc w:val="left"/>
              <w:rPr>
                <w:rFonts w:ascii="Times New Roman" w:hAnsi="Times New Roman"/>
                <w:sz w:val="21"/>
                <w:szCs w:val="21"/>
              </w:rPr>
            </w:pPr>
          </w:p>
        </w:tc>
        <w:tc>
          <w:tcPr>
            <w:tcW w:w="1349" w:type="dxa"/>
            <w:tcBorders>
              <w:top w:val="nil"/>
              <w:left w:val="nil"/>
              <w:bottom w:val="single" w:sz="8" w:space="0" w:color="auto"/>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r w:rsidRPr="00124B49">
              <w:rPr>
                <w:rFonts w:ascii="Times New Roman" w:hAnsi="Times New Roman"/>
                <w:sz w:val="21"/>
                <w:szCs w:val="21"/>
              </w:rPr>
              <w:t>64(64.65%)</w:t>
            </w:r>
          </w:p>
        </w:tc>
        <w:tc>
          <w:tcPr>
            <w:tcW w:w="1068" w:type="dxa"/>
            <w:tcBorders>
              <w:top w:val="nil"/>
              <w:left w:val="nil"/>
              <w:bottom w:val="single" w:sz="8" w:space="0" w:color="auto"/>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r w:rsidRPr="00124B49">
              <w:rPr>
                <w:rFonts w:ascii="Times New Roman" w:hAnsi="Times New Roman"/>
                <w:sz w:val="21"/>
                <w:szCs w:val="21"/>
              </w:rPr>
              <w:t>1968.64 (1968.64-1968.64)</w:t>
            </w:r>
          </w:p>
        </w:tc>
        <w:tc>
          <w:tcPr>
            <w:tcW w:w="1349" w:type="dxa"/>
            <w:tcBorders>
              <w:top w:val="nil"/>
              <w:left w:val="nil"/>
              <w:bottom w:val="single" w:sz="8" w:space="0" w:color="auto"/>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r w:rsidRPr="00124B49">
              <w:rPr>
                <w:rFonts w:ascii="Times New Roman" w:hAnsi="Times New Roman"/>
                <w:sz w:val="21"/>
                <w:szCs w:val="21"/>
              </w:rPr>
              <w:t>1(1.01%)</w:t>
            </w:r>
          </w:p>
        </w:tc>
        <w:tc>
          <w:tcPr>
            <w:tcW w:w="1068" w:type="dxa"/>
            <w:tcBorders>
              <w:top w:val="nil"/>
              <w:left w:val="nil"/>
              <w:bottom w:val="single" w:sz="8" w:space="0" w:color="auto"/>
              <w:right w:val="nil"/>
            </w:tcBorders>
            <w:vAlign w:val="center"/>
            <w:hideMark/>
          </w:tcPr>
          <w:p w:rsidR="00AB447A" w:rsidRPr="00124B49" w:rsidRDefault="00AB447A" w:rsidP="005D182A">
            <w:pPr>
              <w:pStyle w:val="MDPI42tablebody"/>
              <w:spacing w:line="240" w:lineRule="auto"/>
              <w:jc w:val="left"/>
              <w:rPr>
                <w:rFonts w:ascii="Times New Roman" w:hAnsi="Times New Roman"/>
                <w:sz w:val="21"/>
                <w:szCs w:val="21"/>
              </w:rPr>
            </w:pPr>
            <w:r w:rsidRPr="00124B49">
              <w:rPr>
                <w:rFonts w:ascii="Times New Roman" w:hAnsi="Times New Roman"/>
                <w:sz w:val="21"/>
                <w:szCs w:val="21"/>
              </w:rPr>
              <w:t>2191.15 (2191.15-2191.15)</w:t>
            </w:r>
          </w:p>
        </w:tc>
        <w:bookmarkEnd w:id="2"/>
      </w:tr>
    </w:tbl>
    <w:p w:rsidR="00AB447A" w:rsidRDefault="00AB447A" w:rsidP="00AB447A">
      <w:pPr>
        <w:jc w:val="center"/>
        <w:rPr>
          <w:rFonts w:ascii="Times New Roman" w:hAnsi="Times New Roman"/>
          <w:b/>
          <w:bCs/>
          <w:sz w:val="24"/>
          <w:szCs w:val="24"/>
        </w:rPr>
      </w:pPr>
    </w:p>
    <w:p w:rsidR="00AB447A" w:rsidRDefault="00AB447A" w:rsidP="00AB447A">
      <w:pPr>
        <w:jc w:val="center"/>
        <w:rPr>
          <w:rFonts w:ascii="Times New Roman" w:hAnsi="Times New Roman"/>
          <w:b/>
          <w:bCs/>
          <w:sz w:val="24"/>
          <w:szCs w:val="24"/>
        </w:rPr>
      </w:pPr>
    </w:p>
    <w:p w:rsidR="00AB447A" w:rsidRDefault="00AB447A" w:rsidP="00AB447A">
      <w:pPr>
        <w:jc w:val="center"/>
        <w:rPr>
          <w:rFonts w:ascii="Times New Roman" w:hAnsi="Times New Roman"/>
          <w:b/>
          <w:bCs/>
          <w:sz w:val="24"/>
          <w:szCs w:val="24"/>
        </w:rPr>
      </w:pPr>
    </w:p>
    <w:p w:rsidR="00AB447A" w:rsidRDefault="00AB447A" w:rsidP="00AB447A">
      <w:pPr>
        <w:jc w:val="center"/>
        <w:rPr>
          <w:rFonts w:ascii="Times New Roman" w:hAnsi="Times New Roman"/>
          <w:b/>
          <w:bCs/>
          <w:sz w:val="24"/>
          <w:szCs w:val="24"/>
        </w:rPr>
      </w:pPr>
    </w:p>
    <w:p w:rsidR="003874C0" w:rsidRDefault="00185021" w:rsidP="00AB447A">
      <w:pPr>
        <w:jc w:val="left"/>
      </w:pPr>
    </w:p>
    <w:sectPr w:rsidR="003874C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24A38" w:rsidRDefault="00124A38" w:rsidP="00124A38">
      <w:r>
        <w:separator/>
      </w:r>
    </w:p>
  </w:endnote>
  <w:endnote w:type="continuationSeparator" w:id="0">
    <w:p w:rsidR="00124A38" w:rsidRDefault="00124A38" w:rsidP="00124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24A38" w:rsidRDefault="00124A38" w:rsidP="00124A38">
      <w:r>
        <w:separator/>
      </w:r>
    </w:p>
  </w:footnote>
  <w:footnote w:type="continuationSeparator" w:id="0">
    <w:p w:rsidR="00124A38" w:rsidRDefault="00124A38" w:rsidP="00124A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47A"/>
    <w:rsid w:val="00124A38"/>
    <w:rsid w:val="00185021"/>
    <w:rsid w:val="0037454C"/>
    <w:rsid w:val="006A16F0"/>
    <w:rsid w:val="006C4498"/>
    <w:rsid w:val="008A4D57"/>
    <w:rsid w:val="0096254B"/>
    <w:rsid w:val="00AB447A"/>
    <w:rsid w:val="00BF1028"/>
    <w:rsid w:val="00C44A7A"/>
    <w:rsid w:val="00C73818"/>
    <w:rsid w:val="00EE53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77484C"/>
  <w15:chartTrackingRefBased/>
  <w15:docId w15:val="{8401617B-BBDD-4646-998B-5E094FD79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447A"/>
    <w:pPr>
      <w:ind w:firstLineChars="200" w:firstLine="420"/>
    </w:pPr>
    <w:rPr>
      <w:rFonts w:ascii="Calibri" w:eastAsia="宋体" w:hAnsi="Calibri" w:cs="Times New Roman"/>
    </w:rPr>
  </w:style>
  <w:style w:type="paragraph" w:customStyle="1" w:styleId="MDPI42tablebody">
    <w:name w:val="MDPI_4.2_table_body"/>
    <w:qFormat/>
    <w:rsid w:val="00AB447A"/>
    <w:pPr>
      <w:adjustRightInd w:val="0"/>
      <w:snapToGrid w:val="0"/>
      <w:spacing w:line="260" w:lineRule="atLeast"/>
      <w:jc w:val="center"/>
    </w:pPr>
    <w:rPr>
      <w:rFonts w:ascii="Palatino Linotype" w:eastAsia="Times New Roman" w:hAnsi="Palatino Linotype" w:cs="Times New Roman"/>
      <w:snapToGrid w:val="0"/>
      <w:color w:val="000000"/>
      <w:kern w:val="0"/>
      <w:sz w:val="20"/>
      <w:szCs w:val="20"/>
      <w:lang w:eastAsia="de-DE" w:bidi="en-US"/>
    </w:rPr>
  </w:style>
  <w:style w:type="paragraph" w:styleId="a4">
    <w:name w:val="header"/>
    <w:basedOn w:val="a"/>
    <w:link w:val="a5"/>
    <w:uiPriority w:val="99"/>
    <w:unhideWhenUsed/>
    <w:rsid w:val="00124A38"/>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124A38"/>
    <w:rPr>
      <w:sz w:val="18"/>
      <w:szCs w:val="18"/>
    </w:rPr>
  </w:style>
  <w:style w:type="paragraph" w:styleId="a6">
    <w:name w:val="footer"/>
    <w:basedOn w:val="a"/>
    <w:link w:val="a7"/>
    <w:uiPriority w:val="99"/>
    <w:unhideWhenUsed/>
    <w:rsid w:val="00124A38"/>
    <w:pPr>
      <w:tabs>
        <w:tab w:val="center" w:pos="4153"/>
        <w:tab w:val="right" w:pos="8306"/>
      </w:tabs>
      <w:snapToGrid w:val="0"/>
      <w:jc w:val="left"/>
    </w:pPr>
    <w:rPr>
      <w:sz w:val="18"/>
      <w:szCs w:val="18"/>
    </w:rPr>
  </w:style>
  <w:style w:type="character" w:customStyle="1" w:styleId="a7">
    <w:name w:val="页脚 字符"/>
    <w:basedOn w:val="a0"/>
    <w:link w:val="a6"/>
    <w:uiPriority w:val="99"/>
    <w:rsid w:val="00124A3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640</Words>
  <Characters>3651</Characters>
  <Application>Microsoft Office Word</Application>
  <DocSecurity>0</DocSecurity>
  <Lines>30</Lines>
  <Paragraphs>8</Paragraphs>
  <ScaleCrop>false</ScaleCrop>
  <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SFY</dc:creator>
  <cp:keywords/>
  <dc:description/>
  <cp:lastModifiedBy>SFY</cp:lastModifiedBy>
  <cp:revision>8</cp:revision>
  <dcterms:created xsi:type="dcterms:W3CDTF">2023-01-09T09:10:00Z</dcterms:created>
  <dcterms:modified xsi:type="dcterms:W3CDTF">2023-03-31T06:52:00Z</dcterms:modified>
</cp:coreProperties>
</file>