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07C176" w14:textId="77777777" w:rsidR="00007370" w:rsidRPr="00AB0124" w:rsidRDefault="00007370" w:rsidP="00007370">
      <w:pPr>
        <w:pStyle w:val="Heading4"/>
        <w:rPr>
          <w:color w:val="000000" w:themeColor="text1"/>
        </w:rPr>
      </w:pPr>
      <w:r w:rsidRPr="00AB0124">
        <w:rPr>
          <w:color w:val="000000" w:themeColor="text1"/>
        </w:rPr>
        <w:t xml:space="preserve">Supplementary </w:t>
      </w:r>
      <w:r>
        <w:rPr>
          <w:color w:val="000000" w:themeColor="text1"/>
        </w:rPr>
        <w:t>Materials</w:t>
      </w:r>
    </w:p>
    <w:p w14:paraId="0B95C3E8" w14:textId="77777777" w:rsidR="00007370" w:rsidRPr="00AB0124" w:rsidRDefault="00007370" w:rsidP="00007370">
      <w:pPr>
        <w:pStyle w:val="FirstParagraph"/>
        <w:jc w:val="both"/>
        <w:rPr>
          <w:color w:val="000000" w:themeColor="text1"/>
        </w:rPr>
      </w:pPr>
      <w:r w:rsidRPr="00AB0124">
        <w:rPr>
          <w:b/>
          <w:bCs/>
          <w:color w:val="000000" w:themeColor="text1"/>
        </w:rPr>
        <w:t>Supplementary Figure 1.</w:t>
      </w:r>
      <w:r w:rsidRPr="00AB0124">
        <w:rPr>
          <w:color w:val="000000" w:themeColor="text1"/>
        </w:rPr>
        <w:t xml:space="preserve"> Illustration of the Overlapping patterns of annotation groups in </w:t>
      </w:r>
      <w:proofErr w:type="gramStart"/>
      <w:r w:rsidRPr="00AB0124">
        <w:rPr>
          <w:color w:val="000000" w:themeColor="text1"/>
        </w:rPr>
        <w:t>the simulation</w:t>
      </w:r>
      <w:proofErr w:type="gramEnd"/>
      <w:r w:rsidRPr="00AB0124">
        <w:rPr>
          <w:color w:val="000000" w:themeColor="text1"/>
        </w:rPr>
        <w:t xml:space="preserve"> studies. The </w:t>
      </w:r>
      <m:oMath>
        <m:r>
          <m:rPr>
            <m:sty m:val="p"/>
          </m:rPr>
          <w:rPr>
            <w:rFonts w:ascii="Cambria Math" w:hAnsi="Cambria Math"/>
            <w:color w:val="000000" w:themeColor="text1"/>
          </w:rPr>
          <m:t>(</m:t>
        </m:r>
        <m:r>
          <w:rPr>
            <w:rFonts w:ascii="Cambria Math" w:hAnsi="Cambria Math"/>
            <w:color w:val="000000" w:themeColor="text1"/>
          </w:rPr>
          <m:t>i</m:t>
        </m:r>
        <m:r>
          <m:rPr>
            <m:sty m:val="p"/>
          </m:rPr>
          <w:rPr>
            <w:rFonts w:ascii="Cambria Math" w:hAnsi="Cambria Math"/>
            <w:color w:val="000000" w:themeColor="text1"/>
          </w:rPr>
          <m:t>,</m:t>
        </m:r>
        <m:r>
          <w:rPr>
            <w:rFonts w:ascii="Cambria Math" w:hAnsi="Cambria Math"/>
            <w:color w:val="000000" w:themeColor="text1"/>
          </w:rPr>
          <m:t>j</m:t>
        </m:r>
        <m:r>
          <m:rPr>
            <m:sty m:val="p"/>
          </m:rPr>
          <w:rPr>
            <w:rFonts w:ascii="Cambria Math" w:hAnsi="Cambria Math"/>
            <w:color w:val="000000" w:themeColor="text1"/>
          </w:rPr>
          <m:t>)</m:t>
        </m:r>
      </m:oMath>
      <w:r w:rsidRPr="00AB0124">
        <w:rPr>
          <w:color w:val="000000" w:themeColor="text1"/>
        </w:rPr>
        <w:t xml:space="preserve">th element in the </w:t>
      </w:r>
      <m:oMath>
        <m:r>
          <w:rPr>
            <w:rFonts w:ascii="Cambria Math" w:hAnsi="Cambria Math"/>
            <w:color w:val="000000" w:themeColor="text1"/>
          </w:rPr>
          <m:t>K</m:t>
        </m:r>
        <m:r>
          <m:rPr>
            <m:sty m:val="p"/>
          </m:rPr>
          <w:rPr>
            <w:rFonts w:ascii="Cambria Math" w:hAnsi="Cambria Math"/>
            <w:color w:val="000000" w:themeColor="text1"/>
          </w:rPr>
          <m:t>×</m:t>
        </m:r>
        <m:r>
          <w:rPr>
            <w:rFonts w:ascii="Cambria Math" w:hAnsi="Cambria Math"/>
            <w:color w:val="000000" w:themeColor="text1"/>
          </w:rPr>
          <m:t>K</m:t>
        </m:r>
      </m:oMath>
      <w:r w:rsidRPr="00AB0124">
        <w:rPr>
          <w:color w:val="000000" w:themeColor="text1"/>
        </w:rPr>
        <w:t xml:space="preserve"> matrix represents the intersection over union (IOU) metric for the </w:t>
      </w:r>
      <m:oMath>
        <m:r>
          <w:rPr>
            <w:rFonts w:ascii="Cambria Math" w:hAnsi="Cambria Math"/>
            <w:color w:val="000000" w:themeColor="text1"/>
          </w:rPr>
          <m:t>i</m:t>
        </m:r>
      </m:oMath>
      <w:r w:rsidRPr="00AB0124">
        <w:rPr>
          <w:color w:val="000000" w:themeColor="text1"/>
        </w:rPr>
        <w:t xml:space="preserve">th and </w:t>
      </w:r>
      <m:oMath>
        <m:r>
          <w:rPr>
            <w:rFonts w:ascii="Cambria Math" w:hAnsi="Cambria Math"/>
            <w:color w:val="000000" w:themeColor="text1"/>
          </w:rPr>
          <m:t>j</m:t>
        </m:r>
      </m:oMath>
      <w:r w:rsidRPr="00AB0124">
        <w:rPr>
          <w:color w:val="000000" w:themeColor="text1"/>
        </w:rPr>
        <w:t xml:space="preserve">th annotation group. Suppose </w:t>
      </w:r>
      <m:oMath>
        <m:r>
          <w:rPr>
            <w:rFonts w:ascii="Cambria Math" w:hAnsi="Cambria Math"/>
            <w:color w:val="000000" w:themeColor="text1"/>
          </w:rPr>
          <m:t>K</m:t>
        </m:r>
        <m:r>
          <m:rPr>
            <m:sty m:val="p"/>
          </m:rPr>
          <w:rPr>
            <w:rFonts w:ascii="Cambria Math" w:hAnsi="Cambria Math"/>
            <w:color w:val="000000" w:themeColor="text1"/>
          </w:rPr>
          <m:t>=</m:t>
        </m:r>
        <m:r>
          <w:rPr>
            <w:rFonts w:ascii="Cambria Math" w:hAnsi="Cambria Math"/>
            <w:color w:val="000000" w:themeColor="text1"/>
          </w:rPr>
          <m:t>4</m:t>
        </m:r>
      </m:oMath>
      <w:r w:rsidRPr="00AB0124">
        <w:rPr>
          <w:color w:val="000000" w:themeColor="text1"/>
        </w:rPr>
        <w:t xml:space="preserve"> and each annotation group (</w:t>
      </w:r>
      <m:oMath>
        <m:r>
          <w:rPr>
            <w:rFonts w:ascii="Cambria Math" w:hAnsi="Cambria Math"/>
            <w:color w:val="000000" w:themeColor="text1"/>
          </w:rPr>
          <m:t>K1</m:t>
        </m:r>
      </m:oMath>
      <w:r w:rsidRPr="00AB0124">
        <w:rPr>
          <w:color w:val="000000" w:themeColor="text1"/>
        </w:rPr>
        <w:t>,</w:t>
      </w:r>
      <m:oMath>
        <m:r>
          <w:rPr>
            <w:rFonts w:ascii="Cambria Math" w:hAnsi="Cambria Math"/>
            <w:color w:val="000000" w:themeColor="text1"/>
          </w:rPr>
          <m:t>K2</m:t>
        </m:r>
      </m:oMath>
      <w:r w:rsidRPr="00AB0124">
        <w:rPr>
          <w:color w:val="000000" w:themeColor="text1"/>
        </w:rPr>
        <w:t>,</w:t>
      </w:r>
      <m:oMath>
        <m:r>
          <w:rPr>
            <w:rFonts w:ascii="Cambria Math" w:hAnsi="Cambria Math"/>
            <w:color w:val="000000" w:themeColor="text1"/>
          </w:rPr>
          <m:t>K3</m:t>
        </m:r>
      </m:oMath>
      <w:r w:rsidRPr="00AB0124">
        <w:rPr>
          <w:color w:val="000000" w:themeColor="text1"/>
        </w:rPr>
        <w:t>,</w:t>
      </w:r>
      <m:oMath>
        <m:r>
          <w:rPr>
            <w:rFonts w:ascii="Cambria Math" w:hAnsi="Cambria Math"/>
            <w:color w:val="000000" w:themeColor="text1"/>
          </w:rPr>
          <m:t>K4</m:t>
        </m:r>
      </m:oMath>
      <w:r w:rsidRPr="00AB0124">
        <w:rPr>
          <w:color w:val="000000" w:themeColor="text1"/>
        </w:rPr>
        <w:t>) contributes to 0, 0, 10%, 90% of the total heritability respectively. Left: The non-overlapping pattern assumes the sets of genetic variants in each annotation group are mutually exclusive; Middle: Overlapping pattern I assumes a higher IOU among the annotation groups with low heritability contribution; Right: Overlapping pattern II assumes a higher IOU among the annotation groups with high heritability contribution.</w:t>
      </w:r>
    </w:p>
    <w:p w14:paraId="0B894E76" w14:textId="77777777" w:rsidR="00007370" w:rsidRPr="00AB0124" w:rsidRDefault="00007370" w:rsidP="00007370">
      <w:pPr>
        <w:pStyle w:val="BodyText"/>
        <w:rPr>
          <w:color w:val="000000" w:themeColor="text1"/>
        </w:rPr>
      </w:pPr>
      <w:r w:rsidRPr="00AB0124">
        <w:rPr>
          <w:noProof/>
          <w:color w:val="000000" w:themeColor="text1"/>
        </w:rPr>
        <w:drawing>
          <wp:inline distT="0" distB="0" distL="0" distR="0" wp14:anchorId="30E8026A" wp14:editId="4FB171DA">
            <wp:extent cx="5334000" cy="1600199"/>
            <wp:effectExtent l="0" t="0" r="0" b="0"/>
            <wp:docPr id="6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D:/GoUS/GSRA/project_2019_crossPRS/00_writeup/sf1_overlap_pattern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1600199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D93BAAB" w14:textId="77777777" w:rsidR="00007370" w:rsidRDefault="00007370" w:rsidP="00007370">
      <w:p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br w:type="page"/>
      </w:r>
    </w:p>
    <w:p w14:paraId="176CF5A2" w14:textId="77777777" w:rsidR="00007370" w:rsidRPr="00AB0124" w:rsidRDefault="00007370" w:rsidP="00007370">
      <w:pPr>
        <w:pStyle w:val="BodyText"/>
        <w:rPr>
          <w:color w:val="000000" w:themeColor="text1"/>
        </w:rPr>
      </w:pPr>
      <w:r w:rsidRPr="00AB0124">
        <w:rPr>
          <w:b/>
          <w:bCs/>
          <w:color w:val="000000" w:themeColor="text1"/>
        </w:rPr>
        <w:lastRenderedPageBreak/>
        <w:t>Supplementary Figure 2.</w:t>
      </w:r>
      <w:r w:rsidRPr="00AB0124">
        <w:rPr>
          <w:color w:val="000000" w:themeColor="text1"/>
        </w:rPr>
        <w:t xml:space="preserve"> Evaluation of </w:t>
      </w:r>
      <m:oMath>
        <m:sSup>
          <m:sSupPr>
            <m:ctrlPr>
              <w:rPr>
                <w:rFonts w:ascii="Cambria Math" w:hAnsi="Cambria Math"/>
                <w:color w:val="000000" w:themeColor="text1"/>
              </w:rPr>
            </m:ctrlPr>
          </m:sSupPr>
          <m:e>
            <m:r>
              <w:rPr>
                <w:rFonts w:ascii="Cambria Math" w:hAnsi="Cambria Math"/>
                <w:color w:val="000000" w:themeColor="text1"/>
              </w:rPr>
              <m:t>R</m:t>
            </m:r>
          </m:e>
          <m:sup>
            <m:r>
              <w:rPr>
                <w:rFonts w:ascii="Cambria Math" w:hAnsi="Cambria Math"/>
                <w:color w:val="000000" w:themeColor="text1"/>
              </w:rPr>
              <m:t>2</m:t>
            </m:r>
          </m:sup>
        </m:sSup>
      </m:oMath>
      <w:r w:rsidRPr="00AB0124">
        <w:rPr>
          <w:color w:val="000000" w:themeColor="text1"/>
        </w:rPr>
        <w:t xml:space="preserve"> from UK Biobank analysis results. Left panel: KEGG functional annotations; Right panel: </w:t>
      </w:r>
      <w:r>
        <w:rPr>
          <w:color w:val="000000" w:themeColor="text1"/>
        </w:rPr>
        <w:t>Gene-based f</w:t>
      </w:r>
      <w:r w:rsidRPr="00AB0124">
        <w:rPr>
          <w:color w:val="000000" w:themeColor="text1"/>
        </w:rPr>
        <w:t xml:space="preserve">unctional annotations from ANNOVAR. </w:t>
      </w:r>
    </w:p>
    <w:p w14:paraId="4A181494" w14:textId="77777777" w:rsidR="00007370" w:rsidRPr="00AB0124" w:rsidRDefault="00007370" w:rsidP="00007370">
      <w:pPr>
        <w:pStyle w:val="BodyText"/>
        <w:rPr>
          <w:color w:val="000000" w:themeColor="text1"/>
        </w:rPr>
      </w:pPr>
      <w:r>
        <w:rPr>
          <w:noProof/>
        </w:rPr>
        <w:drawing>
          <wp:inline distT="0" distB="0" distL="0" distR="0" wp14:anchorId="65698DC3" wp14:editId="1D705C51">
            <wp:extent cx="4743279" cy="6438900"/>
            <wp:effectExtent l="0" t="0" r="635" b="0"/>
            <wp:docPr id="5" name="Picture 5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, box and whisk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7429" cy="64445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DA4B9B" w14:textId="77777777" w:rsidR="00007370" w:rsidRDefault="00007370" w:rsidP="00007370">
      <w:p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br w:type="page"/>
      </w:r>
    </w:p>
    <w:p w14:paraId="09934AFC" w14:textId="77777777" w:rsidR="00007370" w:rsidRPr="00AB0124" w:rsidRDefault="00007370" w:rsidP="00007370">
      <w:pPr>
        <w:pStyle w:val="BodyText"/>
        <w:rPr>
          <w:color w:val="000000" w:themeColor="text1"/>
        </w:rPr>
      </w:pPr>
      <w:r w:rsidRPr="00AB0124">
        <w:rPr>
          <w:b/>
          <w:bCs/>
          <w:color w:val="000000" w:themeColor="text1"/>
        </w:rPr>
        <w:lastRenderedPageBreak/>
        <w:t>Supplementary Figure 3.</w:t>
      </w:r>
      <w:r w:rsidRPr="00AB0124">
        <w:rPr>
          <w:color w:val="000000" w:themeColor="text1"/>
        </w:rPr>
        <w:t xml:space="preserve"> Evaluation of </w:t>
      </w:r>
      <m:oMath>
        <m:sSup>
          <m:sSupPr>
            <m:ctrlPr>
              <w:rPr>
                <w:rFonts w:ascii="Cambria Math" w:hAnsi="Cambria Math"/>
                <w:color w:val="000000" w:themeColor="text1"/>
              </w:rPr>
            </m:ctrlPr>
          </m:sSupPr>
          <m:e>
            <m:r>
              <w:rPr>
                <w:rFonts w:ascii="Cambria Math" w:hAnsi="Cambria Math"/>
                <w:color w:val="000000" w:themeColor="text1"/>
              </w:rPr>
              <m:t>R</m:t>
            </m:r>
          </m:e>
          <m:sup>
            <m:r>
              <w:rPr>
                <w:rFonts w:ascii="Cambria Math" w:hAnsi="Cambria Math"/>
                <w:color w:val="000000" w:themeColor="text1"/>
              </w:rPr>
              <m:t>2</m:t>
            </m:r>
          </m:sup>
        </m:sSup>
      </m:oMath>
      <w:r w:rsidRPr="00AB0124">
        <w:rPr>
          <w:color w:val="000000" w:themeColor="text1"/>
        </w:rPr>
        <w:t xml:space="preserve"> from MGI data analysis results. Left panel: KEGG functional annotations; Right panel: </w:t>
      </w:r>
      <w:r>
        <w:rPr>
          <w:color w:val="000000" w:themeColor="text1"/>
        </w:rPr>
        <w:t>Gene-based f</w:t>
      </w:r>
      <w:r w:rsidRPr="00AB0124">
        <w:rPr>
          <w:color w:val="000000" w:themeColor="text1"/>
        </w:rPr>
        <w:t>unctional annotations from ANNOVAR. a: type II diabetes; b: BMI; c: LDL.</w:t>
      </w:r>
    </w:p>
    <w:p w14:paraId="72B05892" w14:textId="77777777" w:rsidR="00007370" w:rsidRPr="00AB0124" w:rsidRDefault="00007370" w:rsidP="00007370">
      <w:pPr>
        <w:pStyle w:val="BodyText"/>
        <w:rPr>
          <w:color w:val="000000" w:themeColor="text1"/>
        </w:rPr>
      </w:pPr>
      <w:r>
        <w:rPr>
          <w:noProof/>
        </w:rPr>
        <w:drawing>
          <wp:inline distT="0" distB="0" distL="0" distR="0" wp14:anchorId="7A92472B" wp14:editId="58C14238">
            <wp:extent cx="5007106" cy="6797040"/>
            <wp:effectExtent l="0" t="0" r="3175" b="3810"/>
            <wp:docPr id="10" name="Picture 10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Chart, box and whisk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9927" cy="6800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42CDA0" w14:textId="77777777" w:rsidR="00007370" w:rsidRDefault="00007370" w:rsidP="00007370">
      <w:p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br w:type="page"/>
      </w:r>
    </w:p>
    <w:p w14:paraId="07D7653F" w14:textId="77777777" w:rsidR="00007370" w:rsidRPr="00AB0124" w:rsidRDefault="00007370" w:rsidP="00007370">
      <w:pPr>
        <w:pStyle w:val="BodyText"/>
        <w:rPr>
          <w:color w:val="000000" w:themeColor="text1"/>
        </w:rPr>
      </w:pPr>
      <w:r>
        <w:rPr>
          <w:b/>
          <w:bCs/>
          <w:color w:val="000000" w:themeColor="text1"/>
        </w:rPr>
        <w:lastRenderedPageBreak/>
        <w:t xml:space="preserve">Supplementary </w:t>
      </w:r>
      <w:r w:rsidRPr="00AB0124">
        <w:rPr>
          <w:b/>
          <w:bCs/>
          <w:color w:val="000000" w:themeColor="text1"/>
        </w:rPr>
        <w:t xml:space="preserve">Figure </w:t>
      </w:r>
      <w:r>
        <w:rPr>
          <w:b/>
          <w:bCs/>
          <w:color w:val="000000" w:themeColor="text1"/>
        </w:rPr>
        <w:t>4</w:t>
      </w:r>
      <w:r w:rsidRPr="00AB0124">
        <w:rPr>
          <w:b/>
          <w:bCs/>
          <w:color w:val="000000" w:themeColor="text1"/>
        </w:rPr>
        <w:t>.</w:t>
      </w:r>
      <w:r w:rsidRPr="00AB0124">
        <w:rPr>
          <w:color w:val="000000" w:themeColor="text1"/>
        </w:rPr>
        <w:t xml:space="preserve"> Evaluation of </w:t>
      </w:r>
      <w:proofErr w:type="spellStart"/>
      <w:r w:rsidRPr="00AB0124">
        <w:rPr>
          <w:color w:val="000000" w:themeColor="text1"/>
        </w:rPr>
        <w:t>KoGES</w:t>
      </w:r>
      <w:proofErr w:type="spellEnd"/>
      <w:r w:rsidRPr="00AB0124">
        <w:rPr>
          <w:color w:val="000000" w:themeColor="text1"/>
        </w:rPr>
        <w:t xml:space="preserve"> analysis results. Left panel: KEGG functional annotations were used for the analysis of the proposed; Right panel: </w:t>
      </w:r>
      <w:proofErr w:type="spellStart"/>
      <w:r>
        <w:rPr>
          <w:color w:val="000000" w:themeColor="text1"/>
        </w:rPr>
        <w:t>Refseq</w:t>
      </w:r>
      <w:proofErr w:type="spellEnd"/>
      <w:r>
        <w:rPr>
          <w:color w:val="000000" w:themeColor="text1"/>
        </w:rPr>
        <w:t xml:space="preserve"> gene-based f</w:t>
      </w:r>
      <w:r w:rsidRPr="00AB0124">
        <w:rPr>
          <w:color w:val="000000" w:themeColor="text1"/>
        </w:rPr>
        <w:t xml:space="preserve">unctional annotations from ANNOVAR were used for the analysis </w:t>
      </w:r>
      <w:proofErr w:type="spellStart"/>
      <w:r w:rsidRPr="00AB0124">
        <w:rPr>
          <w:color w:val="000000" w:themeColor="text1"/>
        </w:rPr>
        <w:t>of</w:t>
      </w:r>
      <w:r>
        <w:rPr>
          <w:color w:val="000000" w:themeColor="text1"/>
        </w:rPr>
        <w:t>PRSbils</w:t>
      </w:r>
      <w:proofErr w:type="spellEnd"/>
      <w:r w:rsidRPr="00AB0124">
        <w:rPr>
          <w:color w:val="000000" w:themeColor="text1"/>
        </w:rPr>
        <w:t xml:space="preserve">. a: AUC of prediction accuracy for type II diabetes; b: </w:t>
      </w:r>
      <w:proofErr w:type="spellStart"/>
      <w:r w:rsidRPr="00AB0124">
        <w:rPr>
          <w:color w:val="000000" w:themeColor="text1"/>
        </w:rPr>
        <w:t>Efron’s</w:t>
      </w:r>
      <w:proofErr w:type="spellEnd"/>
      <w:r w:rsidRPr="00AB0124">
        <w:rPr>
          <w:color w:val="000000" w:themeColor="text1"/>
        </w:rPr>
        <w:t xml:space="preserve"> pseudo-</w:t>
      </w:r>
      <m:oMath>
        <m:sSup>
          <m:sSupPr>
            <m:ctrlPr>
              <w:rPr>
                <w:rFonts w:ascii="Cambria Math" w:hAnsi="Cambria Math"/>
                <w:color w:val="000000" w:themeColor="text1"/>
              </w:rPr>
            </m:ctrlPr>
          </m:sSupPr>
          <m:e>
            <m:r>
              <w:rPr>
                <w:rFonts w:ascii="Cambria Math" w:hAnsi="Cambria Math"/>
                <w:color w:val="000000" w:themeColor="text1"/>
              </w:rPr>
              <m:t>R</m:t>
            </m:r>
          </m:e>
          <m:sup>
            <m:r>
              <w:rPr>
                <w:rFonts w:ascii="Cambria Math" w:hAnsi="Cambria Math"/>
                <w:color w:val="000000" w:themeColor="text1"/>
              </w:rPr>
              <m:t>2</m:t>
            </m:r>
          </m:sup>
        </m:sSup>
      </m:oMath>
      <w:r w:rsidRPr="00AB0124">
        <w:rPr>
          <w:color w:val="000000" w:themeColor="text1"/>
        </w:rPr>
        <w:t xml:space="preserve"> for type II diabetes.</w:t>
      </w:r>
    </w:p>
    <w:p w14:paraId="6D53C793" w14:textId="77777777" w:rsidR="00007370" w:rsidRPr="00AB0124" w:rsidRDefault="00007370" w:rsidP="00007370">
      <w:pPr>
        <w:pStyle w:val="BodyText"/>
        <w:rPr>
          <w:color w:val="000000" w:themeColor="text1"/>
        </w:rPr>
      </w:pPr>
      <w:r>
        <w:rPr>
          <w:noProof/>
        </w:rPr>
        <w:drawing>
          <wp:inline distT="0" distB="0" distL="0" distR="0" wp14:anchorId="09163317" wp14:editId="33B2BD8B">
            <wp:extent cx="5943600" cy="5377815"/>
            <wp:effectExtent l="0" t="0" r="0" b="0"/>
            <wp:docPr id="3" name="Picture 3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box and whisk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377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AFF282" w14:textId="4E7CF4B2" w:rsidR="00007370" w:rsidRDefault="00007370" w:rsidP="00007370">
      <w:p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br w:type="page"/>
      </w:r>
    </w:p>
    <w:p w14:paraId="43F751B9" w14:textId="11F25008" w:rsidR="00007370" w:rsidRPr="00AB0124" w:rsidRDefault="00007370" w:rsidP="00007370">
      <w:pPr>
        <w:pStyle w:val="BodyText"/>
        <w:jc w:val="both"/>
        <w:rPr>
          <w:color w:val="000000" w:themeColor="text1"/>
        </w:rPr>
      </w:pPr>
      <w:r w:rsidRPr="00AB0124">
        <w:rPr>
          <w:b/>
          <w:bCs/>
          <w:color w:val="000000" w:themeColor="text1"/>
        </w:rPr>
        <w:lastRenderedPageBreak/>
        <w:t>Supplementary Figur</w:t>
      </w:r>
      <w:r w:rsidR="00D4099A">
        <w:rPr>
          <w:b/>
          <w:bCs/>
          <w:color w:val="000000" w:themeColor="text1"/>
        </w:rPr>
        <w:t>e</w:t>
      </w:r>
      <w:r w:rsidRPr="00AB0124">
        <w:rPr>
          <w:b/>
          <w:bCs/>
          <w:color w:val="000000" w:themeColor="text1"/>
        </w:rPr>
        <w:t xml:space="preserve"> </w:t>
      </w:r>
      <w:r w:rsidR="00237B21">
        <w:rPr>
          <w:b/>
          <w:bCs/>
          <w:color w:val="000000" w:themeColor="text1"/>
        </w:rPr>
        <w:t>5</w:t>
      </w:r>
      <w:r w:rsidRPr="00AB0124">
        <w:rPr>
          <w:b/>
          <w:bCs/>
          <w:color w:val="000000" w:themeColor="text1"/>
        </w:rPr>
        <w:t>.</w:t>
      </w:r>
      <w:r w:rsidRPr="00AB0124">
        <w:rPr>
          <w:color w:val="000000" w:themeColor="text1"/>
        </w:rPr>
        <w:t xml:space="preserve"> Comparison of overall shrinkage between the proposed method</w:t>
      </w:r>
      <w:r>
        <w:rPr>
          <w:color w:val="000000" w:themeColor="text1"/>
        </w:rPr>
        <w:t xml:space="preserve"> (</w:t>
      </w:r>
      <w:proofErr w:type="spellStart"/>
      <w:r>
        <w:rPr>
          <w:color w:val="000000" w:themeColor="text1"/>
        </w:rPr>
        <w:t>PRSbils</w:t>
      </w:r>
      <w:proofErr w:type="spellEnd"/>
      <w:r>
        <w:rPr>
          <w:color w:val="000000" w:themeColor="text1"/>
        </w:rPr>
        <w:t>)</w:t>
      </w:r>
      <w:r w:rsidRPr="00AB0124">
        <w:rPr>
          <w:color w:val="000000" w:themeColor="text1"/>
        </w:rPr>
        <w:t xml:space="preserve"> and the benchmark method for type II diabetes across the three data sources (UKB, MGI, </w:t>
      </w:r>
      <w:proofErr w:type="spellStart"/>
      <w:r w:rsidRPr="00AB0124">
        <w:rPr>
          <w:color w:val="000000" w:themeColor="text1"/>
        </w:rPr>
        <w:t>KoGES</w:t>
      </w:r>
      <w:proofErr w:type="spellEnd"/>
      <w:r w:rsidRPr="00AB0124">
        <w:rPr>
          <w:color w:val="000000" w:themeColor="text1"/>
        </w:rPr>
        <w:t xml:space="preserve">). X axis: log of the absolute value of the overall shrinkage from the benchmark method; Y axis: log of the absolute value of the overall shrinkage from </w:t>
      </w:r>
      <w:proofErr w:type="spellStart"/>
      <w:r>
        <w:rPr>
          <w:color w:val="000000" w:themeColor="text1"/>
        </w:rPr>
        <w:t>PRSbils</w:t>
      </w:r>
      <w:proofErr w:type="spellEnd"/>
      <w:r w:rsidRPr="00AB0124">
        <w:rPr>
          <w:color w:val="000000" w:themeColor="text1"/>
        </w:rPr>
        <w:t xml:space="preserve">. Dashed line: diagonal line indicating the same value for the two methods. a: Using KEGG annotation; b: Using </w:t>
      </w:r>
      <w:proofErr w:type="spellStart"/>
      <w:r>
        <w:rPr>
          <w:color w:val="000000" w:themeColor="text1"/>
        </w:rPr>
        <w:t>Refseq</w:t>
      </w:r>
      <w:proofErr w:type="spellEnd"/>
      <w:r>
        <w:rPr>
          <w:color w:val="000000" w:themeColor="text1"/>
        </w:rPr>
        <w:t xml:space="preserve"> gene-based </w:t>
      </w:r>
      <w:r w:rsidRPr="00AB0124">
        <w:rPr>
          <w:color w:val="000000" w:themeColor="text1"/>
        </w:rPr>
        <w:t>annotation.</w:t>
      </w:r>
    </w:p>
    <w:p w14:paraId="020700A6" w14:textId="77777777" w:rsidR="00007370" w:rsidRPr="00AB0124" w:rsidRDefault="00007370" w:rsidP="00007370">
      <w:pPr>
        <w:pStyle w:val="BodyText"/>
        <w:rPr>
          <w:color w:val="000000" w:themeColor="text1"/>
        </w:rPr>
      </w:pPr>
      <w:r w:rsidRPr="00AB0124">
        <w:rPr>
          <w:noProof/>
          <w:color w:val="000000" w:themeColor="text1"/>
        </w:rPr>
        <w:drawing>
          <wp:inline distT="0" distB="0" distL="0" distR="0" wp14:anchorId="3EB9E0FA" wp14:editId="7BF8B6E1">
            <wp:extent cx="5334000" cy="3983330"/>
            <wp:effectExtent l="0" t="0" r="0" b="0"/>
            <wp:docPr id="9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D:/GoUS/GSRA/project_2019_crossPRS/00_writeup/fig/compare_shrinkage_X250.2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398333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312635D" w14:textId="77777777" w:rsidR="00237B21" w:rsidRDefault="00237B21">
      <w:pPr>
        <w:spacing w:after="160" w:line="259" w:lineRule="auto"/>
        <w:rPr>
          <w:color w:val="000000" w:themeColor="text1"/>
        </w:rPr>
      </w:pPr>
      <w:r>
        <w:rPr>
          <w:color w:val="000000" w:themeColor="text1"/>
        </w:rPr>
        <w:br w:type="page"/>
      </w:r>
    </w:p>
    <w:p w14:paraId="337AB4C9" w14:textId="17F5067F" w:rsidR="00237B21" w:rsidRDefault="00237B21" w:rsidP="00237B21">
      <w:pPr>
        <w:pStyle w:val="BodyText"/>
        <w:jc w:val="both"/>
      </w:pPr>
      <w:r>
        <w:rPr>
          <w:b/>
          <w:bCs/>
        </w:rPr>
        <w:lastRenderedPageBreak/>
        <w:t>Supplementary Figure 6.</w:t>
      </w:r>
      <w:r>
        <w:t xml:space="preserve"> Additional evaluation of </w:t>
      </w:r>
      <m:oMath>
        <m:r>
          <w:rPr>
            <w:rFonts w:ascii="Cambria Math" w:hAnsi="Cambria Math"/>
          </w:rPr>
          <m:t>AUC</m:t>
        </m:r>
      </m:oMath>
      <w:r>
        <w:t xml:space="preserve"> from UK Biobank data analysis results for type II diabetes, with functional annotations in the baselineLD model together with KEGG annotations.</w:t>
      </w:r>
    </w:p>
    <w:p w14:paraId="0576603C" w14:textId="77777777" w:rsidR="00237B21" w:rsidRDefault="00237B21" w:rsidP="00237B21">
      <w:pPr>
        <w:pStyle w:val="BodyText"/>
      </w:pPr>
      <w:r>
        <w:rPr>
          <w:noProof/>
        </w:rPr>
        <w:drawing>
          <wp:inline distT="0" distB="0" distL="0" distR="0" wp14:anchorId="29568FC7" wp14:editId="78D67EAF">
            <wp:extent cx="5943600" cy="2444750"/>
            <wp:effectExtent l="0" t="0" r="0" b="0"/>
            <wp:docPr id="17" name="Picture 17" descr="Chart, waterfall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Chart, waterfall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4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B09CFF" w14:textId="2AC42D80" w:rsidR="00007370" w:rsidRDefault="00007370" w:rsidP="00007370">
      <w:pPr>
        <w:rPr>
          <w:color w:val="000000" w:themeColor="text1"/>
        </w:rPr>
      </w:pPr>
      <w:r>
        <w:rPr>
          <w:color w:val="000000" w:themeColor="text1"/>
        </w:rPr>
        <w:br w:type="page"/>
      </w:r>
    </w:p>
    <w:p w14:paraId="4F83C16C" w14:textId="77777777" w:rsidR="00007370" w:rsidRDefault="00007370" w:rsidP="00007370">
      <w:pPr>
        <w:pStyle w:val="BodyText"/>
      </w:pPr>
      <w:r>
        <w:rPr>
          <w:b/>
          <w:bCs/>
        </w:rPr>
        <w:lastRenderedPageBreak/>
        <w:t>Supplementary Figure 7.</w:t>
      </w:r>
      <w:r>
        <w:t xml:space="preserve"> Top 10 KEGG annotations with the highest average group-wise shrinkage from the UKB analysis for three phenotypes: type 2 diabetes, BMI, and LDL. The group-wise shrinkage for annotation group </w:t>
      </w:r>
      <m:oMath>
        <m:r>
          <w:rPr>
            <w:rFonts w:ascii="Cambria Math" w:hAnsi="Cambria Math"/>
          </w:rPr>
          <m:t>k</m:t>
        </m:r>
      </m:oMath>
      <w:r>
        <w:t xml:space="preserve"> was calculated by taking the average of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</w:rPr>
                </m:ctrlPr>
              </m:accPr>
              <m:e>
                <m:r>
                  <w:rPr>
                    <w:rFonts w:ascii="Cambria Math" w:hAnsi="Cambria Math"/>
                  </w:rPr>
                  <m:t>α</m:t>
                </m:r>
              </m:e>
            </m:acc>
          </m:e>
          <m:sub>
            <m:r>
              <w:rPr>
                <w:rFonts w:ascii="Cambria Math" w:hAnsi="Cambria Math"/>
              </w:rPr>
              <m:t>k</m:t>
            </m:r>
          </m:sub>
        </m:sSub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acc>
                  <m:accPr>
                    <m:chr m:val="̃"/>
                    <m:ctrlPr>
                      <w:rPr>
                        <w:rFonts w:ascii="Cambria Math" w:hAnsi="Cambria Math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</w:rPr>
                      <m:t>β</m:t>
                    </m:r>
                  </m:e>
                </m:acc>
              </m:e>
              <m:sub>
                <m:r>
                  <w:rPr>
                    <w:rFonts w:ascii="Cambria Math" w:hAnsi="Cambria Math"/>
                  </w:rPr>
                  <m:t>j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β</m:t>
                </m:r>
              </m:e>
              <m:sub>
                <m:r>
                  <w:rPr>
                    <w:rFonts w:ascii="Cambria Math" w:hAnsi="Cambria Math"/>
                  </w:rPr>
                  <m:t>0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,</m:t>
                </m:r>
                <m:r>
                  <w:rPr>
                    <w:rFonts w:ascii="Cambria Math" w:hAnsi="Cambria Math"/>
                  </w:rPr>
                  <m:t>j</m:t>
                </m:r>
              </m:sub>
            </m:sSub>
          </m:den>
        </m:f>
      </m:oMath>
      <w:r>
        <w:t xml:space="preserve"> for each variant </w:t>
      </w:r>
      <m:oMath>
        <m:r>
          <w:rPr>
            <w:rFonts w:ascii="Cambria Math" w:hAnsi="Cambria Math"/>
          </w:rPr>
          <m:t>j</m:t>
        </m:r>
      </m:oMath>
      <w:r>
        <w:t xml:space="preserve"> within the group.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</w:rPr>
                </m:ctrlPr>
              </m:accPr>
              <m:e>
                <m:r>
                  <w:rPr>
                    <w:rFonts w:ascii="Cambria Math" w:hAnsi="Cambria Math"/>
                  </w:rPr>
                  <m:t>α</m:t>
                </m:r>
              </m:e>
            </m:acc>
          </m:e>
          <m:sub>
            <m:r>
              <w:rPr>
                <w:rFonts w:ascii="Cambria Math" w:hAnsi="Cambria Math"/>
              </w:rPr>
              <m:t>k</m:t>
            </m:r>
          </m:sub>
        </m:sSub>
      </m:oMath>
      <w:r>
        <w:t xml:space="preserve"> is the coefficient estimate from </w:t>
      </w:r>
      <m:oMath>
        <m:r>
          <w:rPr>
            <w:rFonts w:ascii="Cambria Math" w:hAnsi="Cambria Math"/>
          </w:rPr>
          <m:t>PRS</m:t>
        </m:r>
        <m:r>
          <m:rPr>
            <m:sty m:val="p"/>
          </m:rPr>
          <w:rPr>
            <w:rFonts w:ascii="Cambria Math" w:hAnsi="Cambria Math"/>
          </w:rPr>
          <m:t>=</m:t>
        </m:r>
        <m:nary>
          <m:naryPr>
            <m:chr m:val="∑"/>
            <m:limLoc m:val="undOvr"/>
            <m:ctrlPr>
              <w:rPr>
                <w:rFonts w:ascii="Cambria Math" w:hAnsi="Cambria Math"/>
              </w:rPr>
            </m:ctrlPr>
          </m:naryPr>
          <m:sub>
            <m:r>
              <w:rPr>
                <w:rFonts w:ascii="Cambria Math" w:hAnsi="Cambria Math"/>
              </w:rPr>
              <m:t>k</m:t>
            </m:r>
            <m:r>
              <m:rPr>
                <m:sty m:val="p"/>
              </m:rPr>
              <w:rPr>
                <w:rFonts w:ascii="Cambria Math" w:hAnsi="Cambria Math"/>
              </w:rPr>
              <m:t>=</m:t>
            </m:r>
            <m:r>
              <w:rPr>
                <w:rFonts w:ascii="Cambria Math" w:hAnsi="Cambria Math"/>
              </w:rPr>
              <m:t>1</m:t>
            </m:r>
          </m:sub>
          <m:sup>
            <m:r>
              <w:rPr>
                <w:rFonts w:ascii="Cambria Math" w:hAnsi="Cambria Math"/>
              </w:rPr>
              <m:t>K</m:t>
            </m:r>
          </m:sup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α</m:t>
                </m:r>
              </m:e>
              <m:sub>
                <m:r>
                  <w:rPr>
                    <w:rFonts w:ascii="Cambria Math" w:hAnsi="Cambria Math"/>
                  </w:rPr>
                  <m:t>k</m:t>
                </m:r>
              </m:sub>
            </m:sSub>
          </m:e>
        </m:nary>
        <m:r>
          <w:rPr>
            <w:rFonts w:ascii="Cambria Math" w:hAnsi="Cambria Math"/>
          </w:rPr>
          <m:t>PR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k</m:t>
            </m:r>
          </m:sub>
        </m:sSub>
      </m:oMath>
      <w:r>
        <w:t xml:space="preserve">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acc>
              <m:accPr>
                <m:chr m:val="̃"/>
                <m:ctrlPr>
                  <w:rPr>
                    <w:rFonts w:ascii="Cambria Math" w:hAnsi="Cambria Math"/>
                  </w:rPr>
                </m:ctrlPr>
              </m:accPr>
              <m:e>
                <m:r>
                  <w:rPr>
                    <w:rFonts w:ascii="Cambria Math" w:hAnsi="Cambria Math"/>
                  </w:rPr>
                  <m:t>β</m:t>
                </m:r>
              </m:e>
            </m:acc>
          </m:e>
          <m:sub>
            <m:r>
              <w:rPr>
                <w:rFonts w:ascii="Cambria Math" w:hAnsi="Cambria Math"/>
              </w:rPr>
              <m:t>j</m:t>
            </m:r>
          </m:sub>
        </m:sSub>
      </m:oMath>
      <w:r>
        <w:t xml:space="preserve"> is the adjusted genetic effect from PRSbils,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0</m:t>
            </m:r>
            <m:r>
              <m:rPr>
                <m:sty m:val="p"/>
              </m:rPr>
              <w:rPr>
                <w:rFonts w:ascii="Cambria Math" w:hAnsi="Cambria Math"/>
              </w:rPr>
              <m:t>,</m:t>
            </m:r>
            <m:r>
              <w:rPr>
                <w:rFonts w:ascii="Cambria Math" w:hAnsi="Cambria Math"/>
              </w:rPr>
              <m:t>j</m:t>
            </m:r>
          </m:sub>
        </m:sSub>
      </m:oMath>
      <w:r>
        <w:t xml:space="preserve"> is the original genetic effect from the summary statistics.</w:t>
      </w:r>
    </w:p>
    <w:p w14:paraId="0CA03477" w14:textId="77777777" w:rsidR="00007370" w:rsidRDefault="00007370" w:rsidP="00007370">
      <w:pPr>
        <w:rPr>
          <w:color w:val="000000" w:themeColor="text1"/>
        </w:rPr>
      </w:pPr>
      <w:r>
        <w:rPr>
          <w:noProof/>
        </w:rPr>
        <w:lastRenderedPageBreak/>
        <w:drawing>
          <wp:inline distT="0" distB="0" distL="0" distR="0" wp14:anchorId="0F8CC157" wp14:editId="25E1D3CA">
            <wp:extent cx="3413760" cy="6827520"/>
            <wp:effectExtent l="0" t="0" r="0" b="0"/>
            <wp:docPr id="66" name="Picture" descr="A picture containing char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Picture" descr="A picture containing chart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3760" cy="682752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 w:themeColor="text1"/>
        </w:rPr>
        <w:t xml:space="preserve"> </w:t>
      </w:r>
      <w:r>
        <w:rPr>
          <w:color w:val="000000" w:themeColor="text1"/>
        </w:rPr>
        <w:br w:type="page"/>
      </w:r>
    </w:p>
    <w:p w14:paraId="79095FBE" w14:textId="77777777" w:rsidR="00007370" w:rsidRDefault="00007370" w:rsidP="00007370">
      <w:pPr>
        <w:pStyle w:val="BodyText"/>
        <w:jc w:val="both"/>
      </w:pPr>
      <w:r>
        <w:rPr>
          <w:b/>
          <w:bCs/>
        </w:rPr>
        <w:lastRenderedPageBreak/>
        <w:t>Supplementary Figure 8.</w:t>
      </w:r>
      <w:r>
        <w:t xml:space="preserve"> Comparison of prediction performance with smaller sample size in simulation studies with non-overlapping annotation groups (Settings 1-5), measured by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R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>
        <w:t xml:space="preserve">. A total of M=125,000 SNPs were sampled from the UK Biobank data with 1KG as LD reference panel. Genetic effects were generated using a mixture of point-Normal models with total heritability fixed at 0.7. GWAS results from </w:t>
      </w:r>
      <w:proofErr w:type="spellStart"/>
      <w:r>
        <w:t>N_sumstat</w:t>
      </w:r>
      <w:proofErr w:type="spellEnd"/>
      <w:r>
        <w:t xml:space="preserve">=50,000 simulated individuals were used as summary statistics. Prediction accuracy was evaluated in a test sample of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</w:rPr>
              <m:t>t</m:t>
            </m:r>
          </m:sub>
        </m:sSub>
        <m:r>
          <w:rPr>
            <w:rFonts w:ascii="Cambria Math" w:hAnsi="Cambria Math"/>
          </w:rPr>
          <m:t>est</m:t>
        </m:r>
      </m:oMath>
      <w:r>
        <w:t>=1,000 and 5,000 simulated individuals respectively with 10-fold cross-validation.</w:t>
      </w:r>
    </w:p>
    <w:p w14:paraId="77AAE3CC" w14:textId="77777777" w:rsidR="00007370" w:rsidRDefault="00007370" w:rsidP="00007370">
      <w:pPr>
        <w:pStyle w:val="BodyText"/>
      </w:pPr>
      <w:r>
        <w:rPr>
          <w:noProof/>
        </w:rPr>
        <w:drawing>
          <wp:inline distT="0" distB="0" distL="0" distR="0" wp14:anchorId="6386B42A" wp14:editId="41BA898C">
            <wp:extent cx="5329555" cy="3712210"/>
            <wp:effectExtent l="0" t="0" r="4445" b="2540"/>
            <wp:docPr id="4" name="Picture 4" descr="Chart, bar 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bar chart, box and whisk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9555" cy="3712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F1F8F9" w14:textId="77777777" w:rsidR="00007370" w:rsidRDefault="00007370" w:rsidP="00007370">
      <w:pPr>
        <w:rPr>
          <w:color w:val="000000" w:themeColor="text1"/>
        </w:rPr>
      </w:pPr>
      <w:r>
        <w:rPr>
          <w:color w:val="000000" w:themeColor="text1"/>
        </w:rPr>
        <w:br w:type="page"/>
      </w:r>
    </w:p>
    <w:p w14:paraId="6AE97000" w14:textId="77777777" w:rsidR="00007370" w:rsidRDefault="00007370" w:rsidP="00007370">
      <w:pPr>
        <w:pStyle w:val="BodyText"/>
        <w:jc w:val="both"/>
      </w:pPr>
      <w:r>
        <w:rPr>
          <w:b/>
          <w:bCs/>
        </w:rPr>
        <w:lastRenderedPageBreak/>
        <w:t>Supplementary Figure 9.</w:t>
      </w:r>
      <w:r>
        <w:t xml:space="preserve"> Comparison of prediction performance with random annotation assignment in simulation studies with non-overlapping annotation groups (Settings 1-5), measured by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R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>
        <w:t xml:space="preserve">. A total of M=125,000 SNPs were sampled from the UK Biobank data with 1KG as LD reference panel. Genetic effects were generated using a mixture of point-Normal models with total heritability fixed at 0.7. After the phenotypes were generated using the “true” corresponding annotation assignment for each setting, the variants were then assigned a random “observed” annotation group with equal probability to train and test for prediction performance. GWAS results from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</w:rPr>
              <m:t>sumstat</m:t>
            </m:r>
          </m:sub>
        </m:sSub>
        <m:r>
          <m:rPr>
            <m:sty m:val="p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50</m:t>
        </m:r>
        <m:r>
          <m:rPr>
            <m:sty m:val="p"/>
          </m:rPr>
          <w:rPr>
            <w:rFonts w:ascii="Cambria Math" w:hAnsi="Cambria Math"/>
          </w:rPr>
          <m:t>,</m:t>
        </m:r>
        <m:r>
          <w:rPr>
            <w:rFonts w:ascii="Cambria Math" w:hAnsi="Cambria Math"/>
          </w:rPr>
          <m:t>000</m:t>
        </m:r>
      </m:oMath>
      <w:r>
        <w:t xml:space="preserve"> simulated individuals were used as summary statistics. Prediction accuracy was evaluated in a test sample of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</w:rPr>
              <m:t>test</m:t>
            </m:r>
          </m:sub>
        </m:sSub>
      </m:oMath>
      <w:r>
        <w:t>=24,000 simulated individuals with 10-fold cross-validation.</w:t>
      </w:r>
    </w:p>
    <w:p w14:paraId="187AA078" w14:textId="77777777" w:rsidR="00007370" w:rsidRDefault="00007370" w:rsidP="00007370">
      <w:pPr>
        <w:pStyle w:val="BodyText"/>
      </w:pPr>
    </w:p>
    <w:p w14:paraId="336AE7CC" w14:textId="77777777" w:rsidR="00007370" w:rsidRDefault="00007370" w:rsidP="00007370">
      <w:pPr>
        <w:pStyle w:val="BodyText"/>
      </w:pPr>
      <w:r>
        <w:rPr>
          <w:noProof/>
        </w:rPr>
        <w:drawing>
          <wp:inline distT="0" distB="0" distL="0" distR="0" wp14:anchorId="2C3B94FB" wp14:editId="04CF21DA">
            <wp:extent cx="5943600" cy="19812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4B4C89" w14:textId="77777777" w:rsidR="00007370" w:rsidRDefault="00007370" w:rsidP="00007370">
      <w:pPr>
        <w:pStyle w:val="BodyText"/>
      </w:pPr>
    </w:p>
    <w:p w14:paraId="0EC3EBEE" w14:textId="77777777" w:rsidR="00007370" w:rsidRDefault="00007370" w:rsidP="00007370">
      <w:pPr>
        <w:pStyle w:val="BodyText"/>
      </w:pPr>
    </w:p>
    <w:p w14:paraId="0D3EB9DE" w14:textId="2E06E378" w:rsidR="00BE74E9" w:rsidRDefault="00BE74E9" w:rsidP="00007370"/>
    <w:sectPr w:rsidR="00BE74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370"/>
    <w:rsid w:val="00007370"/>
    <w:rsid w:val="00237B21"/>
    <w:rsid w:val="006763FC"/>
    <w:rsid w:val="00735A8D"/>
    <w:rsid w:val="00894ACF"/>
    <w:rsid w:val="008F04D8"/>
    <w:rsid w:val="009F0AEE"/>
    <w:rsid w:val="00AE78EC"/>
    <w:rsid w:val="00B564EA"/>
    <w:rsid w:val="00BE74E9"/>
    <w:rsid w:val="00C67575"/>
    <w:rsid w:val="00CA297F"/>
    <w:rsid w:val="00D4099A"/>
    <w:rsid w:val="00FF7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2C5753"/>
  <w15:chartTrackingRefBased/>
  <w15:docId w15:val="{FC40ADE3-348E-462B-8AE6-377F0948E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7370"/>
    <w:pPr>
      <w:spacing w:after="200" w:line="240" w:lineRule="auto"/>
    </w:pPr>
    <w:rPr>
      <w:rFonts w:eastAsia="SimSun"/>
      <w:sz w:val="24"/>
      <w:szCs w:val="24"/>
      <w:lang w:eastAsia="en-US"/>
    </w:rPr>
  </w:style>
  <w:style w:type="paragraph" w:styleId="Heading4">
    <w:name w:val="heading 4"/>
    <w:basedOn w:val="Normal"/>
    <w:next w:val="BodyText"/>
    <w:link w:val="Heading4Char"/>
    <w:uiPriority w:val="9"/>
    <w:unhideWhenUsed/>
    <w:qFormat/>
    <w:rsid w:val="0000737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472C4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007370"/>
    <w:rPr>
      <w:rFonts w:asciiTheme="majorHAnsi" w:eastAsiaTheme="majorEastAsia" w:hAnsiTheme="majorHAnsi" w:cstheme="majorBidi"/>
      <w:bCs/>
      <w:i/>
      <w:color w:val="4472C4" w:themeColor="accent1"/>
      <w:sz w:val="24"/>
      <w:szCs w:val="24"/>
      <w:lang w:eastAsia="en-US"/>
    </w:rPr>
  </w:style>
  <w:style w:type="paragraph" w:styleId="BodyText">
    <w:name w:val="Body Text"/>
    <w:basedOn w:val="Normal"/>
    <w:link w:val="BodyTextChar"/>
    <w:qFormat/>
    <w:rsid w:val="00007370"/>
    <w:pPr>
      <w:spacing w:before="180" w:after="180"/>
    </w:pPr>
  </w:style>
  <w:style w:type="character" w:customStyle="1" w:styleId="BodyTextChar">
    <w:name w:val="Body Text Char"/>
    <w:basedOn w:val="DefaultParagraphFont"/>
    <w:link w:val="BodyText"/>
    <w:rsid w:val="00007370"/>
    <w:rPr>
      <w:rFonts w:eastAsia="SimSun"/>
      <w:sz w:val="24"/>
      <w:szCs w:val="24"/>
      <w:lang w:eastAsia="en-US"/>
    </w:rPr>
  </w:style>
  <w:style w:type="paragraph" w:customStyle="1" w:styleId="FirstParagraph">
    <w:name w:val="First Paragraph"/>
    <w:basedOn w:val="BodyText"/>
    <w:next w:val="BodyText"/>
    <w:qFormat/>
    <w:rsid w:val="00007370"/>
  </w:style>
  <w:style w:type="paragraph" w:styleId="Revision">
    <w:name w:val="Revision"/>
    <w:hidden/>
    <w:uiPriority w:val="99"/>
    <w:semiHidden/>
    <w:rsid w:val="00237B21"/>
    <w:pPr>
      <w:spacing w:after="0" w:line="240" w:lineRule="auto"/>
    </w:pPr>
    <w:rPr>
      <w:rFonts w:eastAsia="SimSu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634</Words>
  <Characters>3616</Characters>
  <Application>Microsoft Office Word</Application>
  <DocSecurity>0</DocSecurity>
  <Lines>30</Lines>
  <Paragraphs>8</Paragraphs>
  <ScaleCrop>false</ScaleCrop>
  <Company/>
  <LinksUpToDate>false</LinksUpToDate>
  <CharactersWithSpaces>4242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Zhuang, Yongwen</dc:creator>
  <cp:keywords/>
  <dc:description/>
  <cp:lastModifiedBy>Zhuang, Yongwen</cp:lastModifiedBy>
  <cp:revision>5</cp:revision>
  <dcterms:created xsi:type="dcterms:W3CDTF">2022-12-12T13:19:00Z</dcterms:created>
  <dcterms:modified xsi:type="dcterms:W3CDTF">2023-03-23T02:40:00Z</dcterms:modified>
</cp:coreProperties>
</file>