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dxa"/>
        <w:tblLayout w:type="fixed"/>
        <w:tblLook w:val="04A0" w:firstRow="1" w:lastRow="0" w:firstColumn="1" w:lastColumn="0" w:noHBand="0" w:noVBand="1"/>
      </w:tblPr>
      <w:tblGrid>
        <w:gridCol w:w="3828"/>
        <w:gridCol w:w="113"/>
        <w:gridCol w:w="211"/>
        <w:gridCol w:w="417"/>
        <w:gridCol w:w="128"/>
        <w:gridCol w:w="83"/>
        <w:gridCol w:w="128"/>
        <w:gridCol w:w="511"/>
        <w:gridCol w:w="172"/>
        <w:gridCol w:w="39"/>
        <w:gridCol w:w="172"/>
        <w:gridCol w:w="423"/>
        <w:gridCol w:w="128"/>
        <w:gridCol w:w="83"/>
        <w:gridCol w:w="113"/>
        <w:gridCol w:w="15"/>
        <w:gridCol w:w="196"/>
        <w:gridCol w:w="621"/>
        <w:gridCol w:w="211"/>
        <w:gridCol w:w="49"/>
        <w:gridCol w:w="211"/>
        <w:gridCol w:w="568"/>
        <w:gridCol w:w="211"/>
        <w:gridCol w:w="49"/>
        <w:gridCol w:w="211"/>
        <w:gridCol w:w="568"/>
        <w:gridCol w:w="211"/>
        <w:gridCol w:w="49"/>
        <w:gridCol w:w="211"/>
        <w:gridCol w:w="49"/>
        <w:gridCol w:w="211"/>
        <w:gridCol w:w="568"/>
        <w:gridCol w:w="211"/>
        <w:gridCol w:w="49"/>
        <w:gridCol w:w="211"/>
        <w:gridCol w:w="568"/>
        <w:gridCol w:w="211"/>
        <w:gridCol w:w="49"/>
        <w:gridCol w:w="211"/>
        <w:gridCol w:w="568"/>
        <w:gridCol w:w="211"/>
        <w:gridCol w:w="49"/>
        <w:gridCol w:w="87"/>
        <w:gridCol w:w="124"/>
        <w:gridCol w:w="103"/>
        <w:gridCol w:w="157"/>
        <w:gridCol w:w="260"/>
        <w:gridCol w:w="348"/>
        <w:gridCol w:w="14"/>
        <w:gridCol w:w="128"/>
        <w:gridCol w:w="339"/>
      </w:tblGrid>
      <w:tr w:rsidR="00595DE4" w:rsidTr="00595DE4">
        <w:trPr>
          <w:gridAfter w:val="1"/>
          <w:wAfter w:w="339" w:type="dxa"/>
          <w:trHeight w:val="324"/>
        </w:trPr>
        <w:tc>
          <w:tcPr>
            <w:tcW w:w="7592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Table 1. Baseline clinical characteristics of the patients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490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gridAfter w:val="3"/>
          <w:wAfter w:w="481" w:type="dxa"/>
          <w:trHeight w:val="324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9155" w:type="dxa"/>
            <w:gridSpan w:val="4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AAR </w:t>
            </w:r>
            <w:proofErr w:type="spellStart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tertile</w:t>
            </w:r>
            <w:proofErr w:type="spellEnd"/>
          </w:p>
        </w:tc>
        <w:tc>
          <w:tcPr>
            <w:tcW w:w="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P value</w:t>
            </w:r>
          </w:p>
        </w:tc>
      </w:tr>
      <w:tr w:rsidR="00595DE4" w:rsidTr="00595DE4">
        <w:trPr>
          <w:gridAfter w:val="3"/>
          <w:wAfter w:w="481" w:type="dxa"/>
          <w:trHeight w:val="375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412" w:type="dxa"/>
            <w:gridSpan w:val="11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low AAR</w:t>
            </w: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br/>
              <w:t>n = 434</w:t>
            </w:r>
          </w:p>
        </w:tc>
        <w:tc>
          <w:tcPr>
            <w:tcW w:w="196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Yu Gothic" w:eastAsia="Yu Gothic" w:hAnsi="Yu Gothic" w:cs="MS PGothic"/>
                <w:sz w:val="20"/>
                <w:szCs w:val="20"/>
              </w:rPr>
            </w:pPr>
            <w:r>
              <w:rPr>
                <w:rFonts w:ascii="Yu Gothic" w:eastAsia="Yu Gothic" w:hAnsi="Yu Gothic" w:hint="eastAsia"/>
                <w:sz w:val="20"/>
                <w:szCs w:val="20"/>
              </w:rPr>
              <w:t xml:space="preserve">　</w:t>
            </w:r>
          </w:p>
        </w:tc>
        <w:tc>
          <w:tcPr>
            <w:tcW w:w="3170" w:type="dxa"/>
            <w:gridSpan w:val="1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middle AAR</w:t>
            </w: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br/>
              <w:t>n = 487</w:t>
            </w:r>
          </w:p>
        </w:tc>
        <w:tc>
          <w:tcPr>
            <w:tcW w:w="260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Yu Gothic" w:eastAsia="Yu Gothic" w:hAnsi="Yu Gothic" w:cs="MS PGothic"/>
                <w:sz w:val="20"/>
                <w:szCs w:val="20"/>
              </w:rPr>
            </w:pPr>
            <w:r>
              <w:rPr>
                <w:rFonts w:ascii="Yu Gothic" w:eastAsia="Yu Gothic" w:hAnsi="Yu Gothic" w:hint="eastAsia"/>
                <w:sz w:val="20"/>
                <w:szCs w:val="20"/>
              </w:rPr>
              <w:t xml:space="preserve">　</w:t>
            </w:r>
          </w:p>
        </w:tc>
        <w:tc>
          <w:tcPr>
            <w:tcW w:w="3117" w:type="dxa"/>
            <w:gridSpan w:val="12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high AAR</w:t>
            </w: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br/>
              <w:t>n = 406</w:t>
            </w:r>
          </w:p>
        </w:tc>
        <w:tc>
          <w:tcPr>
            <w:tcW w:w="8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Yu Gothic" w:eastAsia="Yu Gothic" w:hAnsi="Yu Gothic" w:cs="MS PGothic"/>
                <w:sz w:val="20"/>
                <w:szCs w:val="20"/>
              </w:rPr>
            </w:pPr>
            <w:r>
              <w:rPr>
                <w:rFonts w:ascii="Yu Gothic" w:eastAsia="Yu Gothic" w:hAnsi="Yu Gothic" w:hint="eastAsia"/>
                <w:sz w:val="20"/>
                <w:szCs w:val="20"/>
              </w:rPr>
              <w:t xml:space="preserve">　</w:t>
            </w:r>
          </w:p>
        </w:tc>
        <w:tc>
          <w:tcPr>
            <w:tcW w:w="278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</w:tr>
      <w:tr w:rsidR="00595DE4" w:rsidTr="00595DE4">
        <w:trPr>
          <w:gridAfter w:val="3"/>
          <w:wAfter w:w="481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3300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196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Yu Gothic" w:eastAsia="Yu Gothic" w:hAnsi="Yu Gothic" w:cs="MS PGothic"/>
                <w:sz w:val="20"/>
                <w:szCs w:val="20"/>
              </w:rPr>
            </w:pPr>
            <w:r>
              <w:rPr>
                <w:rFonts w:ascii="Yu Gothic" w:eastAsia="Yu Gothic" w:hAnsi="Yu Gothic" w:hint="eastAsia"/>
                <w:sz w:val="20"/>
                <w:szCs w:val="20"/>
              </w:rPr>
              <w:t xml:space="preserve">　</w:t>
            </w:r>
          </w:p>
        </w:tc>
        <w:tc>
          <w:tcPr>
            <w:tcW w:w="6408" w:type="dxa"/>
            <w:gridSpan w:val="1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Yu Gothic" w:eastAsia="Yu Gothic" w:hAnsi="Yu Gothic" w:hint="eastAsia"/>
                <w:sz w:val="20"/>
                <w:szCs w:val="20"/>
              </w:rPr>
            </w:pPr>
            <w:r>
              <w:rPr>
                <w:rFonts w:ascii="Yu Gothic" w:eastAsia="Yu Gothic" w:hAnsi="Yu Gothic" w:hint="eastAsia"/>
                <w:sz w:val="20"/>
                <w:szCs w:val="20"/>
              </w:rPr>
              <w:t xml:space="preserve">　</w:t>
            </w:r>
          </w:p>
        </w:tc>
        <w:tc>
          <w:tcPr>
            <w:tcW w:w="8572" w:type="dxa"/>
            <w:gridSpan w:val="12"/>
            <w:vMerge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8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Yu Gothic" w:eastAsia="Yu Gothic" w:hAnsi="Yu Gothic" w:hint="eastAsia"/>
                <w:sz w:val="20"/>
                <w:szCs w:val="20"/>
              </w:rPr>
            </w:pPr>
            <w:r>
              <w:rPr>
                <w:rFonts w:ascii="Yu Gothic" w:eastAsia="Yu Gothic" w:hAnsi="Yu Gothic" w:hint="eastAsia"/>
                <w:sz w:val="20"/>
                <w:szCs w:val="20"/>
              </w:rPr>
              <w:t xml:space="preserve">　</w:t>
            </w:r>
          </w:p>
        </w:tc>
        <w:tc>
          <w:tcPr>
            <w:tcW w:w="278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AAR at discharge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128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1.53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1.86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2.33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i/>
                <w:iCs/>
                <w:sz w:val="20"/>
                <w:szCs w:val="20"/>
              </w:rPr>
              <w:t>Clinical demographics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22" w:type="dxa"/>
            <w:gridSpan w:val="3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72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Age, years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Male,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73.7%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57.1%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39.2%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Body mass index, kg/m²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21.4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19.6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23.7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21.2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19.1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23.7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20.0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17.8 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22.1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Current smoker,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13.4%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9.4%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6.2%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0.002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 NHYA class III/IV,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11.1%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14.6%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19.2%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0.004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Systolic blood pressure, mmHg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0.529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Diastolic blood pressure, mmHg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0.031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Heart rate, bpm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0.235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Left ventricular ejection fraction, %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0.001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Prior history of heart failure,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33.4%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41.9%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49.3%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Hypertension,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71.9%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72.3%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69.2%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0.560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Dyslipidemia,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37.3%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38.8%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30.3%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0.021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Diabetes mellitus,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35.9%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40.9%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29.3%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0.002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Coronary artery disease,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35.3%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35.5%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35.0%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0.986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COPD,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12.2%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10.1%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10.1%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0.501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Laboratory data 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Albumin, g/</w:t>
            </w:r>
            <w:proofErr w:type="spellStart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Blood urea nitrogen, mg/</w:t>
            </w:r>
            <w:proofErr w:type="spellStart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0.026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Creatinine, mg/</w:t>
            </w:r>
            <w:proofErr w:type="spellStart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1.69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0.008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eGFR</w:t>
            </w:r>
            <w:proofErr w:type="spellEnd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, mL/min/1.73m²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Aspartate aminotransferase, U/L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Alanine aminotransferase, U/L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Sodium, </w:t>
            </w:r>
            <w:proofErr w:type="spellStart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mEq</w:t>
            </w:r>
            <w:proofErr w:type="spellEnd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0.099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Hemoglobin, g/</w:t>
            </w:r>
            <w:proofErr w:type="spellStart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11.2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14.0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11.7 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13.0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10.7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9.6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Brain natriuretic peptide, </w:t>
            </w:r>
            <w:proofErr w:type="spellStart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231.6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118.7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451.2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271.8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130.1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477.8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331.8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[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162.0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601.5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</w:tr>
      <w:tr w:rsidR="00595DE4" w:rsidTr="00595DE4">
        <w:trPr>
          <w:gridAfter w:val="2"/>
          <w:wAfter w:w="467" w:type="dxa"/>
          <w:trHeight w:val="360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Medication 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ACE-I/ARB,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70.0%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69.4%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61.3%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0.011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β-blockers,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77.6%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77.2%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62.3%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0.001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Loop diuretics,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82.7%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89.3%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89.7%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0.002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 MRA, n (%)</w:t>
            </w:r>
          </w:p>
        </w:tc>
        <w:tc>
          <w:tcPr>
            <w:tcW w:w="11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55.8%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49.3%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(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43.8%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0.003 </w:t>
            </w:r>
          </w:p>
        </w:tc>
      </w:tr>
      <w:tr w:rsidR="00595DE4" w:rsidTr="00595DE4">
        <w:trPr>
          <w:gridAfter w:val="2"/>
          <w:wAfter w:w="467" w:type="dxa"/>
          <w:trHeight w:val="324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2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gridAfter w:val="1"/>
          <w:wAfter w:w="339" w:type="dxa"/>
          <w:trHeight w:val="324"/>
        </w:trPr>
        <w:tc>
          <w:tcPr>
            <w:tcW w:w="14317" w:type="dxa"/>
            <w:gridSpan w:val="50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lastRenderedPageBreak/>
              <w:t>Values are presented as number (%) or median [interquartile range].</w:t>
            </w:r>
          </w:p>
        </w:tc>
      </w:tr>
      <w:tr w:rsidR="00595DE4" w:rsidTr="00595DE4">
        <w:trPr>
          <w:gridAfter w:val="1"/>
          <w:wAfter w:w="339" w:type="dxa"/>
          <w:trHeight w:val="324"/>
        </w:trPr>
        <w:tc>
          <w:tcPr>
            <w:tcW w:w="38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324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28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22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7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634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28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196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832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779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490" w:type="dxa"/>
            <w:gridSpan w:val="3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gridAfter w:val="1"/>
          <w:wAfter w:w="339" w:type="dxa"/>
          <w:trHeight w:val="600"/>
        </w:trPr>
        <w:tc>
          <w:tcPr>
            <w:tcW w:w="14317" w:type="dxa"/>
            <w:gridSpan w:val="50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95DE4" w:rsidRDefault="00595DE4">
            <w:pPr>
              <w:spacing w:after="240"/>
              <w:rPr>
                <w:rFonts w:ascii="Times New Roman" w:eastAsia="Yu Gothic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AAR, aspartate aminotransferase to alanine aminotransferase ratio; NYHA, New York Heart Associations; COPD, chronic obstructive pulmonary disease; </w:t>
            </w:r>
            <w:proofErr w:type="spellStart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eGFR</w:t>
            </w:r>
            <w:proofErr w:type="spellEnd"/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, estimated glomerular filtration rate; ACE-I, angiotensin-converting-enzyme inhibitor; ARB, angiotensin II receptor blocker; MRA, mineralocorticoid receptor antagonists</w:t>
            </w:r>
          </w:p>
        </w:tc>
      </w:tr>
      <w:tr w:rsidR="00595DE4" w:rsidTr="00595DE4">
        <w:trPr>
          <w:trHeight w:val="324"/>
        </w:trPr>
        <w:tc>
          <w:tcPr>
            <w:tcW w:w="23870" w:type="dxa"/>
            <w:gridSpan w:val="50"/>
            <w:vMerge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/>
        </w:tc>
      </w:tr>
      <w:tr w:rsidR="00595DE4" w:rsidTr="00595DE4">
        <w:trPr>
          <w:trHeight w:val="324"/>
        </w:trPr>
        <w:tc>
          <w:tcPr>
            <w:tcW w:w="23870" w:type="dxa"/>
            <w:gridSpan w:val="50"/>
            <w:vMerge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595DE4" w:rsidTr="00595DE4">
        <w:trPr>
          <w:trHeight w:val="324"/>
        </w:trPr>
        <w:tc>
          <w:tcPr>
            <w:tcW w:w="23870" w:type="dxa"/>
            <w:gridSpan w:val="50"/>
            <w:vMerge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39" w:type="dxa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</w:tbl>
    <w:p w:rsidR="00595DE4" w:rsidRDefault="00595DE4" w:rsidP="00595DE4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br w:type="page"/>
      </w:r>
    </w:p>
    <w:tbl>
      <w:tblPr>
        <w:tblW w:w="1485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74"/>
        <w:gridCol w:w="373"/>
        <w:gridCol w:w="266"/>
        <w:gridCol w:w="976"/>
        <w:gridCol w:w="1789"/>
        <w:gridCol w:w="425"/>
        <w:gridCol w:w="828"/>
        <w:gridCol w:w="311"/>
        <w:gridCol w:w="868"/>
        <w:gridCol w:w="23"/>
        <w:gridCol w:w="191"/>
        <w:gridCol w:w="23"/>
        <w:gridCol w:w="266"/>
        <w:gridCol w:w="902"/>
        <w:gridCol w:w="1799"/>
        <w:gridCol w:w="265"/>
        <w:gridCol w:w="600"/>
        <w:gridCol w:w="23"/>
        <w:gridCol w:w="383"/>
        <w:gridCol w:w="23"/>
        <w:gridCol w:w="847"/>
        <w:gridCol w:w="13"/>
      </w:tblGrid>
      <w:tr w:rsidR="00595DE4" w:rsidTr="00595DE4">
        <w:trPr>
          <w:gridAfter w:val="1"/>
          <w:wAfter w:w="13" w:type="dxa"/>
          <w:trHeight w:val="360"/>
        </w:trPr>
        <w:tc>
          <w:tcPr>
            <w:tcW w:w="14845" w:type="dxa"/>
            <w:gridSpan w:val="21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lastRenderedPageBreak/>
              <w:t>Table 2.  Association between aspartate aminotransferase to alanine aminotransferase ratio and physical status</w:t>
            </w:r>
          </w:p>
        </w:tc>
      </w:tr>
      <w:tr w:rsidR="00595DE4" w:rsidTr="00595DE4">
        <w:trPr>
          <w:gridAfter w:val="1"/>
          <w:wAfter w:w="13" w:type="dxa"/>
          <w:trHeight w:val="360"/>
        </w:trPr>
        <w:tc>
          <w:tcPr>
            <w:tcW w:w="13569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6" w:type="dxa"/>
            <w:gridSpan w:val="2"/>
            <w:noWrap/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gridSpan w:val="2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595DE4" w:rsidTr="00595DE4">
        <w:trPr>
          <w:gridAfter w:val="1"/>
          <w:wAfter w:w="13" w:type="dxa"/>
          <w:trHeight w:val="360"/>
        </w:trPr>
        <w:tc>
          <w:tcPr>
            <w:tcW w:w="36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57" w:type="dxa"/>
            <w:gridSpan w:val="7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Unadjusted model</w:t>
            </w:r>
          </w:p>
        </w:tc>
        <w:tc>
          <w:tcPr>
            <w:tcW w:w="2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27" w:type="dxa"/>
            <w:gridSpan w:val="10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Adjusted model*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Coefficient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Standard error</w:t>
            </w:r>
          </w:p>
        </w:tc>
        <w:tc>
          <w:tcPr>
            <w:tcW w:w="1253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t value</w:t>
            </w:r>
          </w:p>
        </w:tc>
        <w:tc>
          <w:tcPr>
            <w:tcW w:w="1196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Coefficient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Standard error</w:t>
            </w:r>
          </w:p>
        </w:tc>
        <w:tc>
          <w:tcPr>
            <w:tcW w:w="884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t value</w:t>
            </w:r>
          </w:p>
        </w:tc>
        <w:tc>
          <w:tcPr>
            <w:tcW w:w="1266" w:type="dxa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P value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Hand grip strength</w:t>
            </w:r>
          </w:p>
        </w:tc>
        <w:tc>
          <w:tcPr>
            <w:tcW w:w="373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low vs. middle AAR</w:t>
            </w:r>
          </w:p>
        </w:tc>
        <w:tc>
          <w:tcPr>
            <w:tcW w:w="373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2.97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0.50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5.99</w:t>
            </w:r>
          </w:p>
        </w:tc>
        <w:tc>
          <w:tcPr>
            <w:tcW w:w="305" w:type="dxa"/>
            <w:shd w:val="clear" w:color="auto" w:fill="FFFFFF"/>
            <w:noWrap/>
            <w:vAlign w:val="center"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0.90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0.38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2.38</w:t>
            </w:r>
          </w:p>
        </w:tc>
        <w:tc>
          <w:tcPr>
            <w:tcW w:w="406" w:type="dxa"/>
            <w:gridSpan w:val="2"/>
            <w:noWrap/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gridSpan w:val="2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0.017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low vs. high AAR</w:t>
            </w:r>
          </w:p>
        </w:tc>
        <w:tc>
          <w:tcPr>
            <w:tcW w:w="373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6.55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0.52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12.61</w:t>
            </w:r>
          </w:p>
        </w:tc>
        <w:tc>
          <w:tcPr>
            <w:tcW w:w="305" w:type="dxa"/>
            <w:shd w:val="clear" w:color="auto" w:fill="FFFFFF"/>
            <w:noWrap/>
            <w:vAlign w:val="center"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2.10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0.41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5.05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6-minute walk distance</w:t>
            </w:r>
          </w:p>
        </w:tc>
        <w:tc>
          <w:tcPr>
            <w:tcW w:w="373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low vs. middle AAR</w:t>
            </w:r>
          </w:p>
        </w:tc>
        <w:tc>
          <w:tcPr>
            <w:tcW w:w="373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25.01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8.47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2.95</w:t>
            </w:r>
          </w:p>
        </w:tc>
        <w:tc>
          <w:tcPr>
            <w:tcW w:w="3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3.18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7.67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0.41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0.678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low vs. high AAR</w:t>
            </w:r>
          </w:p>
        </w:tc>
        <w:tc>
          <w:tcPr>
            <w:tcW w:w="373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70.37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8.98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7.83</w:t>
            </w:r>
          </w:p>
        </w:tc>
        <w:tc>
          <w:tcPr>
            <w:tcW w:w="305" w:type="dxa"/>
            <w:shd w:val="clear" w:color="auto" w:fill="FFFFFF"/>
            <w:noWrap/>
            <w:vAlign w:val="center"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22.04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8.52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2.59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0.010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SPPB</w:t>
            </w:r>
          </w:p>
        </w:tc>
        <w:tc>
          <w:tcPr>
            <w:tcW w:w="373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low vs. middle AAR</w:t>
            </w:r>
          </w:p>
        </w:tc>
        <w:tc>
          <w:tcPr>
            <w:tcW w:w="373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0.65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0.21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3.12</w:t>
            </w:r>
          </w:p>
        </w:tc>
        <w:tc>
          <w:tcPr>
            <w:tcW w:w="3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0.10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0.19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0.52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0.600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low vs. high AAR</w:t>
            </w:r>
          </w:p>
        </w:tc>
        <w:tc>
          <w:tcPr>
            <w:tcW w:w="373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1.77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0.22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8.06</w:t>
            </w:r>
          </w:p>
        </w:tc>
        <w:tc>
          <w:tcPr>
            <w:tcW w:w="305" w:type="dxa"/>
            <w:shd w:val="clear" w:color="auto" w:fill="FFFFFF"/>
            <w:noWrap/>
            <w:vAlign w:val="center"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0.51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0.21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2.46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0.014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GNRI</w:t>
            </w:r>
          </w:p>
        </w:tc>
        <w:tc>
          <w:tcPr>
            <w:tcW w:w="373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low vs. middle AAR</w:t>
            </w:r>
          </w:p>
        </w:tc>
        <w:tc>
          <w:tcPr>
            <w:tcW w:w="373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0.93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0.72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1.29</w:t>
            </w:r>
          </w:p>
        </w:tc>
        <w:tc>
          <w:tcPr>
            <w:tcW w:w="3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0.197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0.35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0.71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0.49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0.624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low vs. high AAR</w:t>
            </w:r>
          </w:p>
        </w:tc>
        <w:tc>
          <w:tcPr>
            <w:tcW w:w="373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5.33</w:t>
            </w:r>
          </w:p>
        </w:tc>
        <w:tc>
          <w:tcPr>
            <w:tcW w:w="178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0.76</w:t>
            </w:r>
          </w:p>
        </w:tc>
        <w:tc>
          <w:tcPr>
            <w:tcW w:w="42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82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7.05</w:t>
            </w:r>
          </w:p>
        </w:tc>
        <w:tc>
          <w:tcPr>
            <w:tcW w:w="305" w:type="dxa"/>
            <w:shd w:val="clear" w:color="auto" w:fill="FFFFFF"/>
            <w:noWrap/>
            <w:vAlign w:val="center"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891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214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02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3.94</w:t>
            </w:r>
          </w:p>
        </w:tc>
        <w:tc>
          <w:tcPr>
            <w:tcW w:w="179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0.78</w:t>
            </w:r>
          </w:p>
        </w:tc>
        <w:tc>
          <w:tcPr>
            <w:tcW w:w="26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23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5.02</w:t>
            </w:r>
          </w:p>
        </w:tc>
        <w:tc>
          <w:tcPr>
            <w:tcW w:w="406" w:type="dxa"/>
            <w:gridSpan w:val="2"/>
            <w:shd w:val="clear" w:color="auto" w:fill="FFFFFF"/>
            <w:noWrap/>
            <w:vAlign w:val="center"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860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595DE4" w:rsidTr="00595DE4">
        <w:trPr>
          <w:trHeight w:val="360"/>
        </w:trPr>
        <w:tc>
          <w:tcPr>
            <w:tcW w:w="36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gridAfter w:val="1"/>
          <w:wAfter w:w="13" w:type="dxa"/>
          <w:trHeight w:val="360"/>
        </w:trPr>
        <w:tc>
          <w:tcPr>
            <w:tcW w:w="14845" w:type="dxa"/>
            <w:gridSpan w:val="21"/>
            <w:shd w:val="clear" w:color="auto" w:fill="FFFFFF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AAR, aspartate aminotransferase to alanine aminotransferase ratio; SPPB, short physical performance battery; GNRI, geriatric nutritional risk index</w:t>
            </w:r>
          </w:p>
        </w:tc>
      </w:tr>
      <w:tr w:rsidR="00595DE4" w:rsidTr="00595DE4">
        <w:trPr>
          <w:gridAfter w:val="1"/>
          <w:wAfter w:w="13" w:type="dxa"/>
          <w:trHeight w:val="360"/>
        </w:trPr>
        <w:tc>
          <w:tcPr>
            <w:tcW w:w="14845" w:type="dxa"/>
            <w:gridSpan w:val="21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* Adjusted for age and sex.</w:t>
            </w:r>
          </w:p>
        </w:tc>
      </w:tr>
    </w:tbl>
    <w:p w:rsidR="00595DE4" w:rsidRDefault="00595DE4" w:rsidP="00595DE4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:rsidR="00595DE4" w:rsidRDefault="00595DE4" w:rsidP="00595DE4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br w:type="page"/>
      </w:r>
    </w:p>
    <w:tbl>
      <w:tblPr>
        <w:tblW w:w="121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49"/>
        <w:gridCol w:w="386"/>
        <w:gridCol w:w="1405"/>
        <w:gridCol w:w="614"/>
        <w:gridCol w:w="298"/>
        <w:gridCol w:w="614"/>
        <w:gridCol w:w="311"/>
        <w:gridCol w:w="776"/>
        <w:gridCol w:w="204"/>
        <w:gridCol w:w="1405"/>
        <w:gridCol w:w="614"/>
        <w:gridCol w:w="298"/>
        <w:gridCol w:w="614"/>
        <w:gridCol w:w="204"/>
        <w:gridCol w:w="776"/>
      </w:tblGrid>
      <w:tr w:rsidR="00595DE4" w:rsidTr="00595DE4">
        <w:trPr>
          <w:trHeight w:val="360"/>
        </w:trPr>
        <w:tc>
          <w:tcPr>
            <w:tcW w:w="12120" w:type="dxa"/>
            <w:gridSpan w:val="15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lastRenderedPageBreak/>
              <w:t>Table 3. Logistic analysis for physical frailty</w:t>
            </w:r>
          </w:p>
        </w:tc>
      </w:tr>
      <w:tr w:rsidR="00595DE4" w:rsidTr="00595DE4">
        <w:trPr>
          <w:trHeight w:val="360"/>
        </w:trPr>
        <w:tc>
          <w:tcPr>
            <w:tcW w:w="10462" w:type="dxa"/>
            <w:gridSpan w:val="11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0" w:type="dxa"/>
            <w:noWrap/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4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58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6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595DE4" w:rsidTr="00595DE4">
        <w:trPr>
          <w:trHeight w:val="360"/>
        </w:trPr>
        <w:tc>
          <w:tcPr>
            <w:tcW w:w="4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50" w:type="dxa"/>
            <w:gridSpan w:val="6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Unadjusted model</w:t>
            </w:r>
          </w:p>
        </w:tc>
        <w:tc>
          <w:tcPr>
            <w:tcW w:w="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77" w:type="dxa"/>
            <w:gridSpan w:val="6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Adjusted model*</w:t>
            </w:r>
          </w:p>
        </w:tc>
      </w:tr>
      <w:tr w:rsidR="00595DE4" w:rsidTr="00595DE4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Odds ratio</w:t>
            </w:r>
          </w:p>
        </w:tc>
        <w:tc>
          <w:tcPr>
            <w:tcW w:w="143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1007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Odds ratio</w:t>
            </w:r>
          </w:p>
        </w:tc>
        <w:tc>
          <w:tcPr>
            <w:tcW w:w="143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83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P value</w:t>
            </w:r>
          </w:p>
        </w:tc>
      </w:tr>
      <w:tr w:rsidR="00595DE4" w:rsidTr="00595DE4">
        <w:trPr>
          <w:trHeight w:val="360"/>
        </w:trPr>
        <w:tc>
          <w:tcPr>
            <w:tcW w:w="414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AAR as categorical variable</w:t>
            </w:r>
          </w:p>
        </w:tc>
        <w:tc>
          <w:tcPr>
            <w:tcW w:w="38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trHeight w:val="360"/>
        </w:trPr>
        <w:tc>
          <w:tcPr>
            <w:tcW w:w="4149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low AAR</w:t>
            </w:r>
          </w:p>
        </w:tc>
        <w:tc>
          <w:tcPr>
            <w:tcW w:w="38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9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 (reference)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9" w:type="dxa"/>
            <w:gridSpan w:val="2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 (reference)</w:t>
            </w:r>
          </w:p>
        </w:tc>
        <w:tc>
          <w:tcPr>
            <w:tcW w:w="210" w:type="dxa"/>
            <w:noWrap/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4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58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6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595DE4" w:rsidTr="00595DE4">
        <w:trPr>
          <w:trHeight w:val="360"/>
        </w:trPr>
        <w:tc>
          <w:tcPr>
            <w:tcW w:w="4149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middle AAR</w:t>
            </w:r>
          </w:p>
        </w:tc>
        <w:tc>
          <w:tcPr>
            <w:tcW w:w="386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1.37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1.05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1.80</w:t>
            </w:r>
          </w:p>
        </w:tc>
        <w:tc>
          <w:tcPr>
            <w:tcW w:w="23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0.022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1.25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0.95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1.65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0.110</w:t>
            </w:r>
          </w:p>
        </w:tc>
      </w:tr>
      <w:tr w:rsidR="00595DE4" w:rsidTr="00595DE4">
        <w:trPr>
          <w:trHeight w:val="360"/>
        </w:trPr>
        <w:tc>
          <w:tcPr>
            <w:tcW w:w="4149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high AAR</w:t>
            </w:r>
          </w:p>
        </w:tc>
        <w:tc>
          <w:tcPr>
            <w:tcW w:w="386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1.91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1.43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2.56</w:t>
            </w:r>
          </w:p>
        </w:tc>
        <w:tc>
          <w:tcPr>
            <w:tcW w:w="231" w:type="dxa"/>
            <w:shd w:val="clear" w:color="auto" w:fill="FFFFFF"/>
            <w:noWrap/>
            <w:vAlign w:val="center"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1.54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1.13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2.10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0.007</w:t>
            </w:r>
          </w:p>
        </w:tc>
      </w:tr>
      <w:tr w:rsidR="00595DE4" w:rsidTr="00595DE4">
        <w:trPr>
          <w:trHeight w:val="360"/>
        </w:trPr>
        <w:tc>
          <w:tcPr>
            <w:tcW w:w="4149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1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trHeight w:val="360"/>
        </w:trPr>
        <w:tc>
          <w:tcPr>
            <w:tcW w:w="4149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AAR as continuous variable</w:t>
            </w:r>
          </w:p>
        </w:tc>
        <w:tc>
          <w:tcPr>
            <w:tcW w:w="386" w:type="dxa"/>
            <w:shd w:val="clear" w:color="auto" w:fill="FFFFFF"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1.66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1.35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2.05</w:t>
            </w:r>
          </w:p>
        </w:tc>
        <w:tc>
          <w:tcPr>
            <w:tcW w:w="231" w:type="dxa"/>
            <w:shd w:val="clear" w:color="auto" w:fill="FFFFFF"/>
            <w:noWrap/>
            <w:vAlign w:val="center"/>
          </w:tcPr>
          <w:p w:rsidR="00595DE4" w:rsidRDefault="00595DE4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1.43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1.15</w:t>
            </w:r>
          </w:p>
        </w:tc>
        <w:tc>
          <w:tcPr>
            <w:tcW w:w="210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614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1.79</w:t>
            </w:r>
          </w:p>
        </w:tc>
        <w:tc>
          <w:tcPr>
            <w:tcW w:w="58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595DE4" w:rsidTr="00595DE4">
        <w:trPr>
          <w:trHeight w:val="360"/>
        </w:trPr>
        <w:tc>
          <w:tcPr>
            <w:tcW w:w="4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95DE4" w:rsidRDefault="00595DE4">
            <w:pPr>
              <w:widowControl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trHeight w:val="360"/>
        </w:trPr>
        <w:tc>
          <w:tcPr>
            <w:tcW w:w="12120" w:type="dxa"/>
            <w:gridSpan w:val="15"/>
            <w:shd w:val="clear" w:color="auto" w:fill="FFFFFF"/>
            <w:noWrap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CI, confidence interval; AAR, aspartate aminotransferase to alanine aminotransferase ratio</w:t>
            </w:r>
          </w:p>
        </w:tc>
      </w:tr>
      <w:tr w:rsidR="00595DE4" w:rsidTr="00595DE4">
        <w:trPr>
          <w:trHeight w:val="360"/>
        </w:trPr>
        <w:tc>
          <w:tcPr>
            <w:tcW w:w="4149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* Adjusted for age and sex.</w:t>
            </w:r>
          </w:p>
        </w:tc>
        <w:tc>
          <w:tcPr>
            <w:tcW w:w="386" w:type="dxa"/>
            <w:noWrap/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614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10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614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31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6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58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05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614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10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614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58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76" w:type="dxa"/>
            <w:noWrap/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</w:tbl>
    <w:p w:rsidR="00595DE4" w:rsidRDefault="00595DE4" w:rsidP="00595DE4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:rsidR="00595DE4" w:rsidRDefault="00595DE4" w:rsidP="00595DE4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br w:type="page"/>
      </w:r>
    </w:p>
    <w:p w:rsidR="00595DE4" w:rsidRDefault="00595DE4" w:rsidP="00595DE4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tbl>
      <w:tblPr>
        <w:tblW w:w="144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9"/>
        <w:gridCol w:w="656"/>
        <w:gridCol w:w="1921"/>
        <w:gridCol w:w="713"/>
        <w:gridCol w:w="244"/>
        <w:gridCol w:w="713"/>
        <w:gridCol w:w="268"/>
        <w:gridCol w:w="1157"/>
        <w:gridCol w:w="68"/>
        <w:gridCol w:w="1921"/>
        <w:gridCol w:w="713"/>
        <w:gridCol w:w="244"/>
        <w:gridCol w:w="713"/>
        <w:gridCol w:w="68"/>
        <w:gridCol w:w="1157"/>
      </w:tblGrid>
      <w:tr w:rsidR="00595DE4" w:rsidTr="00595DE4">
        <w:trPr>
          <w:trHeight w:val="360"/>
        </w:trPr>
        <w:tc>
          <w:tcPr>
            <w:tcW w:w="14413" w:type="dxa"/>
            <w:gridSpan w:val="15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widowControl/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Table 4. Cox proportional hazard analysis for all-cause death</w:t>
            </w:r>
          </w:p>
        </w:tc>
      </w:tr>
      <w:tr w:rsidR="00595DE4" w:rsidTr="00595DE4">
        <w:trPr>
          <w:trHeight w:val="360"/>
        </w:trPr>
        <w:tc>
          <w:tcPr>
            <w:tcW w:w="0" w:type="auto"/>
            <w:gridSpan w:val="11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595DE4" w:rsidTr="00595DE4">
        <w:trPr>
          <w:trHeight w:val="36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Unadjusted model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Adjusted model*</w:t>
            </w:r>
          </w:p>
        </w:tc>
      </w:tr>
      <w:tr w:rsidR="00595DE4" w:rsidTr="00595DE4">
        <w:trPr>
          <w:trHeight w:val="36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Hazard ratio</w:t>
            </w:r>
          </w:p>
        </w:tc>
        <w:tc>
          <w:tcPr>
            <w:tcW w:w="0" w:type="auto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Hazard ratio</w:t>
            </w:r>
          </w:p>
        </w:tc>
        <w:tc>
          <w:tcPr>
            <w:tcW w:w="0" w:type="auto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P value</w:t>
            </w:r>
          </w:p>
        </w:tc>
      </w:tr>
      <w:tr w:rsidR="00595DE4" w:rsidTr="00595DE4">
        <w:trPr>
          <w:trHeight w:val="360"/>
        </w:trPr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low AAR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 (reference)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 (reference)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595DE4" w:rsidTr="00595DE4">
        <w:trPr>
          <w:trHeight w:val="360"/>
        </w:trPr>
        <w:tc>
          <w:tcPr>
            <w:tcW w:w="332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middle AAR</w:t>
            </w:r>
          </w:p>
        </w:tc>
        <w:tc>
          <w:tcPr>
            <w:tcW w:w="66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0.715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1.56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0.938</w:t>
            </w:r>
          </w:p>
        </w:tc>
      </w:tr>
      <w:tr w:rsidR="00595DE4" w:rsidTr="00595DE4">
        <w:trPr>
          <w:trHeight w:val="360"/>
        </w:trPr>
        <w:tc>
          <w:tcPr>
            <w:tcW w:w="332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high AAR</w:t>
            </w:r>
          </w:p>
        </w:tc>
        <w:tc>
          <w:tcPr>
            <w:tcW w:w="66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2.19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5DE4" w:rsidRDefault="00595DE4">
            <w:pPr>
              <w:jc w:val="righ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2.42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0.040</w:t>
            </w:r>
          </w:p>
        </w:tc>
      </w:tr>
      <w:tr w:rsidR="00595DE4" w:rsidTr="00595DE4">
        <w:trPr>
          <w:trHeight w:val="36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5DE4" w:rsidRDefault="00595DE4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sz w:val="20"/>
                <w:szCs w:val="20"/>
              </w:rPr>
              <w:t xml:space="preserve">　</w:t>
            </w:r>
          </w:p>
        </w:tc>
      </w:tr>
      <w:tr w:rsidR="00595DE4" w:rsidTr="00595DE4">
        <w:trPr>
          <w:trHeight w:val="360"/>
        </w:trPr>
        <w:tc>
          <w:tcPr>
            <w:tcW w:w="0" w:type="auto"/>
            <w:gridSpan w:val="15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95DE4" w:rsidRDefault="00595DE4">
            <w:pPr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sz w:val="20"/>
                <w:szCs w:val="20"/>
              </w:rPr>
              <w:t>CI, confidence interval; AAR, aspartate aminotransferase to alanine aminotransferase ratio</w:t>
            </w:r>
          </w:p>
        </w:tc>
      </w:tr>
      <w:tr w:rsidR="00595DE4" w:rsidTr="00595DE4">
        <w:trPr>
          <w:trHeight w:val="360"/>
        </w:trPr>
        <w:tc>
          <w:tcPr>
            <w:tcW w:w="14413" w:type="dxa"/>
            <w:gridSpan w:val="15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95DE4" w:rsidRDefault="00595DE4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* Adjusted for Meta-Analysis Global Group in Chronic Heart Failure risk score and log brain natriuretic peptide.</w:t>
            </w: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E4"/>
    <w:rsid w:val="00595DE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1C38DA-0011-4C84-A822-C29DB8019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5DE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95DE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95DE4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595DE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DE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DE4"/>
    <w:rPr>
      <w:rFonts w:eastAsiaTheme="minorEastAsia"/>
      <w:kern w:val="2"/>
      <w:sz w:val="21"/>
      <w:lang w:eastAsia="ja-JP"/>
    </w:rPr>
  </w:style>
  <w:style w:type="paragraph" w:styleId="Header">
    <w:name w:val="header"/>
    <w:basedOn w:val="Normal"/>
    <w:link w:val="HeaderChar"/>
    <w:uiPriority w:val="99"/>
    <w:semiHidden/>
    <w:unhideWhenUsed/>
    <w:rsid w:val="00595DE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95DE4"/>
    <w:rPr>
      <w:rFonts w:eastAsiaTheme="minorEastAsia"/>
      <w:kern w:val="2"/>
      <w:sz w:val="21"/>
      <w:lang w:eastAsia="ja-JP"/>
    </w:rPr>
  </w:style>
  <w:style w:type="paragraph" w:styleId="Footer">
    <w:name w:val="footer"/>
    <w:basedOn w:val="Normal"/>
    <w:link w:val="FooterChar"/>
    <w:uiPriority w:val="99"/>
    <w:semiHidden/>
    <w:unhideWhenUsed/>
    <w:rsid w:val="00595DE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95DE4"/>
    <w:rPr>
      <w:rFonts w:eastAsiaTheme="minorEastAsia"/>
      <w:kern w:val="2"/>
      <w:sz w:val="21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D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DE4"/>
    <w:rPr>
      <w:rFonts w:eastAsiaTheme="minorEastAsia"/>
      <w:b/>
      <w:bCs/>
      <w:kern w:val="2"/>
      <w:sz w:val="21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5DE4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5DE4"/>
    <w:rPr>
      <w:rFonts w:asciiTheme="majorHAnsi" w:eastAsiaTheme="majorEastAsia" w:hAnsiTheme="majorHAnsi" w:cstheme="majorBidi"/>
      <w:kern w:val="2"/>
      <w:sz w:val="18"/>
      <w:szCs w:val="18"/>
      <w:lang w:eastAsia="ja-JP"/>
    </w:rPr>
  </w:style>
  <w:style w:type="paragraph" w:styleId="Revision">
    <w:name w:val="Revision"/>
    <w:uiPriority w:val="99"/>
    <w:semiHidden/>
    <w:rsid w:val="00595DE4"/>
    <w:pPr>
      <w:spacing w:after="0" w:line="240" w:lineRule="auto"/>
    </w:pPr>
    <w:rPr>
      <w:rFonts w:eastAsiaTheme="minorEastAsia"/>
      <w:kern w:val="2"/>
      <w:sz w:val="21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595DE4"/>
    <w:rPr>
      <w:sz w:val="18"/>
      <w:szCs w:val="18"/>
    </w:rPr>
  </w:style>
  <w:style w:type="character" w:customStyle="1" w:styleId="journaltitle">
    <w:name w:val="journaltitle"/>
    <w:basedOn w:val="DefaultParagraphFont"/>
    <w:rsid w:val="00595DE4"/>
  </w:style>
  <w:style w:type="character" w:customStyle="1" w:styleId="pubyear">
    <w:name w:val="pubyear"/>
    <w:basedOn w:val="DefaultParagraphFont"/>
    <w:rsid w:val="00595DE4"/>
  </w:style>
  <w:style w:type="character" w:customStyle="1" w:styleId="vol">
    <w:name w:val="vol"/>
    <w:basedOn w:val="DefaultParagraphFont"/>
    <w:rsid w:val="00595DE4"/>
  </w:style>
  <w:style w:type="character" w:customStyle="1" w:styleId="pagefirst">
    <w:name w:val="pagefirst"/>
    <w:basedOn w:val="DefaultParagraphFont"/>
    <w:rsid w:val="00595DE4"/>
  </w:style>
  <w:style w:type="character" w:customStyle="1" w:styleId="pagelast">
    <w:name w:val="pagelast"/>
    <w:basedOn w:val="DefaultParagraphFont"/>
    <w:rsid w:val="00595D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0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923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2021-03-11T12:39:00Z</dcterms:created>
  <dcterms:modified xsi:type="dcterms:W3CDTF">2021-03-11T12:39:00Z</dcterms:modified>
</cp:coreProperties>
</file>