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4219" w:rsidRDefault="00A54219" w:rsidP="00A54219">
      <w:pPr>
        <w:spacing w:line="36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Additional</w:t>
      </w:r>
      <w:r w:rsidRPr="00073CBD">
        <w:rPr>
          <w:rFonts w:cstheme="minorHAnsi"/>
          <w:b/>
          <w:sz w:val="24"/>
          <w:szCs w:val="24"/>
        </w:rPr>
        <w:t xml:space="preserve"> file 1</w:t>
      </w:r>
    </w:p>
    <w:p w:rsidR="00A54219" w:rsidRPr="00073CBD" w:rsidRDefault="00A54219" w:rsidP="00A54219">
      <w:pPr>
        <w:spacing w:line="36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Supplementary Table 1</w:t>
      </w:r>
    </w:p>
    <w:p w:rsidR="00A54219" w:rsidRPr="00073CBD" w:rsidRDefault="00A54219" w:rsidP="00A54219">
      <w:pPr>
        <w:shd w:val="clear" w:color="auto" w:fill="FFFFFF"/>
        <w:spacing w:after="150" w:line="360" w:lineRule="auto"/>
        <w:rPr>
          <w:rFonts w:eastAsia="Times New Roman" w:cstheme="minorHAnsi"/>
          <w:b/>
          <w:bCs/>
          <w:color w:val="333333"/>
          <w:sz w:val="24"/>
          <w:szCs w:val="24"/>
          <w:lang w:eastAsia="en-GB"/>
        </w:rPr>
      </w:pPr>
      <w:r w:rsidRPr="00073CBD">
        <w:rPr>
          <w:rFonts w:eastAsia="Times New Roman" w:cstheme="minorHAnsi"/>
          <w:b/>
          <w:bCs/>
          <w:color w:val="333333"/>
          <w:sz w:val="24"/>
          <w:szCs w:val="24"/>
          <w:lang w:eastAsia="en-GB"/>
        </w:rPr>
        <w:t>The hospital readiness requirements for Essential Emergency and Critical Care</w:t>
      </w:r>
      <w:r>
        <w:rPr>
          <w:rFonts w:eastAsia="Times New Roman" w:cstheme="minorHAnsi"/>
          <w:b/>
          <w:bCs/>
          <w:color w:val="333333"/>
          <w:sz w:val="24"/>
          <w:szCs w:val="24"/>
          <w:lang w:eastAsia="en-GB"/>
        </w:rPr>
        <w:fldChar w:fldCharType="begin"/>
      </w:r>
      <w:r>
        <w:rPr>
          <w:rFonts w:eastAsia="Times New Roman" w:cstheme="minorHAnsi"/>
          <w:b/>
          <w:bCs/>
          <w:color w:val="333333"/>
          <w:sz w:val="24"/>
          <w:szCs w:val="24"/>
          <w:lang w:eastAsia="en-GB"/>
        </w:rPr>
        <w:instrText xml:space="preserve"> ADDIN EN.CITE &lt;EndNote&gt;&lt;Cite&gt;&lt;Author&gt;Schell&lt;/Author&gt;&lt;Year&gt;2021&lt;/Year&gt;&lt;RecNum&gt;1354&lt;/RecNum&gt;&lt;DisplayText&gt;(1)&lt;/DisplayText&gt;&lt;record&gt;&lt;rec-number&gt;1354&lt;/rec-number&gt;&lt;foreign-keys&gt;&lt;key app="EN" db-id="sd2raztf3zespcextp6vdszkvp5estwers09" timestamp="1662042664" guid="72fc5a07-8e77-4326-84a8-983396c1ba71"&gt;1354&lt;/key&gt;&lt;/foreign-keys&gt;&lt;ref-type name="Journal Article"&gt;17&lt;/ref-type&gt;&lt;contributors&gt;&lt;authors&gt;&lt;author&gt;Schell, Carl Otto&lt;/author&gt;&lt;author&gt;Khalid, Karima&lt;/author&gt;&lt;author&gt;Wharton-Smith, Alexandra&lt;/author&gt;&lt;author&gt;Oliwa, Jacquie&lt;/author&gt;&lt;author&gt;Sawe, Hendry R&lt;/author&gt;&lt;author&gt;Roy, Nobhojit&lt;/author&gt;&lt;author&gt;Sanga, Alex&lt;/author&gt;&lt;author&gt;Marshall, John C&lt;/author&gt;&lt;author&gt;Rylance, Jamie&lt;/author&gt;&lt;author&gt;Hanson, Claudia&lt;/author&gt;&lt;author&gt;Kayambankadzanja, Raphael K.&lt;/author&gt;&lt;author&gt;Wallis, Lee A&lt;/author&gt;&lt;author&gt;Jirwe, Maria&lt;/author&gt;&lt;author&gt;Baker, Tim&lt;/author&gt;&lt;/authors&gt;&lt;/contributors&gt;&lt;titles&gt;&lt;title&gt;Essential Emergency and Critical Care: a consensus among global clinical experts&lt;/title&gt;&lt;secondary-title&gt;BMJ Global Health&lt;/secondary-title&gt;&lt;/titles&gt;&lt;periodical&gt;&lt;full-title&gt;BMJ Global Health&lt;/full-title&gt;&lt;/periodical&gt;&lt;pages&gt;e006585&lt;/pages&gt;&lt;volume&gt;6&lt;/volume&gt;&lt;number&gt;9&lt;/number&gt;&lt;dates&gt;&lt;year&gt;2021&lt;/year&gt;&lt;/dates&gt;&lt;urls&gt;&lt;related-urls&gt;&lt;url&gt;https://gh.bmj.com/content/bmjgh/6/9/e006585.full.pdf&lt;/url&gt;&lt;url&gt;https://www.ncbi.nlm.nih.gov/pmc/articles/PMC8458367/pdf/bmjgh-2021-006585.pdf&lt;/url&gt;&lt;/related-urls&gt;&lt;/urls&gt;&lt;electronic-resource-num&gt;10.1136/bmjgh-2021-006585&lt;/electronic-resource-num&gt;&lt;/record&gt;&lt;/Cite&gt;&lt;/EndNote&gt;</w:instrText>
      </w:r>
      <w:r>
        <w:rPr>
          <w:rFonts w:eastAsia="Times New Roman" w:cstheme="minorHAnsi"/>
          <w:b/>
          <w:bCs/>
          <w:color w:val="333333"/>
          <w:sz w:val="24"/>
          <w:szCs w:val="24"/>
          <w:lang w:eastAsia="en-GB"/>
        </w:rPr>
        <w:fldChar w:fldCharType="separate"/>
      </w:r>
      <w:r>
        <w:rPr>
          <w:rFonts w:eastAsia="Times New Roman" w:cstheme="minorHAnsi"/>
          <w:b/>
          <w:bCs/>
          <w:noProof/>
          <w:color w:val="333333"/>
          <w:sz w:val="24"/>
          <w:szCs w:val="24"/>
          <w:lang w:eastAsia="en-GB"/>
        </w:rPr>
        <w:t>(1)</w:t>
      </w:r>
      <w:r>
        <w:rPr>
          <w:rFonts w:eastAsia="Times New Roman" w:cstheme="minorHAnsi"/>
          <w:b/>
          <w:bCs/>
          <w:color w:val="333333"/>
          <w:sz w:val="24"/>
          <w:szCs w:val="24"/>
          <w:lang w:eastAsia="en-GB"/>
        </w:rPr>
        <w:fldChar w:fldCharType="end"/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9"/>
        <w:gridCol w:w="8343"/>
      </w:tblGrid>
      <w:tr w:rsidR="00A54219" w:rsidRPr="00073CBD" w:rsidTr="005D1C31">
        <w:tc>
          <w:tcPr>
            <w:tcW w:w="10062" w:type="dxa"/>
            <w:gridSpan w:val="2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vAlign w:val="bottom"/>
            <w:hideMark/>
          </w:tcPr>
          <w:p w:rsidR="00A54219" w:rsidRPr="00073CBD" w:rsidRDefault="00A54219" w:rsidP="005D1C31">
            <w:pPr>
              <w:spacing w:after="0" w:line="360" w:lineRule="auto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/>
                <w:bCs/>
                <w:color w:val="333333"/>
                <w:sz w:val="24"/>
                <w:szCs w:val="24"/>
                <w:lang w:eastAsia="en-GB"/>
              </w:rPr>
              <w:t>Identification of critical illness</w:t>
            </w:r>
            <w:r w:rsidRPr="00073CBD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br/>
            </w:r>
            <w:r w:rsidRPr="00073CBD">
              <w:rPr>
                <w:rFonts w:eastAsia="Times New Roman" w:cstheme="minorHAnsi"/>
                <w:i/>
                <w:iCs/>
                <w:color w:val="333333"/>
                <w:sz w:val="24"/>
                <w:szCs w:val="24"/>
                <w:lang w:eastAsia="en-GB"/>
              </w:rPr>
              <w:t>The following items are required for a hospital to be ready for the identification of critically ill patients</w:t>
            </w:r>
          </w:p>
        </w:tc>
      </w:tr>
      <w:tr w:rsidR="00A54219" w:rsidRPr="00073CBD" w:rsidTr="005D1C31">
        <w:tc>
          <w:tcPr>
            <w:tcW w:w="0" w:type="auto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0" w:line="360" w:lineRule="auto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/>
                <w:bCs/>
                <w:color w:val="333333"/>
                <w:sz w:val="24"/>
                <w:szCs w:val="24"/>
                <w:lang w:eastAsia="en-GB"/>
              </w:rPr>
              <w:t>Category</w:t>
            </w:r>
          </w:p>
        </w:tc>
        <w:tc>
          <w:tcPr>
            <w:tcW w:w="8343" w:type="dxa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0" w:line="360" w:lineRule="auto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/>
                <w:bCs/>
                <w:color w:val="333333"/>
                <w:sz w:val="24"/>
                <w:szCs w:val="24"/>
                <w:lang w:eastAsia="en-GB"/>
              </w:rPr>
              <w:t>Item</w:t>
            </w:r>
          </w:p>
        </w:tc>
      </w:tr>
      <w:tr w:rsidR="00A54219" w:rsidRPr="00073CBD" w:rsidTr="005D1C31">
        <w:tc>
          <w:tcPr>
            <w:tcW w:w="0" w:type="auto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0" w:line="360" w:lineRule="auto"/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  <w:t> </w:t>
            </w:r>
            <w:r w:rsidRPr="00073CBD"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  <w:t>1.1. Equipment</w:t>
            </w:r>
          </w:p>
        </w:tc>
        <w:tc>
          <w:tcPr>
            <w:tcW w:w="8343" w:type="dxa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1.1.1 Clock with second-hand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1.1.2 Pulse oximeter and probe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1.1.3 Blood pressure measuring equipment (e.g., sphygmomanometer with a stethoscope)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1.1.4 Blood pressure cuffs of different paediatric and adult sizes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1.1.5 Light source (lamp or flashlight)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1.1.6 Thermometer</w:t>
            </w:r>
          </w:p>
        </w:tc>
      </w:tr>
      <w:tr w:rsidR="00A54219" w:rsidRPr="00073CBD" w:rsidTr="005D1C31">
        <w:tc>
          <w:tcPr>
            <w:tcW w:w="0" w:type="auto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0" w:line="360" w:lineRule="auto"/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  <w:t> </w:t>
            </w:r>
            <w:r w:rsidRPr="00073CBD"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  <w:t>1.2 Consumables</w:t>
            </w:r>
          </w:p>
        </w:tc>
        <w:tc>
          <w:tcPr>
            <w:tcW w:w="8343" w:type="dxa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1.2.1 Soap or hand disinfectant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1.2.2 Examination gloves</w:t>
            </w:r>
          </w:p>
        </w:tc>
      </w:tr>
      <w:tr w:rsidR="00A54219" w:rsidRPr="00073CBD" w:rsidTr="005D1C31">
        <w:tc>
          <w:tcPr>
            <w:tcW w:w="0" w:type="auto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0" w:line="360" w:lineRule="auto"/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  <w:t> </w:t>
            </w:r>
            <w:r w:rsidRPr="00073CBD"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  <w:t>1.3 Drugs</w:t>
            </w:r>
          </w:p>
        </w:tc>
        <w:tc>
          <w:tcPr>
            <w:tcW w:w="8343" w:type="dxa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0" w:line="360" w:lineRule="auto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 </w:t>
            </w:r>
            <w:r w:rsidRPr="00073CBD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 </w:t>
            </w:r>
            <w:r w:rsidRPr="00073CBD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None</w:t>
            </w:r>
          </w:p>
        </w:tc>
      </w:tr>
      <w:tr w:rsidR="00A54219" w:rsidRPr="00073CBD" w:rsidTr="005D1C31">
        <w:tc>
          <w:tcPr>
            <w:tcW w:w="0" w:type="auto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0" w:line="360" w:lineRule="auto"/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  <w:t> </w:t>
            </w:r>
            <w:r w:rsidRPr="00073CBD"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  <w:t>1.4 Human resources</w:t>
            </w:r>
          </w:p>
        </w:tc>
        <w:tc>
          <w:tcPr>
            <w:tcW w:w="8343" w:type="dxa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1.4.1 Health workers with the ability to identify critical illness 24 hours/day</w:t>
            </w:r>
          </w:p>
        </w:tc>
      </w:tr>
      <w:tr w:rsidR="00A54219" w:rsidRPr="00073CBD" w:rsidTr="005D1C31">
        <w:tc>
          <w:tcPr>
            <w:tcW w:w="0" w:type="auto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0" w:line="360" w:lineRule="auto"/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  <w:t> </w:t>
            </w:r>
            <w:r w:rsidRPr="00073CBD"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  <w:t>1.5 Training</w:t>
            </w:r>
          </w:p>
        </w:tc>
        <w:tc>
          <w:tcPr>
            <w:tcW w:w="8343" w:type="dxa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1.5.1 The health workers are trained in the identification of critical illness</w:t>
            </w:r>
          </w:p>
        </w:tc>
      </w:tr>
      <w:tr w:rsidR="00A54219" w:rsidRPr="00073CBD" w:rsidTr="005D1C31">
        <w:tc>
          <w:tcPr>
            <w:tcW w:w="0" w:type="auto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0" w:line="360" w:lineRule="auto"/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  <w:t> </w:t>
            </w:r>
            <w:r w:rsidRPr="00073CBD"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  <w:t>1.6 Routines</w:t>
            </w:r>
          </w:p>
        </w:tc>
        <w:tc>
          <w:tcPr>
            <w:tcW w:w="8343" w:type="dxa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1.6.1 Routines for the identification of critical illness</w:t>
            </w:r>
          </w:p>
        </w:tc>
      </w:tr>
      <w:tr w:rsidR="00A54219" w:rsidRPr="00073CBD" w:rsidTr="005D1C31">
        <w:tc>
          <w:tcPr>
            <w:tcW w:w="0" w:type="auto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0" w:line="360" w:lineRule="auto"/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  <w:lastRenderedPageBreak/>
              <w:t> </w:t>
            </w:r>
            <w:r w:rsidRPr="00073CBD"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  <w:t>1.7 Guidelines</w:t>
            </w:r>
          </w:p>
        </w:tc>
        <w:tc>
          <w:tcPr>
            <w:tcW w:w="8343" w:type="dxa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1.7.1 Guidelines for the identification of critical illness</w:t>
            </w:r>
          </w:p>
        </w:tc>
      </w:tr>
      <w:tr w:rsidR="00A54219" w:rsidRPr="00073CBD" w:rsidTr="005D1C31">
        <w:tc>
          <w:tcPr>
            <w:tcW w:w="0" w:type="auto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0" w:line="360" w:lineRule="auto"/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  <w:t> </w:t>
            </w:r>
            <w:r w:rsidRPr="00073CBD"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  <w:t>1.8 Infrastructure</w:t>
            </w:r>
          </w:p>
        </w:tc>
        <w:tc>
          <w:tcPr>
            <w:tcW w:w="8343" w:type="dxa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1.8.1 Designated triage area (area for the identification of critical illness) in the Out-Patient Department or Emergency Unit (area of the hospital where patients arrive)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1.8.2 Running water</w:t>
            </w:r>
          </w:p>
        </w:tc>
      </w:tr>
      <w:tr w:rsidR="00A54219" w:rsidRPr="00073CBD" w:rsidTr="005D1C31">
        <w:tc>
          <w:tcPr>
            <w:tcW w:w="10062" w:type="dxa"/>
            <w:gridSpan w:val="2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0" w:line="360" w:lineRule="auto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/>
                <w:bCs/>
                <w:color w:val="333333"/>
                <w:sz w:val="24"/>
                <w:szCs w:val="24"/>
                <w:lang w:eastAsia="en-GB"/>
              </w:rPr>
              <w:t>Care of critical illness</w:t>
            </w:r>
            <w:r w:rsidRPr="00073CBD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br/>
            </w:r>
            <w:r w:rsidRPr="00073CBD">
              <w:rPr>
                <w:rFonts w:eastAsia="Times New Roman" w:cstheme="minorHAnsi"/>
                <w:i/>
                <w:iCs/>
                <w:color w:val="333333"/>
                <w:sz w:val="24"/>
                <w:szCs w:val="24"/>
                <w:lang w:eastAsia="en-GB"/>
              </w:rPr>
              <w:t>The following items are required for a hospital to be ready to provide the care of critically ill patients</w:t>
            </w:r>
          </w:p>
        </w:tc>
      </w:tr>
      <w:tr w:rsidR="00A54219" w:rsidRPr="00073CBD" w:rsidTr="005D1C31">
        <w:tc>
          <w:tcPr>
            <w:tcW w:w="0" w:type="auto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0" w:line="360" w:lineRule="auto"/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  <w:t> </w:t>
            </w:r>
            <w:r w:rsidRPr="00073CBD"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  <w:t>2.1 Equipment</w:t>
            </w:r>
          </w:p>
        </w:tc>
        <w:tc>
          <w:tcPr>
            <w:tcW w:w="8343" w:type="dxa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2.1.1 Suction machine (electric or manual)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2.1.2 Oxygen supply 24 hours/day (cylinder, concentrator (with electricity supply) or piped oxygen)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2.1.3 Flow meter (if using cylinder or piped oxygen)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2.1.4 Leak-free connectors from oxygen source to tubing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2.1.5 Bag valve mask (resuscitator)—neonatal, paediatric and adult sizes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2.1.6 Sharps disposal container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2.1.7 External heat source</w:t>
            </w:r>
          </w:p>
        </w:tc>
      </w:tr>
      <w:tr w:rsidR="00A54219" w:rsidRPr="00073CBD" w:rsidTr="005D1C31">
        <w:tc>
          <w:tcPr>
            <w:tcW w:w="0" w:type="auto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0" w:line="360" w:lineRule="auto"/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  <w:t> </w:t>
            </w:r>
            <w:r w:rsidRPr="00073CBD"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  <w:t>2.2 Consumables</w:t>
            </w:r>
          </w:p>
        </w:tc>
        <w:tc>
          <w:tcPr>
            <w:tcW w:w="8343" w:type="dxa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2.2.1 Suction catheters of paediatric and adult sizes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 xml:space="preserve">2.2.2 </w:t>
            </w:r>
            <w:proofErr w:type="spellStart"/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Guedel</w:t>
            </w:r>
            <w:proofErr w:type="spellEnd"/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 xml:space="preserve"> airways of paediatric and adult sizes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2.2.3 Pillows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2.2.4 Oxygen tubing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2.2.5 Oxygen nasal prongs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2.2.6 Oxygen face masks of paediatric and adult sizes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lastRenderedPageBreak/>
              <w:t>2.2.7 Oxygen face masks with reservoir bags of paediatric and adult sizes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2.2.8 Masks for bag valve mask (resuscitator)—neonatal, paediatric and adult sizes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2.2.9 Compression bandages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2.2.10 Plasters or tape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2.2.11 Gauze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2.2.12 Intravenous cannulas of paediatric and adult sizes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2.2.13 Intravenous giving sets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2.2.14 Skin disinfectant for cannulation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2.2.15 Syringes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2.2.16 Nutrition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2.2.17 Nasogastric tubes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2.2.18 Lubricant for nasogastric tube insertion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2.2.19 Intramuscular needles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2.2.20 Intraosseous cannulas of different sizes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2.2.21 Blankets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2.2.22 Facemasks for infection prevention and control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2.2.23 Aprons or gowns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2.2.24 Charts/notes for documentation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2.2.25 Pens</w:t>
            </w:r>
          </w:p>
        </w:tc>
      </w:tr>
      <w:tr w:rsidR="00A54219" w:rsidRPr="00073CBD" w:rsidTr="005D1C31">
        <w:tc>
          <w:tcPr>
            <w:tcW w:w="0" w:type="auto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0" w:line="360" w:lineRule="auto"/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  <w:lastRenderedPageBreak/>
              <w:t> </w:t>
            </w:r>
            <w:r w:rsidRPr="00073CBD"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  <w:t>2.3 Drugs</w:t>
            </w:r>
          </w:p>
        </w:tc>
        <w:tc>
          <w:tcPr>
            <w:tcW w:w="8343" w:type="dxa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2.3.1 Oral rehydration solution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2.3.2 Intravenous crystalloid fluids (</w:t>
            </w:r>
            <w:proofErr w:type="spellStart"/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eg</w:t>
            </w:r>
            <w:proofErr w:type="spellEnd"/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, normal saline or Ringer’s Lactate)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lastRenderedPageBreak/>
              <w:t>2.3.3 Intravenous dextrose fluid (</w:t>
            </w:r>
            <w:proofErr w:type="spellStart"/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eg</w:t>
            </w:r>
            <w:proofErr w:type="spellEnd"/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, 5%, 10% or 50%)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2.3.4 Oxytocin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2.3.5 Epinephrine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2.3.6 Appropriate antibiotics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2.3.7 Diazepam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2.3.8 Magnesium sulphate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2.3.9 Paracetamol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2.3.10 Local anaesthetic (</w:t>
            </w:r>
            <w:proofErr w:type="spellStart"/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eg</w:t>
            </w:r>
            <w:proofErr w:type="spellEnd"/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, 2% lignocaine) (</w:t>
            </w:r>
            <w:proofErr w:type="spellStart"/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eg</w:t>
            </w:r>
            <w:proofErr w:type="spellEnd"/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, for intraosseous cannulation)</w:t>
            </w:r>
          </w:p>
        </w:tc>
      </w:tr>
      <w:tr w:rsidR="00A54219" w:rsidRPr="00073CBD" w:rsidTr="005D1C31">
        <w:tc>
          <w:tcPr>
            <w:tcW w:w="0" w:type="auto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0" w:line="360" w:lineRule="auto"/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  <w:lastRenderedPageBreak/>
              <w:t> </w:t>
            </w:r>
            <w:r w:rsidRPr="00073CBD"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  <w:t>2.4 Human resources</w:t>
            </w:r>
          </w:p>
        </w:tc>
        <w:tc>
          <w:tcPr>
            <w:tcW w:w="8343" w:type="dxa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2.4.1 Health workers with the ability to care for critically ill patients 24 hours/day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2.4.2 Senior health worker who can be called to assist with the care of critically ill patients 24 hour/day</w:t>
            </w:r>
          </w:p>
        </w:tc>
      </w:tr>
      <w:tr w:rsidR="00A54219" w:rsidRPr="00073CBD" w:rsidTr="005D1C31">
        <w:tc>
          <w:tcPr>
            <w:tcW w:w="0" w:type="auto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0" w:line="360" w:lineRule="auto"/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  <w:t> </w:t>
            </w:r>
            <w:r w:rsidRPr="00073CBD"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  <w:t>2.5 Training</w:t>
            </w:r>
          </w:p>
        </w:tc>
        <w:tc>
          <w:tcPr>
            <w:tcW w:w="8343" w:type="dxa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2.5.1 The health workers are trained in the care of critically ill patients</w:t>
            </w:r>
          </w:p>
        </w:tc>
      </w:tr>
      <w:tr w:rsidR="00A54219" w:rsidRPr="00073CBD" w:rsidTr="005D1C31">
        <w:tc>
          <w:tcPr>
            <w:tcW w:w="0" w:type="auto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0" w:line="360" w:lineRule="auto"/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  <w:t> </w:t>
            </w:r>
            <w:r w:rsidRPr="00073CBD"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  <w:t>2.6 Routines</w:t>
            </w:r>
          </w:p>
        </w:tc>
        <w:tc>
          <w:tcPr>
            <w:tcW w:w="8343" w:type="dxa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2.6.1 Routines for managing critically ill patients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 xml:space="preserve">2.6.2 Routine for the provision of EECC without </w:t>
            </w:r>
            <w:proofErr w:type="gramStart"/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taking into account</w:t>
            </w:r>
            <w:proofErr w:type="gramEnd"/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 xml:space="preserve"> patients’ ability to pay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2.6.3 Routines for who and how to call to seek senior help 24 hours/day, 7 days/week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2.6.4 Routines for integrating EECC with other care including the definitive care of the underlying condition (e.g., use of condition-specific guidelines)</w:t>
            </w:r>
          </w:p>
        </w:tc>
      </w:tr>
      <w:tr w:rsidR="00A54219" w:rsidRPr="00073CBD" w:rsidTr="005D1C31">
        <w:tc>
          <w:tcPr>
            <w:tcW w:w="0" w:type="auto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0" w:line="360" w:lineRule="auto"/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  <w:t> </w:t>
            </w:r>
            <w:r w:rsidRPr="00073CBD"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  <w:t>2.7 Guidelines</w:t>
            </w:r>
          </w:p>
        </w:tc>
        <w:tc>
          <w:tcPr>
            <w:tcW w:w="8343" w:type="dxa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2.7.1 Guidelines for the essential care of critically ill patients</w:t>
            </w:r>
          </w:p>
        </w:tc>
      </w:tr>
      <w:tr w:rsidR="00A54219" w:rsidRPr="00073CBD" w:rsidTr="005D1C31">
        <w:tc>
          <w:tcPr>
            <w:tcW w:w="0" w:type="auto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0" w:line="360" w:lineRule="auto"/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  <w:lastRenderedPageBreak/>
              <w:t> </w:t>
            </w:r>
            <w:r w:rsidRPr="00073CBD">
              <w:rPr>
                <w:rFonts w:eastAsia="Times New Roman" w:cstheme="minorHAnsi"/>
                <w:b/>
                <w:color w:val="333333"/>
                <w:sz w:val="24"/>
                <w:szCs w:val="24"/>
                <w:lang w:eastAsia="en-GB"/>
              </w:rPr>
              <w:t>2.8 Infrastructure</w:t>
            </w:r>
          </w:p>
        </w:tc>
        <w:tc>
          <w:tcPr>
            <w:tcW w:w="8343" w:type="dxa"/>
            <w:shd w:val="clear" w:color="auto" w:fill="FFFFFF"/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2.8.1 Designated space for the care of critically ill patients (e.g., a bay, ward, high dependency unit)</w:t>
            </w:r>
          </w:p>
          <w:p w:rsidR="00A54219" w:rsidRPr="00073CBD" w:rsidRDefault="00A54219" w:rsidP="005D1C31">
            <w:pPr>
              <w:spacing w:after="150" w:line="360" w:lineRule="auto"/>
              <w:ind w:left="360"/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</w:pPr>
            <w:r w:rsidRPr="00073CBD">
              <w:rPr>
                <w:rFonts w:eastAsia="Times New Roman" w:cstheme="minorHAnsi"/>
                <w:bCs/>
                <w:color w:val="333333"/>
                <w:sz w:val="24"/>
                <w:szCs w:val="24"/>
                <w:lang w:eastAsia="en-GB"/>
              </w:rPr>
              <w:t>2.8.2 Areas for separating and managing patients with a suspected or confirmed contagious disease from those without</w:t>
            </w:r>
          </w:p>
        </w:tc>
      </w:tr>
    </w:tbl>
    <w:p w:rsidR="00A54219" w:rsidRPr="00073CBD" w:rsidRDefault="00A54219" w:rsidP="00A54219">
      <w:pPr>
        <w:spacing w:line="360" w:lineRule="auto"/>
        <w:jc w:val="both"/>
        <w:rPr>
          <w:rFonts w:cstheme="minorHAnsi"/>
          <w:sz w:val="24"/>
          <w:szCs w:val="24"/>
        </w:rPr>
      </w:pPr>
    </w:p>
    <w:p w:rsidR="00A54219" w:rsidRPr="00073CBD" w:rsidRDefault="00A54219" w:rsidP="00A54219">
      <w:pPr>
        <w:spacing w:line="360" w:lineRule="auto"/>
        <w:jc w:val="both"/>
        <w:rPr>
          <w:rFonts w:cstheme="minorHAnsi"/>
          <w:b/>
          <w:sz w:val="24"/>
          <w:szCs w:val="24"/>
        </w:rPr>
      </w:pPr>
    </w:p>
    <w:p w:rsidR="00A54219" w:rsidRDefault="00A54219" w:rsidP="00A54219">
      <w:pPr>
        <w:spacing w:line="360" w:lineRule="auto"/>
        <w:jc w:val="both"/>
        <w:rPr>
          <w:rFonts w:cstheme="minorHAnsi"/>
          <w:b/>
          <w:sz w:val="24"/>
          <w:szCs w:val="24"/>
        </w:rPr>
      </w:pPr>
    </w:p>
    <w:p w:rsidR="00A54219" w:rsidRDefault="00A54219" w:rsidP="00A54219">
      <w:pPr>
        <w:spacing w:line="360" w:lineRule="auto"/>
        <w:jc w:val="both"/>
        <w:rPr>
          <w:rFonts w:cstheme="minorHAnsi"/>
          <w:b/>
          <w:sz w:val="24"/>
          <w:szCs w:val="24"/>
        </w:rPr>
      </w:pPr>
    </w:p>
    <w:p w:rsidR="00A54219" w:rsidRDefault="00A54219" w:rsidP="00A54219">
      <w:pPr>
        <w:spacing w:line="360" w:lineRule="auto"/>
        <w:jc w:val="both"/>
        <w:rPr>
          <w:rFonts w:cstheme="minorHAnsi"/>
          <w:b/>
          <w:sz w:val="24"/>
          <w:szCs w:val="24"/>
        </w:rPr>
      </w:pPr>
    </w:p>
    <w:p w:rsidR="00A54219" w:rsidRDefault="00A54219" w:rsidP="00A54219">
      <w:pPr>
        <w:spacing w:line="360" w:lineRule="auto"/>
        <w:jc w:val="both"/>
        <w:rPr>
          <w:rFonts w:cstheme="minorHAnsi"/>
          <w:b/>
          <w:sz w:val="24"/>
          <w:szCs w:val="24"/>
        </w:rPr>
      </w:pPr>
    </w:p>
    <w:p w:rsidR="00A54219" w:rsidRDefault="00A54219" w:rsidP="00A54219">
      <w:pPr>
        <w:spacing w:line="360" w:lineRule="auto"/>
        <w:jc w:val="both"/>
        <w:rPr>
          <w:rFonts w:cstheme="minorHAnsi"/>
          <w:b/>
          <w:sz w:val="24"/>
          <w:szCs w:val="24"/>
        </w:rPr>
      </w:pPr>
    </w:p>
    <w:p w:rsidR="00A54219" w:rsidRDefault="00A54219" w:rsidP="00A54219">
      <w:pPr>
        <w:spacing w:line="360" w:lineRule="auto"/>
        <w:jc w:val="both"/>
        <w:rPr>
          <w:rFonts w:cstheme="minorHAnsi"/>
          <w:b/>
          <w:sz w:val="24"/>
          <w:szCs w:val="24"/>
        </w:rPr>
      </w:pPr>
    </w:p>
    <w:p w:rsidR="00A54219" w:rsidRDefault="00A54219" w:rsidP="00A54219">
      <w:pPr>
        <w:spacing w:line="360" w:lineRule="auto"/>
        <w:jc w:val="both"/>
        <w:rPr>
          <w:rFonts w:cstheme="minorHAnsi"/>
          <w:b/>
          <w:sz w:val="24"/>
          <w:szCs w:val="24"/>
        </w:rPr>
      </w:pPr>
    </w:p>
    <w:p w:rsidR="00A54219" w:rsidRDefault="00A54219" w:rsidP="00A54219">
      <w:pPr>
        <w:spacing w:line="360" w:lineRule="auto"/>
        <w:jc w:val="both"/>
        <w:rPr>
          <w:rFonts w:cstheme="minorHAnsi"/>
          <w:b/>
          <w:sz w:val="24"/>
          <w:szCs w:val="24"/>
        </w:rPr>
      </w:pPr>
    </w:p>
    <w:p w:rsidR="00A54219" w:rsidRDefault="00A54219" w:rsidP="00A54219">
      <w:pPr>
        <w:spacing w:line="360" w:lineRule="auto"/>
        <w:jc w:val="both"/>
        <w:rPr>
          <w:rFonts w:cstheme="minorHAnsi"/>
          <w:b/>
          <w:sz w:val="24"/>
          <w:szCs w:val="24"/>
        </w:rPr>
      </w:pPr>
    </w:p>
    <w:p w:rsidR="00A54219" w:rsidRDefault="00A54219" w:rsidP="00A54219">
      <w:pPr>
        <w:spacing w:line="360" w:lineRule="auto"/>
        <w:jc w:val="both"/>
        <w:rPr>
          <w:rFonts w:cstheme="minorHAnsi"/>
          <w:b/>
          <w:sz w:val="24"/>
          <w:szCs w:val="24"/>
        </w:rPr>
      </w:pPr>
    </w:p>
    <w:p w:rsidR="00A54219" w:rsidRDefault="00A54219" w:rsidP="00A54219">
      <w:pPr>
        <w:spacing w:line="360" w:lineRule="auto"/>
        <w:jc w:val="both"/>
        <w:rPr>
          <w:rFonts w:cstheme="minorHAnsi"/>
          <w:b/>
          <w:sz w:val="24"/>
          <w:szCs w:val="24"/>
        </w:rPr>
      </w:pPr>
    </w:p>
    <w:p w:rsidR="00A54219" w:rsidRDefault="00A54219" w:rsidP="00A54219">
      <w:pPr>
        <w:spacing w:line="360" w:lineRule="auto"/>
        <w:jc w:val="both"/>
        <w:rPr>
          <w:rFonts w:cstheme="minorHAnsi"/>
          <w:b/>
          <w:sz w:val="24"/>
          <w:szCs w:val="24"/>
        </w:rPr>
      </w:pPr>
    </w:p>
    <w:p w:rsidR="00A54219" w:rsidRDefault="00A54219" w:rsidP="00A54219">
      <w:pPr>
        <w:spacing w:line="360" w:lineRule="auto"/>
        <w:jc w:val="both"/>
        <w:rPr>
          <w:rFonts w:cstheme="minorHAnsi"/>
          <w:b/>
          <w:sz w:val="24"/>
          <w:szCs w:val="24"/>
        </w:rPr>
      </w:pPr>
    </w:p>
    <w:p w:rsidR="00A54219" w:rsidRDefault="00A54219" w:rsidP="00A54219">
      <w:pPr>
        <w:spacing w:line="360" w:lineRule="auto"/>
        <w:jc w:val="both"/>
        <w:rPr>
          <w:rFonts w:cstheme="minorHAnsi"/>
          <w:b/>
          <w:sz w:val="24"/>
          <w:szCs w:val="24"/>
        </w:rPr>
      </w:pPr>
    </w:p>
    <w:p w:rsidR="00A54219" w:rsidRDefault="00A54219" w:rsidP="00A54219">
      <w:pPr>
        <w:spacing w:line="360" w:lineRule="auto"/>
        <w:jc w:val="both"/>
        <w:rPr>
          <w:rFonts w:cstheme="minorHAnsi"/>
          <w:b/>
          <w:sz w:val="24"/>
          <w:szCs w:val="24"/>
        </w:rPr>
      </w:pPr>
    </w:p>
    <w:p w:rsidR="00A54219" w:rsidRDefault="00A54219" w:rsidP="00A54219">
      <w:pPr>
        <w:spacing w:line="360" w:lineRule="auto"/>
        <w:jc w:val="both"/>
        <w:rPr>
          <w:rFonts w:cstheme="minorHAnsi"/>
          <w:b/>
          <w:sz w:val="24"/>
          <w:szCs w:val="24"/>
        </w:rPr>
      </w:pPr>
    </w:p>
    <w:p w:rsidR="00A54219" w:rsidRDefault="00A54219" w:rsidP="00A54219">
      <w:pPr>
        <w:spacing w:line="360" w:lineRule="auto"/>
        <w:jc w:val="both"/>
        <w:rPr>
          <w:rFonts w:cstheme="minorHAnsi"/>
          <w:b/>
          <w:sz w:val="24"/>
          <w:szCs w:val="24"/>
        </w:rPr>
      </w:pPr>
    </w:p>
    <w:p w:rsidR="00A54219" w:rsidRPr="00073CBD" w:rsidRDefault="00A54219" w:rsidP="00A54219">
      <w:pPr>
        <w:spacing w:line="36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lastRenderedPageBreak/>
        <w:t>Supplementary Table 2</w:t>
      </w:r>
    </w:p>
    <w:p w:rsidR="00A54219" w:rsidRPr="009756A6" w:rsidRDefault="00A54219" w:rsidP="00A54219">
      <w:pPr>
        <w:spacing w:line="360" w:lineRule="auto"/>
        <w:rPr>
          <w:rFonts w:cstheme="minorHAnsi"/>
          <w:b/>
          <w:bCs/>
          <w:sz w:val="24"/>
          <w:szCs w:val="24"/>
        </w:rPr>
      </w:pPr>
      <w:r w:rsidRPr="009756A6">
        <w:rPr>
          <w:rFonts w:cstheme="minorHAnsi"/>
          <w:b/>
          <w:bCs/>
          <w:sz w:val="24"/>
          <w:szCs w:val="24"/>
        </w:rPr>
        <w:t>Advanced Critical Care Hospital Readiness Requirements</w:t>
      </w:r>
      <w:r>
        <w:rPr>
          <w:rFonts w:cstheme="minorHAnsi"/>
          <w:b/>
          <w:bCs/>
          <w:sz w:val="24"/>
          <w:szCs w:val="24"/>
        </w:rPr>
        <w:fldChar w:fldCharType="begin"/>
      </w:r>
      <w:r>
        <w:rPr>
          <w:rFonts w:cstheme="minorHAnsi"/>
          <w:b/>
          <w:bCs/>
          <w:sz w:val="24"/>
          <w:szCs w:val="24"/>
        </w:rPr>
        <w:instrText xml:space="preserve"> ADDIN EN.CITE &lt;EndNote&gt;&lt;Cite&gt;&lt;Author&gt;Guinness&lt;/Author&gt;&lt;Year&gt;2023&lt;/Year&gt;&lt;RecNum&gt;1390&lt;/RecNum&gt;&lt;DisplayText&gt;(2)&lt;/DisplayText&gt;&lt;record&gt;&lt;rec-number&gt;1390&lt;/rec-number&gt;&lt;foreign-keys&gt;&lt;key app="EN" db-id="sd2raztf3zespcextp6vdszkvp5estwers09" timestamp="1676954751" guid="a51f258d-b779-4bb0-b962-5e27fe434338"&gt;1390&lt;/key&gt;&lt;/foreign-keys&gt;&lt;ref-type name="Journal Article"&gt;17&lt;/ref-type&gt;&lt;contributors&gt;&lt;authors&gt;&lt;author&gt;Guinness, Lorna&lt;/author&gt;&lt;author&gt;Kairu, Angela&lt;/author&gt;&lt;author&gt;Kuwawenaruwa, August&lt;/author&gt;&lt;author&gt;Khalid, Karima&lt;/author&gt;&lt;author&gt;Awadh, Khamis&lt;/author&gt;&lt;author&gt;Were, Vincent&lt;/author&gt;&lt;author&gt;Barasa, Edwine&lt;/author&gt;&lt;author&gt;Shah, Hiral&lt;/author&gt;&lt;author&gt;Baker, Peter&lt;/author&gt;&lt;author&gt;Schell, Carl Otto&lt;/author&gt;&lt;author&gt;Baker, Tim&lt;/author&gt;&lt;/authors&gt;&lt;/contributors&gt;&lt;titles&gt;&lt;title&gt;Essential emergency and critical care as a health system response to critical illness and the COVID19 pandemic: what does it cost?&lt;/title&gt;&lt;secondary-title&gt;Cost Effectiveness and Resource Allocation&lt;/secondary-title&gt;&lt;/titles&gt;&lt;periodical&gt;&lt;full-title&gt;Cost Effectiveness and Resource Allocation&lt;/full-title&gt;&lt;/periodical&gt;&lt;pages&gt;15&lt;/pages&gt;&lt;volume&gt;21&lt;/volume&gt;&lt;number&gt;1&lt;/number&gt;&lt;dates&gt;&lt;year&gt;2023&lt;/year&gt;&lt;pub-dates&gt;&lt;date&gt;2023/02/13&lt;/date&gt;&lt;/pub-dates&gt;&lt;/dates&gt;&lt;isbn&gt;1478-7547&lt;/isbn&gt;&lt;urls&gt;&lt;related-urls&gt;&lt;url&gt;https://doi.org/10.1186/s12962-023-00425-z&lt;/url&gt;&lt;/related-urls&gt;&lt;/urls&gt;&lt;electronic-resource-num&gt;10.1186/s12962-023-00425-z&lt;/electronic-resource-num&gt;&lt;/record&gt;&lt;/Cite&gt;&lt;/EndNote&gt;</w:instrText>
      </w:r>
      <w:r>
        <w:rPr>
          <w:rFonts w:cstheme="minorHAnsi"/>
          <w:b/>
          <w:bCs/>
          <w:sz w:val="24"/>
          <w:szCs w:val="24"/>
        </w:rPr>
        <w:fldChar w:fldCharType="separate"/>
      </w:r>
      <w:r>
        <w:rPr>
          <w:rFonts w:cstheme="minorHAnsi"/>
          <w:b/>
          <w:bCs/>
          <w:noProof/>
          <w:sz w:val="24"/>
          <w:szCs w:val="24"/>
        </w:rPr>
        <w:t>(2)</w:t>
      </w:r>
      <w:r>
        <w:rPr>
          <w:rFonts w:cstheme="minorHAnsi"/>
          <w:b/>
          <w:bCs/>
          <w:sz w:val="24"/>
          <w:szCs w:val="24"/>
        </w:rPr>
        <w:fldChar w:fldCharType="end"/>
      </w:r>
    </w:p>
    <w:p w:rsidR="00A54219" w:rsidRPr="00073CBD" w:rsidRDefault="00A54219" w:rsidP="00A54219">
      <w:pPr>
        <w:spacing w:after="0" w:line="360" w:lineRule="auto"/>
        <w:rPr>
          <w:rFonts w:eastAsia="Calibri" w:cstheme="minorHAnsi"/>
          <w:color w:val="000000" w:themeColor="text1"/>
          <w:sz w:val="24"/>
          <w:szCs w:val="24"/>
        </w:rPr>
      </w:pPr>
      <w:r w:rsidRPr="00073CBD">
        <w:rPr>
          <w:rFonts w:cstheme="minorHAnsi"/>
          <w:sz w:val="24"/>
          <w:szCs w:val="24"/>
        </w:rPr>
        <w:t>The required resources are divided into categories of equipment, consumables, drugs, human resources, training, routines</w:t>
      </w:r>
      <w:r w:rsidRPr="00073CBD">
        <w:rPr>
          <w:rStyle w:val="FootnoteReference"/>
          <w:rFonts w:cstheme="minorHAnsi"/>
          <w:sz w:val="24"/>
          <w:szCs w:val="24"/>
        </w:rPr>
        <w:footnoteReference w:id="1"/>
      </w:r>
      <w:r w:rsidRPr="00073CBD">
        <w:rPr>
          <w:rFonts w:cstheme="minorHAnsi"/>
          <w:sz w:val="24"/>
          <w:szCs w:val="24"/>
        </w:rPr>
        <w:t>, guidelines</w:t>
      </w:r>
      <w:r w:rsidRPr="00073CBD">
        <w:rPr>
          <w:rStyle w:val="FootnoteReference"/>
          <w:rFonts w:cstheme="minorHAnsi"/>
          <w:sz w:val="24"/>
          <w:szCs w:val="24"/>
        </w:rPr>
        <w:footnoteReference w:id="2"/>
      </w:r>
      <w:r w:rsidRPr="00073CBD">
        <w:rPr>
          <w:rFonts w:cstheme="minorHAnsi"/>
          <w:sz w:val="24"/>
          <w:szCs w:val="24"/>
        </w:rPr>
        <w:t xml:space="preserve">, infrastructure and support services. Each resource item appears only once, and does not appear if it is included in the EECC HRRL </w:t>
      </w:r>
    </w:p>
    <w:p w:rsidR="00A54219" w:rsidRPr="00073CBD" w:rsidRDefault="00A54219" w:rsidP="00A54219">
      <w:pPr>
        <w:spacing w:after="0" w:line="360" w:lineRule="auto"/>
        <w:jc w:val="both"/>
        <w:rPr>
          <w:rFonts w:eastAsia="Calibri" w:cstheme="minorHAnsi"/>
          <w:color w:val="000000" w:themeColor="text1"/>
          <w:sz w:val="24"/>
          <w:szCs w:val="24"/>
        </w:rPr>
      </w:pPr>
    </w:p>
    <w:tbl>
      <w:tblPr>
        <w:tblStyle w:val="TableGrid1"/>
        <w:tblW w:w="5000" w:type="pct"/>
        <w:tblLook w:val="04A0" w:firstRow="1" w:lastRow="0" w:firstColumn="1" w:lastColumn="0" w:noHBand="0" w:noVBand="1"/>
      </w:tblPr>
      <w:tblGrid>
        <w:gridCol w:w="2329"/>
        <w:gridCol w:w="6687"/>
      </w:tblGrid>
      <w:tr w:rsidR="00A54219" w:rsidRPr="00073CBD" w:rsidTr="005D1C31">
        <w:trPr>
          <w:trHeight w:val="450"/>
        </w:trPr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219" w:rsidRPr="00073CBD" w:rsidRDefault="00A54219" w:rsidP="005D1C31">
            <w:pPr>
              <w:spacing w:line="360" w:lineRule="auto"/>
              <w:rPr>
                <w:rFonts w:eastAsia="Calibri" w:cstheme="minorHAnsi"/>
                <w:b/>
                <w:bCs/>
                <w:sz w:val="24"/>
                <w:szCs w:val="24"/>
              </w:rPr>
            </w:pPr>
            <w:r w:rsidRPr="00073CBD">
              <w:rPr>
                <w:rFonts w:eastAsia="Calibri" w:cstheme="minorHAnsi"/>
                <w:b/>
                <w:bCs/>
                <w:sz w:val="24"/>
                <w:szCs w:val="24"/>
              </w:rPr>
              <w:t>CATEGORY</w:t>
            </w:r>
          </w:p>
        </w:tc>
        <w:tc>
          <w:tcPr>
            <w:tcW w:w="3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219" w:rsidRPr="00073CBD" w:rsidRDefault="00A54219" w:rsidP="005D1C31">
            <w:pPr>
              <w:spacing w:line="360" w:lineRule="auto"/>
              <w:rPr>
                <w:rFonts w:eastAsia="Calibri" w:cstheme="minorHAnsi"/>
                <w:b/>
                <w:bCs/>
                <w:sz w:val="24"/>
                <w:szCs w:val="24"/>
              </w:rPr>
            </w:pPr>
            <w:r w:rsidRPr="00073CBD">
              <w:rPr>
                <w:rFonts w:eastAsia="Calibri" w:cstheme="minorHAnsi"/>
                <w:b/>
                <w:bCs/>
                <w:sz w:val="24"/>
                <w:szCs w:val="24"/>
              </w:rPr>
              <w:t>ITEM</w:t>
            </w:r>
          </w:p>
        </w:tc>
      </w:tr>
      <w:tr w:rsidR="00A54219" w:rsidRPr="00073CBD" w:rsidTr="005D1C31"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219" w:rsidRPr="00073CBD" w:rsidRDefault="00A54219" w:rsidP="00A54219">
            <w:pPr>
              <w:numPr>
                <w:ilvl w:val="1"/>
                <w:numId w:val="1"/>
              </w:numPr>
              <w:spacing w:line="360" w:lineRule="auto"/>
              <w:contextualSpacing/>
              <w:rPr>
                <w:rFonts w:eastAsia="Calibri" w:cstheme="minorHAnsi"/>
                <w:sz w:val="24"/>
                <w:szCs w:val="24"/>
              </w:rPr>
            </w:pPr>
            <w:r w:rsidRPr="00073CBD">
              <w:rPr>
                <w:rFonts w:eastAsia="Calibri" w:cstheme="minorHAnsi"/>
                <w:sz w:val="24"/>
                <w:szCs w:val="24"/>
              </w:rPr>
              <w:t>EQUIPMENT</w:t>
            </w:r>
          </w:p>
        </w:tc>
        <w:tc>
          <w:tcPr>
            <w:tcW w:w="3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Multiparametric patient monitor (ECG, HR, BP, SP02)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 xml:space="preserve">Flashlight for pupillary reflexes 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Reflex hammer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Scissors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 xml:space="preserve">Laryngoscope 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Mackintosh laryngoscope blades of different sizes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Straight laryngoscope blades of different sizes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 xml:space="preserve">Video laryngoscope or fibreoptic flexible laryngoscope 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Magill’s forceps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Cuff manometer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Tracheostomy/ percutaneous tracheostomy surgical set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Flexible bronchoscope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 xml:space="preserve">High Flow Oxygen machine 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High-flow oxygen (piped)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Piped Oxygen flow meters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CPAP and BiPAP machine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Mechanical ventilator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Nebuliser for mechanical ventilator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Humidifier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lastRenderedPageBreak/>
              <w:t>Air compressor for dilution of oxygen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High frequency Oscillatory Ventilator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Blood gas analyser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Capnograph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Minor surgery equipment set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Nebuliser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Syringe drivers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ETT (endo-tracheal tube) holder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 xml:space="preserve">Invasive blood pressure </w:t>
            </w:r>
            <w:proofErr w:type="gramStart"/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monitor</w:t>
            </w:r>
            <w:proofErr w:type="gramEnd"/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 xml:space="preserve"> or module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Infusion pumps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Glucometers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Dialysis machine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Defibrillator (monophasic/biphasic)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Ultrasound machine with echocardiography capacity and probes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Fridge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Blood warmer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Spine board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Pill crusher (for giving enteric medicine)</w:t>
            </w:r>
          </w:p>
        </w:tc>
      </w:tr>
      <w:tr w:rsidR="00A54219" w:rsidRPr="00073CBD" w:rsidTr="005D1C31"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219" w:rsidRPr="00073CBD" w:rsidRDefault="00A54219" w:rsidP="00A54219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lastRenderedPageBreak/>
              <w:t>CONSUMABLES</w:t>
            </w:r>
          </w:p>
        </w:tc>
        <w:tc>
          <w:tcPr>
            <w:tcW w:w="3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ECG electrodes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Rigid neck collars of different sizes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Temperature probe for continuous monitoring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Urine dipsticks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Central venous catheters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Arterial catheters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Transducer sets for invasive pressure monitoring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Central dialysis catheters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Nasopharyngeal airways of adult and paediatric sizes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Lubricating jelly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LMAs (laryngeal mask airways) of adult and paediatric sizes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Syringes 20ml and 50ml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lastRenderedPageBreak/>
              <w:t>Endotracheal tubes of adult and paediatric sizes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Introducer/stylet for intubation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Boogie stylet for intubation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Cricothyroidotomy kit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Tracheostomy tubes of different sizes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High flow nasal catheters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CPAP/BiPAP masks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 xml:space="preserve">HME (Heat &amp; Moisture Exchange) filters 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Face-straps for CPAP/BIPAP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Tubing for ventilator (breathing circuits)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Reagents for blood gas analysis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Test tubes for blood gas analysis (heparinised)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Under water seal drainage system for chest drains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Chest drains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Sutures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Pressure bag able to inflate to 300 mmHg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Sterile clothes and drapes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Narrow width tape</w:t>
            </w: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ab/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Blood giving set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proofErr w:type="spellStart"/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Torniquets</w:t>
            </w:r>
            <w:proofErr w:type="spellEnd"/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 xml:space="preserve"> for bleeding control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Compression stockings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Lower-limb pneumatic device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Test tubes for sample collection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Urinary catheters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Urine collection bag with hourly markings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Nasogastric tubes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Nasogastric feeding bags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Bolus-feeding Syringe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Glucose strips for glucometer</w:t>
            </w:r>
          </w:p>
        </w:tc>
      </w:tr>
      <w:tr w:rsidR="00A54219" w:rsidRPr="00073CBD" w:rsidTr="005D1C31"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219" w:rsidRPr="00073CBD" w:rsidRDefault="00A54219" w:rsidP="00A54219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lastRenderedPageBreak/>
              <w:t>DRUGS</w:t>
            </w:r>
          </w:p>
        </w:tc>
        <w:tc>
          <w:tcPr>
            <w:tcW w:w="3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Propofol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Ketamine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lastRenderedPageBreak/>
              <w:t>Succinylcholine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Atracurium or other non-depolarising muscle relaxant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 xml:space="preserve">Fentanyl or </w:t>
            </w:r>
            <w:proofErr w:type="gramStart"/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other</w:t>
            </w:r>
            <w:proofErr w:type="gramEnd"/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 xml:space="preserve"> rapid-acting opioid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Ephedrine or phenylephrine or metaraminol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proofErr w:type="spellStart"/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Nitroglycerine</w:t>
            </w:r>
            <w:proofErr w:type="spellEnd"/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Naloxone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Neostigmine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Atropine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Distilled water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Salbutamol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proofErr w:type="spellStart"/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Ipratroprium</w:t>
            </w:r>
            <w:proofErr w:type="spellEnd"/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 xml:space="preserve"> 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Adrenaline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Noradrenaline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Dobutamine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Vasopressin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 xml:space="preserve">Betablocker e.g. </w:t>
            </w:r>
            <w:proofErr w:type="spellStart"/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labetolol</w:t>
            </w:r>
            <w:proofErr w:type="spellEnd"/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Amlodipine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Nimodipine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Heparin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Packed red blood cells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Platelets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Fresh Frozen Plasma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Vitamin K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Tranexamic acid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LMWH e.g. Enoxaparin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Mannitol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Hypertonic saline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Potassium chloride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Calcium gluconate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Magnesium Phosphate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Frusemide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proofErr w:type="spellStart"/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lastRenderedPageBreak/>
              <w:t>Naso</w:t>
            </w:r>
            <w:proofErr w:type="spellEnd"/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-gastric feed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Total Parenteral Nutrition feed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Insulin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 xml:space="preserve">Proton Pump Inhibitor </w:t>
            </w:r>
            <w:proofErr w:type="spellStart"/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eg</w:t>
            </w:r>
            <w:proofErr w:type="spellEnd"/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 xml:space="preserve"> omeprazole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 xml:space="preserve">Histamine-2 receptor blocker </w:t>
            </w:r>
            <w:proofErr w:type="spellStart"/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eg</w:t>
            </w:r>
            <w:proofErr w:type="spellEnd"/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 xml:space="preserve"> ranitidine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Dialysis fluids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IV Amiodarone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IV Lidocaine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Sodium bicarbonate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IV paracetamol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NSAID e.g. diclofenac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Morphine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Local anaesthetic agent (block) – e.g. bupivacaine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Midazolam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Haloperidol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Diazepam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Clonidine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Flumazenil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Phenytoin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Phenobarbital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Levetiracetam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 xml:space="preserve">Appropriate selection of second line antibiotics (e.g. meropenem, piperacillin, </w:t>
            </w:r>
            <w:proofErr w:type="gramStart"/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 xml:space="preserve">vancomycin)   </w:t>
            </w:r>
            <w:proofErr w:type="gramEnd"/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 xml:space="preserve">   </w:t>
            </w:r>
          </w:p>
        </w:tc>
      </w:tr>
      <w:tr w:rsidR="00A54219" w:rsidRPr="00073CBD" w:rsidTr="005D1C31"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219" w:rsidRPr="00073CBD" w:rsidRDefault="00A54219" w:rsidP="00A54219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lastRenderedPageBreak/>
              <w:t>HUMAN RESOURCES</w:t>
            </w:r>
          </w:p>
        </w:tc>
        <w:tc>
          <w:tcPr>
            <w:tcW w:w="3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4219" w:rsidRPr="00073CBD" w:rsidRDefault="00A54219" w:rsidP="00A54219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Nursing staff with critical care training or comparable experience in critical care as a nurse: patient ratio 1:2, 24hrs/day, seven days a week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Clinicians (e.g. doctors, junior doctors or other health-workers able to diagnose medical conditions, prescribe medications and decide care plans) with Advanced Organ Support training or comparable experience always present in the unit – ratio 1:4 daytime and 1:12 night-time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lastRenderedPageBreak/>
              <w:t>Senior clinician (e.g. doctor with medical degree and experience) with Advanced Organ Support training:</w:t>
            </w:r>
          </w:p>
          <w:p w:rsidR="00A54219" w:rsidRPr="00073CBD" w:rsidRDefault="00A54219" w:rsidP="00A54219">
            <w:pPr>
              <w:pStyle w:val="ListParagraph"/>
              <w:numPr>
                <w:ilvl w:val="2"/>
                <w:numId w:val="5"/>
              </w:numPr>
              <w:spacing w:line="360" w:lineRule="auto"/>
              <w:ind w:left="691" w:hanging="283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Daytime: present in the unit for some time every day, on-call for immediate telephone consultation, and always able to be in the unit within 30 minutes</w:t>
            </w:r>
          </w:p>
          <w:p w:rsidR="00A54219" w:rsidRPr="00073CBD" w:rsidRDefault="00A54219" w:rsidP="00A54219">
            <w:pPr>
              <w:pStyle w:val="ListParagraph"/>
              <w:numPr>
                <w:ilvl w:val="2"/>
                <w:numId w:val="5"/>
              </w:numPr>
              <w:spacing w:line="360" w:lineRule="auto"/>
              <w:ind w:left="691" w:hanging="283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Night-time: on-call for immediate telephone consultation and able to be in the unit within 60 minutes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Ready access to support from external specialists: (e.g. surgeon, infectious disease specialist/microbiologist, respiratory physician, nephrologist, cardiologist etc)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Presence of a rapid response team with an alerting system</w:t>
            </w:r>
          </w:p>
          <w:p w:rsidR="00A54219" w:rsidRPr="00073CBD" w:rsidRDefault="00A54219" w:rsidP="005D1C31">
            <w:pPr>
              <w:pStyle w:val="ListParagraph"/>
              <w:spacing w:line="360" w:lineRule="auto"/>
              <w:ind w:left="360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</w:tr>
      <w:tr w:rsidR="00A54219" w:rsidRPr="00073CBD" w:rsidTr="005D1C31"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219" w:rsidRPr="00073CBD" w:rsidRDefault="00A54219" w:rsidP="00A54219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lastRenderedPageBreak/>
              <w:t>TRAINING</w:t>
            </w:r>
          </w:p>
        </w:tc>
        <w:tc>
          <w:tcPr>
            <w:tcW w:w="3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219" w:rsidRPr="00073CBD" w:rsidRDefault="00A54219" w:rsidP="00A54219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Training (including simulation) in Advanced Organ Support (e.g. identification of patients requiring AOS, ABCs, medical emergencies, BLS/ALS, crew resource management, teamwork and communication)</w:t>
            </w:r>
          </w:p>
        </w:tc>
      </w:tr>
      <w:tr w:rsidR="00A54219" w:rsidRPr="00073CBD" w:rsidTr="005D1C31"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219" w:rsidRPr="00073CBD" w:rsidRDefault="00A54219" w:rsidP="00A54219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ROUTINES</w:t>
            </w:r>
          </w:p>
        </w:tc>
        <w:tc>
          <w:tcPr>
            <w:tcW w:w="3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219" w:rsidRPr="00073CBD" w:rsidRDefault="00A54219" w:rsidP="00A54219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Routines for the identification of patients requiring Advanced Organ Support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 xml:space="preserve">Routines for all of the Advanced Organ Support functions and common problems, emergencies and procedures (e.g. intubation, accidental </w:t>
            </w:r>
            <w:proofErr w:type="spellStart"/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extubation</w:t>
            </w:r>
            <w:proofErr w:type="spellEnd"/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, cardiac arrest etc)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One formal daily multidisciplinary ward round every morning plus an extra shorter ward round every afternoon/evening on weekdays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Routines for antibiotic stewardship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End-of-life routines</w:t>
            </w:r>
          </w:p>
        </w:tc>
      </w:tr>
      <w:tr w:rsidR="00A54219" w:rsidRPr="00073CBD" w:rsidTr="005D1C31"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219" w:rsidRPr="00073CBD" w:rsidRDefault="00A54219" w:rsidP="00A54219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GUIDELINES</w:t>
            </w:r>
          </w:p>
        </w:tc>
        <w:tc>
          <w:tcPr>
            <w:tcW w:w="3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219" w:rsidRPr="00073CBD" w:rsidRDefault="00A54219" w:rsidP="00A54219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Guidelines for the identification of patients requiring Advanced Organ Support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 xml:space="preserve">Guidelines for all the Advanced Organ Support functions (e.g. common problems, emergencies and procedures (e.g. </w:t>
            </w: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lastRenderedPageBreak/>
              <w:t xml:space="preserve">intubation, accidental </w:t>
            </w:r>
            <w:proofErr w:type="spellStart"/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extubation</w:t>
            </w:r>
            <w:proofErr w:type="spellEnd"/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 xml:space="preserve">, cardiac arrest etc) are available and visible to health care workers 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Guidelines for antibiotic stewardship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End-of-life guidelines</w:t>
            </w:r>
          </w:p>
        </w:tc>
      </w:tr>
      <w:tr w:rsidR="00A54219" w:rsidRPr="00073CBD" w:rsidTr="005D1C31"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219" w:rsidRPr="00073CBD" w:rsidRDefault="00A54219" w:rsidP="00A54219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lastRenderedPageBreak/>
              <w:t>INFRASTRUCTURE</w:t>
            </w:r>
          </w:p>
        </w:tc>
        <w:tc>
          <w:tcPr>
            <w:tcW w:w="3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219" w:rsidRPr="00073CBD" w:rsidRDefault="00A54219" w:rsidP="00A54219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Intensive Care Unit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Adequate space around the patients’ beds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Isolation rooms for contagious or immunocompromised patients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Rapid communication system</w:t>
            </w:r>
          </w:p>
        </w:tc>
      </w:tr>
      <w:tr w:rsidR="00A54219" w:rsidRPr="00073CBD" w:rsidTr="005D1C31"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219" w:rsidRPr="00073CBD" w:rsidRDefault="00A54219" w:rsidP="00A54219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SUPPORT SERVICES</w:t>
            </w:r>
          </w:p>
        </w:tc>
        <w:tc>
          <w:tcPr>
            <w:tcW w:w="39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219" w:rsidRPr="00073CBD" w:rsidRDefault="00A54219" w:rsidP="00A54219">
            <w:pPr>
              <w:pStyle w:val="ListParagraph"/>
              <w:numPr>
                <w:ilvl w:val="0"/>
                <w:numId w:val="10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Full blood count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10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Urea and Creatinine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10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 xml:space="preserve">Electrolytes 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10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 xml:space="preserve">Lactate 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10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Liver function tests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10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Prothrombin Time (INR) and other coagulation tests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10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Blood grouping and cross-matching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10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C-reactive protein</w:t>
            </w:r>
          </w:p>
          <w:p w:rsidR="00A54219" w:rsidRPr="00073CBD" w:rsidRDefault="00A54219" w:rsidP="00A54219">
            <w:pPr>
              <w:pStyle w:val="ListParagraph"/>
              <w:numPr>
                <w:ilvl w:val="0"/>
                <w:numId w:val="10"/>
              </w:numPr>
              <w:spacing w:line="360" w:lineRule="auto"/>
              <w:rPr>
                <w:rFonts w:eastAsia="Calibri" w:cstheme="minorHAnsi"/>
                <w:sz w:val="24"/>
                <w:szCs w:val="24"/>
                <w:lang w:val="en-GB"/>
              </w:rPr>
            </w:pPr>
            <w:r w:rsidRPr="00073CBD">
              <w:rPr>
                <w:rFonts w:eastAsia="Calibri" w:cstheme="minorHAnsi"/>
                <w:sz w:val="24"/>
                <w:szCs w:val="24"/>
                <w:lang w:val="en-GB"/>
              </w:rPr>
              <w:t>Portable chest x-ray (e.g. for endotracheal tube position, nasogastric tube position etc)</w:t>
            </w:r>
          </w:p>
        </w:tc>
        <w:bookmarkStart w:id="0" w:name="_GoBack"/>
        <w:bookmarkEnd w:id="0"/>
      </w:tr>
    </w:tbl>
    <w:p w:rsidR="00A54219" w:rsidRPr="00073CBD" w:rsidRDefault="00A54219" w:rsidP="00A54219">
      <w:pPr>
        <w:spacing w:line="360" w:lineRule="auto"/>
        <w:jc w:val="both"/>
        <w:rPr>
          <w:rFonts w:cstheme="minorHAnsi"/>
          <w:b/>
          <w:bCs/>
          <w:sz w:val="24"/>
          <w:szCs w:val="24"/>
        </w:rPr>
      </w:pPr>
      <w:r w:rsidRPr="00073CBD">
        <w:rPr>
          <w:rFonts w:cstheme="minorHAnsi"/>
          <w:b/>
          <w:bCs/>
          <w:sz w:val="24"/>
          <w:szCs w:val="24"/>
        </w:rPr>
        <w:t>Total items: 161</w:t>
      </w:r>
    </w:p>
    <w:p w:rsidR="00A54219" w:rsidRDefault="00A54219"/>
    <w:p w:rsidR="00A54219" w:rsidRPr="00A54219" w:rsidRDefault="00A54219">
      <w:pPr>
        <w:rPr>
          <w:b/>
          <w:sz w:val="24"/>
          <w:szCs w:val="24"/>
        </w:rPr>
      </w:pPr>
      <w:r w:rsidRPr="00A54219">
        <w:rPr>
          <w:b/>
          <w:sz w:val="24"/>
          <w:szCs w:val="24"/>
        </w:rPr>
        <w:t>References</w:t>
      </w:r>
    </w:p>
    <w:p w:rsidR="00A54219" w:rsidRPr="00A54219" w:rsidRDefault="00A54219" w:rsidP="00A54219">
      <w:pPr>
        <w:pStyle w:val="EndNoteBibliography"/>
        <w:spacing w:after="0"/>
        <w:rPr>
          <w:sz w:val="24"/>
          <w:szCs w:val="24"/>
        </w:rPr>
      </w:pPr>
      <w:r w:rsidRPr="00A54219">
        <w:rPr>
          <w:sz w:val="24"/>
          <w:szCs w:val="24"/>
        </w:rPr>
        <w:fldChar w:fldCharType="begin"/>
      </w:r>
      <w:r w:rsidRPr="00A54219">
        <w:rPr>
          <w:sz w:val="24"/>
          <w:szCs w:val="24"/>
        </w:rPr>
        <w:instrText xml:space="preserve"> ADDIN EN.REFLIST </w:instrText>
      </w:r>
      <w:r w:rsidRPr="00A54219">
        <w:rPr>
          <w:sz w:val="24"/>
          <w:szCs w:val="24"/>
        </w:rPr>
        <w:fldChar w:fldCharType="separate"/>
      </w:r>
      <w:r w:rsidRPr="00A54219">
        <w:rPr>
          <w:sz w:val="24"/>
          <w:szCs w:val="24"/>
        </w:rPr>
        <w:t>1.</w:t>
      </w:r>
      <w:r w:rsidRPr="00A54219">
        <w:rPr>
          <w:sz w:val="24"/>
          <w:szCs w:val="24"/>
        </w:rPr>
        <w:tab/>
        <w:t>Schell CO, Khalid K, Wharton-Smith A, Oliwa J, Sawe HR, Roy N, et al. Essential Emergency and Critical Care: a consensus among global clinical experts. BMJ Global Health. 2021;6(9):e006585.</w:t>
      </w:r>
    </w:p>
    <w:p w:rsidR="00A54219" w:rsidRPr="00A54219" w:rsidRDefault="00A54219" w:rsidP="00A54219">
      <w:pPr>
        <w:pStyle w:val="EndNoteBibliography"/>
        <w:rPr>
          <w:sz w:val="24"/>
          <w:szCs w:val="24"/>
        </w:rPr>
      </w:pPr>
      <w:r w:rsidRPr="00A54219">
        <w:rPr>
          <w:sz w:val="24"/>
          <w:szCs w:val="24"/>
        </w:rPr>
        <w:t>2.</w:t>
      </w:r>
      <w:r w:rsidRPr="00A54219">
        <w:rPr>
          <w:sz w:val="24"/>
          <w:szCs w:val="24"/>
        </w:rPr>
        <w:tab/>
        <w:t>Guinness L, Kairu A, Kuwawenaruwa A, Khalid K, Awadh K, Were V, et al. Essential emergency and critical care as a health system response to critical illness and the COVID19 pandemic: what does it cost? Cost Effectiveness and Resource Allocation. 2023;21(1):15.</w:t>
      </w:r>
    </w:p>
    <w:p w:rsidR="00D90E12" w:rsidRDefault="00A54219">
      <w:r w:rsidRPr="00A54219">
        <w:rPr>
          <w:sz w:val="24"/>
          <w:szCs w:val="24"/>
        </w:rPr>
        <w:fldChar w:fldCharType="end"/>
      </w:r>
    </w:p>
    <w:sectPr w:rsidR="00D90E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08B2" w:rsidRDefault="001608B2" w:rsidP="00A54219">
      <w:pPr>
        <w:spacing w:after="0" w:line="240" w:lineRule="auto"/>
      </w:pPr>
      <w:r>
        <w:separator/>
      </w:r>
    </w:p>
  </w:endnote>
  <w:endnote w:type="continuationSeparator" w:id="0">
    <w:p w:rsidR="001608B2" w:rsidRDefault="001608B2" w:rsidP="00A542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08B2" w:rsidRDefault="001608B2" w:rsidP="00A54219">
      <w:pPr>
        <w:spacing w:after="0" w:line="240" w:lineRule="auto"/>
      </w:pPr>
      <w:r>
        <w:separator/>
      </w:r>
    </w:p>
  </w:footnote>
  <w:footnote w:type="continuationSeparator" w:id="0">
    <w:p w:rsidR="001608B2" w:rsidRDefault="001608B2" w:rsidP="00A54219">
      <w:pPr>
        <w:spacing w:after="0" w:line="240" w:lineRule="auto"/>
      </w:pPr>
      <w:r>
        <w:continuationSeparator/>
      </w:r>
    </w:p>
  </w:footnote>
  <w:footnote w:id="1">
    <w:p w:rsidR="00A54219" w:rsidRDefault="00A54219" w:rsidP="00A54219">
      <w:pPr>
        <w:spacing w:after="0"/>
        <w:rPr>
          <w:sz w:val="20"/>
          <w:szCs w:val="20"/>
        </w:rPr>
      </w:pPr>
      <w:r>
        <w:rPr>
          <w:rStyle w:val="FootnoteReference"/>
        </w:rPr>
        <w:footnoteRef/>
      </w:r>
      <w:r>
        <w:t xml:space="preserve"> </w:t>
      </w:r>
      <w:r>
        <w:rPr>
          <w:sz w:val="20"/>
          <w:szCs w:val="20"/>
        </w:rPr>
        <w:t xml:space="preserve">“Routines” refers to the system in the hospital for managing critically ill patients. </w:t>
      </w:r>
      <w:proofErr w:type="spellStart"/>
      <w:r>
        <w:rPr>
          <w:sz w:val="20"/>
          <w:szCs w:val="20"/>
        </w:rPr>
        <w:t>ie</w:t>
      </w:r>
      <w:proofErr w:type="spellEnd"/>
      <w:r>
        <w:rPr>
          <w:sz w:val="20"/>
          <w:szCs w:val="20"/>
        </w:rPr>
        <w:t>. there are routines for the care of critical illness, rather than patients being managed ad hoc.</w:t>
      </w:r>
    </w:p>
    <w:p w:rsidR="00A54219" w:rsidRDefault="00A54219" w:rsidP="00A54219">
      <w:pPr>
        <w:pStyle w:val="FootnoteText"/>
        <w:rPr>
          <w:lang w:val="en-US"/>
        </w:rPr>
      </w:pPr>
    </w:p>
  </w:footnote>
  <w:footnote w:id="2">
    <w:p w:rsidR="00A54219" w:rsidRDefault="00A54219" w:rsidP="00A54219">
      <w:r>
        <w:rPr>
          <w:rStyle w:val="FootnoteReference"/>
        </w:rPr>
        <w:footnoteRef/>
      </w:r>
      <w:r>
        <w:t xml:space="preserve"> </w:t>
      </w:r>
      <w:r>
        <w:rPr>
          <w:sz w:val="20"/>
          <w:szCs w:val="20"/>
        </w:rPr>
        <w:t xml:space="preserve"> “Guidelines” refers to written material (</w:t>
      </w:r>
      <w:proofErr w:type="spellStart"/>
      <w:r>
        <w:rPr>
          <w:sz w:val="20"/>
          <w:szCs w:val="20"/>
        </w:rPr>
        <w:t>eg.</w:t>
      </w:r>
      <w:proofErr w:type="spellEnd"/>
      <w:r>
        <w:rPr>
          <w:sz w:val="20"/>
          <w:szCs w:val="20"/>
        </w:rPr>
        <w:t xml:space="preserve"> a wall chart or a booklet) that describes how critically ill patients should be identified and managed.</w:t>
      </w:r>
    </w:p>
    <w:p w:rsidR="00A54219" w:rsidRDefault="00A54219" w:rsidP="00A54219">
      <w:pPr>
        <w:pStyle w:val="FootnoteText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412471"/>
    <w:multiLevelType w:val="multilevel"/>
    <w:tmpl w:val="F1D4D78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1C116247"/>
    <w:multiLevelType w:val="multilevel"/>
    <w:tmpl w:val="F1D4D78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35BF17A8"/>
    <w:multiLevelType w:val="multilevel"/>
    <w:tmpl w:val="F1D4D78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3C9C6F5D"/>
    <w:multiLevelType w:val="multilevel"/>
    <w:tmpl w:val="F1D4D78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49AD4273"/>
    <w:multiLevelType w:val="multilevel"/>
    <w:tmpl w:val="F1D4D78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4E820BB0"/>
    <w:multiLevelType w:val="multilevel"/>
    <w:tmpl w:val="F1D4D78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5E2749B8"/>
    <w:multiLevelType w:val="multilevel"/>
    <w:tmpl w:val="E3249AD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66800645"/>
    <w:multiLevelType w:val="multilevel"/>
    <w:tmpl w:val="F1D4D78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6E00428C"/>
    <w:multiLevelType w:val="multilevel"/>
    <w:tmpl w:val="6E3EDD82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6FB367B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8"/>
  </w:num>
  <w:num w:numId="2">
    <w:abstractNumId w:val="9"/>
  </w:num>
  <w:num w:numId="3">
    <w:abstractNumId w:val="1"/>
  </w:num>
  <w:num w:numId="4">
    <w:abstractNumId w:val="6"/>
  </w:num>
  <w:num w:numId="5">
    <w:abstractNumId w:val="4"/>
  </w:num>
  <w:num w:numId="6">
    <w:abstractNumId w:val="7"/>
  </w:num>
  <w:num w:numId="7">
    <w:abstractNumId w:val="2"/>
  </w:num>
  <w:num w:numId="8">
    <w:abstractNumId w:val="5"/>
  </w:num>
  <w:num w:numId="9">
    <w:abstractNumId w:val="0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d2raztf3zespcextp6vdszkvp5estwers09&quot;&gt;New Crit Care LIC 2014 Master&lt;record-ids&gt;&lt;item&gt;1354&lt;/item&gt;&lt;item&gt;1390&lt;/item&gt;&lt;/record-ids&gt;&lt;/item&gt;&lt;/Libraries&gt;"/>
  </w:docVars>
  <w:rsids>
    <w:rsidRoot w:val="00A54219"/>
    <w:rsid w:val="001608B2"/>
    <w:rsid w:val="00621F9F"/>
    <w:rsid w:val="00A54219"/>
    <w:rsid w:val="00D90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1AF4BB"/>
  <w15:chartTrackingRefBased/>
  <w15:docId w15:val="{C8B9D606-7FBD-4602-B18B-E9920CBBA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A54219"/>
    <w:pPr>
      <w:spacing w:after="0" w:line="240" w:lineRule="auto"/>
    </w:pPr>
    <w:rPr>
      <w:sz w:val="20"/>
      <w:szCs w:val="20"/>
      <w:lang w:val="sv-SE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54219"/>
    <w:rPr>
      <w:sz w:val="20"/>
      <w:szCs w:val="20"/>
      <w:lang w:val="sv-SE"/>
    </w:rPr>
  </w:style>
  <w:style w:type="character" w:styleId="FootnoteReference">
    <w:name w:val="footnote reference"/>
    <w:basedOn w:val="DefaultParagraphFont"/>
    <w:uiPriority w:val="99"/>
    <w:semiHidden/>
    <w:unhideWhenUsed/>
    <w:rsid w:val="00A54219"/>
    <w:rPr>
      <w:vertAlign w:val="superscript"/>
    </w:rPr>
  </w:style>
  <w:style w:type="paragraph" w:styleId="ListParagraph">
    <w:name w:val="List Paragraph"/>
    <w:basedOn w:val="Normal"/>
    <w:uiPriority w:val="34"/>
    <w:qFormat/>
    <w:rsid w:val="00A54219"/>
    <w:pPr>
      <w:ind w:left="720"/>
      <w:contextualSpacing/>
    </w:pPr>
    <w:rPr>
      <w:lang w:val="en-US"/>
    </w:rPr>
  </w:style>
  <w:style w:type="table" w:customStyle="1" w:styleId="TableGrid1">
    <w:name w:val="Table Grid1"/>
    <w:basedOn w:val="TableNormal"/>
    <w:next w:val="TableGrid"/>
    <w:uiPriority w:val="39"/>
    <w:rsid w:val="00A542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A542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A5421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54219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A54219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A54219"/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12</Pages>
  <Words>2045</Words>
  <Characters>11659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Karima Khalid</dc:creator>
  <cp:keywords/>
  <dc:description/>
  <cp:lastModifiedBy>Karima Khalid</cp:lastModifiedBy>
  <cp:revision>1</cp:revision>
  <dcterms:created xsi:type="dcterms:W3CDTF">2023-03-28T10:54:00Z</dcterms:created>
  <dcterms:modified xsi:type="dcterms:W3CDTF">2023-03-28T11:10:00Z</dcterms:modified>
</cp:coreProperties>
</file>