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B16C8" w14:textId="77777777" w:rsidR="00F37D00" w:rsidRPr="00B96B52" w:rsidRDefault="00F37D00" w:rsidP="00F37D00">
      <w:pPr>
        <w:pStyle w:val="Para2lines"/>
        <w:adjustRightInd w:val="0"/>
        <w:snapToGrid w:val="0"/>
        <w:spacing w:afterLines="0" w:after="0" w:line="480" w:lineRule="auto"/>
        <w:ind w:firstLine="0"/>
        <w:rPr>
          <w:rFonts w:cs="Times New Roman"/>
          <w:b/>
          <w:bCs/>
          <w:sz w:val="22"/>
          <w:shd w:val="clear" w:color="auto" w:fill="FFFFFF"/>
          <w:lang w:val="en-US" w:eastAsia="zh-CN"/>
        </w:rPr>
      </w:pPr>
      <w:r w:rsidRPr="00B96B52">
        <w:rPr>
          <w:rFonts w:cs="Times New Roman"/>
          <w:b/>
          <w:bCs/>
          <w:sz w:val="22"/>
          <w:shd w:val="clear" w:color="auto" w:fill="FFFFFF"/>
          <w:lang w:val="en-US" w:eastAsia="zh-CN"/>
        </w:rPr>
        <w:t>Table 2. P</w:t>
      </w:r>
      <w:r w:rsidRPr="00B96B52">
        <w:rPr>
          <w:rFonts w:cs="Times New Roman"/>
          <w:b/>
          <w:bCs/>
          <w:sz w:val="22"/>
          <w:lang w:val="en-US"/>
        </w:rPr>
        <w:t xml:space="preserve">resumed </w:t>
      </w:r>
      <w:r w:rsidRPr="00B96B52">
        <w:rPr>
          <w:rFonts w:cs="Times New Roman"/>
          <w:b/>
          <w:bCs/>
          <w:sz w:val="22"/>
          <w:shd w:val="clear" w:color="auto" w:fill="FFFFFF"/>
          <w:lang w:val="en-US" w:eastAsia="zh-CN"/>
        </w:rPr>
        <w:t xml:space="preserve">VP4 </w:t>
      </w:r>
      <w:r w:rsidRPr="00B96B52">
        <w:rPr>
          <w:rFonts w:cs="Times New Roman"/>
          <w:b/>
          <w:bCs/>
          <w:sz w:val="22"/>
          <w:lang w:val="en-US"/>
        </w:rPr>
        <w:t>neutralizing antigen epitope</w:t>
      </w:r>
      <w:r w:rsidRPr="00B96B52">
        <w:rPr>
          <w:rFonts w:cs="Times New Roman"/>
          <w:b/>
          <w:bCs/>
          <w:sz w:val="22"/>
          <w:shd w:val="clear" w:color="auto" w:fill="FFFFFF"/>
          <w:lang w:val="en-US" w:eastAsia="zh-CN"/>
        </w:rPr>
        <w:t xml:space="preserve"> differences between N4006 and vaccines or P[8] strains circulating globally.</w:t>
      </w:r>
    </w:p>
    <w:tbl>
      <w:tblPr>
        <w:tblW w:w="1095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7"/>
        <w:gridCol w:w="236"/>
        <w:gridCol w:w="2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F37D00" w:rsidRPr="00B96B52" w14:paraId="12444FAD" w14:textId="77777777" w:rsidTr="00F16335">
        <w:trPr>
          <w:trHeight w:val="300"/>
          <w:jc w:val="center"/>
        </w:trPr>
        <w:tc>
          <w:tcPr>
            <w:tcW w:w="2222" w:type="dxa"/>
            <w:vMerge w:val="restart"/>
            <w:shd w:val="clear" w:color="000000" w:fill="FFFFFF"/>
            <w:vAlign w:val="center"/>
          </w:tcPr>
          <w:p w14:paraId="48B5C747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S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trains</w:t>
            </w:r>
          </w:p>
        </w:tc>
        <w:tc>
          <w:tcPr>
            <w:tcW w:w="2596" w:type="dxa"/>
            <w:gridSpan w:val="11"/>
            <w:shd w:val="clear" w:color="000000" w:fill="FFFFFF"/>
            <w:noWrap/>
            <w:vAlign w:val="center"/>
          </w:tcPr>
          <w:p w14:paraId="00AAD9B8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8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-1</w:t>
            </w:r>
          </w:p>
        </w:tc>
        <w:tc>
          <w:tcPr>
            <w:tcW w:w="472" w:type="dxa"/>
            <w:gridSpan w:val="2"/>
            <w:shd w:val="clear" w:color="000000" w:fill="FFFFFF"/>
            <w:noWrap/>
            <w:vAlign w:val="center"/>
          </w:tcPr>
          <w:p w14:paraId="356F230A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8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-2</w:t>
            </w:r>
          </w:p>
        </w:tc>
        <w:tc>
          <w:tcPr>
            <w:tcW w:w="2124" w:type="dxa"/>
            <w:gridSpan w:val="9"/>
            <w:shd w:val="clear" w:color="auto" w:fill="auto"/>
            <w:noWrap/>
            <w:vAlign w:val="center"/>
          </w:tcPr>
          <w:p w14:paraId="039FFD25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8-3</w:t>
            </w:r>
          </w:p>
        </w:tc>
        <w:tc>
          <w:tcPr>
            <w:tcW w:w="713" w:type="dxa"/>
            <w:gridSpan w:val="3"/>
            <w:shd w:val="clear" w:color="000000" w:fill="FFFFFF"/>
            <w:noWrap/>
            <w:vAlign w:val="center"/>
          </w:tcPr>
          <w:p w14:paraId="2BBF3076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8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-4</w:t>
            </w:r>
          </w:p>
        </w:tc>
        <w:tc>
          <w:tcPr>
            <w:tcW w:w="1888" w:type="dxa"/>
            <w:gridSpan w:val="8"/>
            <w:shd w:val="clear" w:color="000000" w:fill="FFFFFF"/>
            <w:vAlign w:val="center"/>
          </w:tcPr>
          <w:p w14:paraId="60B2E54C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5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-1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4A138AEC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5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-2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6AC5524E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5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-3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2EF35A9F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5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-4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48E848F9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5</w:t>
            </w: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-5</w:t>
            </w:r>
          </w:p>
        </w:tc>
      </w:tr>
      <w:tr w:rsidR="00F37D00" w:rsidRPr="00B96B52" w14:paraId="15C3EFD3" w14:textId="77777777" w:rsidTr="00F16335">
        <w:trPr>
          <w:trHeight w:val="300"/>
          <w:jc w:val="center"/>
        </w:trPr>
        <w:tc>
          <w:tcPr>
            <w:tcW w:w="2222" w:type="dxa"/>
            <w:vMerge/>
            <w:shd w:val="clear" w:color="000000" w:fill="FFFFFF"/>
            <w:vAlign w:val="center"/>
            <w:hideMark/>
          </w:tcPr>
          <w:p w14:paraId="61B163CE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6D4ECC5F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100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03033FF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146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2EBAA0E8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148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48BBAF83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150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63490D27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188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048A85D6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190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513D0F19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192</w:t>
            </w:r>
          </w:p>
        </w:tc>
        <w:tc>
          <w:tcPr>
            <w:tcW w:w="236" w:type="dxa"/>
            <w:shd w:val="clear" w:color="000000" w:fill="FFFFFF"/>
            <w:vAlign w:val="center"/>
            <w:hideMark/>
          </w:tcPr>
          <w:p w14:paraId="2E79204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193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77D90B3A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194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C90A76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195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34740E70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196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635AB29B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180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2982CEEF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183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A496C83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113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0DD48E39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114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2E60CFC3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115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530F4860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116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0C58713B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125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37FC9C8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131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710ECF4C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132</w:t>
            </w:r>
          </w:p>
        </w:tc>
        <w:tc>
          <w:tcPr>
            <w:tcW w:w="236" w:type="dxa"/>
            <w:shd w:val="clear" w:color="000000" w:fill="FFFFFF"/>
            <w:vAlign w:val="center"/>
            <w:hideMark/>
          </w:tcPr>
          <w:p w14:paraId="60337D09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133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250A7CC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135</w:t>
            </w:r>
          </w:p>
        </w:tc>
        <w:tc>
          <w:tcPr>
            <w:tcW w:w="237" w:type="dxa"/>
            <w:shd w:val="clear" w:color="000000" w:fill="FFFFFF"/>
            <w:noWrap/>
            <w:vAlign w:val="center"/>
            <w:hideMark/>
          </w:tcPr>
          <w:p w14:paraId="5B421BAB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87</w:t>
            </w:r>
          </w:p>
        </w:tc>
        <w:tc>
          <w:tcPr>
            <w:tcW w:w="236" w:type="dxa"/>
            <w:shd w:val="clear" w:color="000000" w:fill="FFFFFF"/>
            <w:noWrap/>
            <w:vAlign w:val="center"/>
            <w:hideMark/>
          </w:tcPr>
          <w:p w14:paraId="122C51C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88</w:t>
            </w:r>
          </w:p>
        </w:tc>
        <w:tc>
          <w:tcPr>
            <w:tcW w:w="240" w:type="dxa"/>
            <w:shd w:val="clear" w:color="000000" w:fill="FFFFFF"/>
            <w:noWrap/>
            <w:vAlign w:val="center"/>
            <w:hideMark/>
          </w:tcPr>
          <w:p w14:paraId="494B07C7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89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5E76431E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384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79F9D054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386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7FBA1F12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388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2246FFC9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393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18CF7A71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394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6A991245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398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0D5EDD60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440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0B5F6C77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441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66D0DABC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434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75643F67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459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21E13BD8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429</w:t>
            </w:r>
          </w:p>
        </w:tc>
        <w:tc>
          <w:tcPr>
            <w:tcW w:w="236" w:type="dxa"/>
            <w:shd w:val="clear" w:color="000000" w:fill="FFFFFF"/>
            <w:vAlign w:val="center"/>
          </w:tcPr>
          <w:p w14:paraId="58C196D3" w14:textId="77777777" w:rsidR="00F37D00" w:rsidRPr="00B96B52" w:rsidRDefault="00F37D00" w:rsidP="00F16335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306</w:t>
            </w:r>
          </w:p>
        </w:tc>
      </w:tr>
      <w:tr w:rsidR="00F37D00" w:rsidRPr="00B96B52" w14:paraId="3D56109E" w14:textId="77777777" w:rsidTr="00F16335">
        <w:trPr>
          <w:trHeight w:val="285"/>
          <w:jc w:val="center"/>
        </w:trPr>
        <w:tc>
          <w:tcPr>
            <w:tcW w:w="2222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18D43CF5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N4006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21334B8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47E59A0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4E525DB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8E26CF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317BACC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70A1299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71C535A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35A86A0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18F8CCC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D51BF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599F21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48CDA5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144847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DEC65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046CA8C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5794206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68ABF32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9BC99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91054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3C83B4A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3B6584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65DEC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501F841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641AD7A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74D0A43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339D8A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5D3981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237FD8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39056F9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2096EE5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594355F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745484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7F1E4E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65E7D62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A0F544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09213E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bottom w:val="nil"/>
            </w:tcBorders>
            <w:shd w:val="clear" w:color="000000" w:fill="FFFFFF"/>
            <w:vAlign w:val="center"/>
          </w:tcPr>
          <w:p w14:paraId="5B5DECE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291F53EC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C847CE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Z6398/2019/CHN/G9P[8]-E2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3776B7A" w14:textId="77777777" w:rsidR="00F37D00" w:rsidRPr="00B96B52" w:rsidRDefault="00F37D00" w:rsidP="00F16335">
            <w:pPr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62DF4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71D0E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AFC47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211ADC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437D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2E02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B192F9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435B4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112E5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52CD74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44C177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62DD59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6746F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1A2E0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76564A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7D3B39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9D559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E8478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70C2A0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B54CA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4A4AC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322AEC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497A18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81D338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34DA5D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4DF277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FFA6A6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4CFFD2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A2EB86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D65F47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B60E61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676D7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DDF9D7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6A998C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356F8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82DB2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1109F64B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1E340E7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Fuzhou18-152/2018/CHN/G9P[8]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63DB24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7ED889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9DDC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17637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4F620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D70C7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AAA862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AE97BB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A3C8E8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3573F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DAF96A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33C4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14025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A9A17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A4030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C14471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F7C4E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4A78D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0A813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0AC0F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D98A15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3732F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4DFC28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736D4F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D93ECD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EF2562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1E0637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854E7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C32E1F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713441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92879F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0DB5DA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AA5C67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4BB66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4D6BE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930620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02E088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1D556D1C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63A4727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JS2016/2016/CHN/G9P[8]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4C88DF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CFA2A2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430A8B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C60A7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8C4CB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A6838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B5480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3CCB53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F4FF12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E2D1E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09BBDB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1C93EA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74DF6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ABAF9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B7CE6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96A1B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AC6B5C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37A9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7C940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448678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8B77CE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24091B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223493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EBB8E4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C4D3FF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A9B5E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5931B5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78D281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D47860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BEE3AB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D4FA62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3A6AD1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C4B33A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C0987E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AE800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5727CB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2728C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034F2EB4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14791D4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Km15100/2015/CHN/G9P[8]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1B256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BB6F5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EAC587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CBB07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53DA52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8F51CB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E5C3D2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3A2C75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6C78F4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D09C1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E00FD8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70A7EC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8AF74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0636C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6F692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20B06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1BB5E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1E6D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56215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C4AB67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945D5B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25481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C4C70E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951F9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2EAE35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8204CA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A29B0E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C739E8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946A8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AC737D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B751C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EC860F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83C7CE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90AB5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00936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C8AA07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D3AC97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E2B278C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FBF4E7D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SC9/2014/CHN/G9P[8]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932D38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DE8A7E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7EDB1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A7801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6E97C1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64A961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66C9D0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D05FD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7F8CC1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B954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6E4340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BAC44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AD4C9F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55E0E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9A0D5D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A38FC4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3380E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E58FA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C4390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4CBBE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5AAD6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CBAEB0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9D78EF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D94534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E4B917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17CDA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038860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37BCED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FBB867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8236EE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26394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14B802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87F05D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C100E7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F08447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B36B96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D74A00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E8190B0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898EFE4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Tokyo18-43/2018/JPN/G9P[8]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E37C2F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C40307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590F75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6C920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2BDC5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AB07A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462D8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24D0C0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0D331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5781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7DDF3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8E8B29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2184FD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BC47D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71D07A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FBB77D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5F2768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BB2FE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29969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78331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F1713E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364016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9791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7B12DD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337CD9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ED7272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F068C7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948789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C47293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106416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80825B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B9BF61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3D6A1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41BA6A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D46A1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6F7F5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19FE78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7B2BBBA6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B9892B2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VU12-13-101/2013/USA/G9P[8]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74079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F84DE1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749AC9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6FF82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28F9FF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AF8E8F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A0D95D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63ADBC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B0D7C3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63228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93123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D1EAE9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D1DAB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3FBDD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663E50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155652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4156FF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7438E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B8EE2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F9468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B87D0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44F415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F8B5E8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0B667C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B7947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DC7269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C1F6F4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CFBDD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5758BC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980F48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3322D6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7045E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DB0C4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167AA5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0FDD84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55F7A2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DF14C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2A6056D0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CACE75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JES11/2010/ITA/G9P[8]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A5F41C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36B89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F80E03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258E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1E6B70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B08ACC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6D87C2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A207AD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B14DE8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A892E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019009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A39463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246F11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9BC94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186C0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98A4E5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9EB1E9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01644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71582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34EBD8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EC9F88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551138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26674B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98481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011F89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C7989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D92328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CA9A20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2B92A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A703A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644824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D46987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53C95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15F428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E890D6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AD46E7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29E34E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1907B603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CEF3BAF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CAU09-376/2017/KOR/G9P[8]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0D1856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0F7E90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B2BFB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721FC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23A140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91DFD6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E8EEAC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BD19B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335210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3FE57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6524E8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9C9F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99A7D5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7422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542B4C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B1F11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1E9DE0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F8544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C6843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2CBB4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BC9667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86DE53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AFE2E1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43BF9E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BEF1E4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F69AAA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3C514E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AC081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6377DB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9DF318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27C8DB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F54A43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D2D389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AE1961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B48770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60C27A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B5939B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233123E4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DE6216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Moscow-40/2020/RUS/G3P[8]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965CD6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18568A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60C4A5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8C177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96CE46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182474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DF4B00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F10E81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6A55A8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8EDD8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3D4B6B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27279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CA44B3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E7ACA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3D710F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CB33B4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2F5372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51CDC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4F1EE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3609FA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CDA153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56DFF9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7F2CDF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D490F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DC92BF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9A8885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1830A6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B3316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1ECEA4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8E4E05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F7EC4A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D4A290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114075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6B929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1E384F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071F1D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E56CE3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A3DFD46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3A9F7F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Dhaka16/BGW/2003/G1P[8]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705916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BA89E3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ECBB1C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6FDF6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9DB6B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1B3621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9C633B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BAD1E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13039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7CFFE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371670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0896C6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310797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11BAF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53E025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6ED723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E4310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EAD9E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B6F6B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722DAE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350B1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0F7412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88B60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5F513C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604C86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089151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5FA44D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D2F6B6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3942D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2C4F6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922742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9CDD54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87CD77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862F10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6C5A2F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709962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5D2276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4E1E1607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72A2704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CAU17L-103/2009/KOR/G8P[8]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727B45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93D8EF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9A2B07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5970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405D9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35442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2805DE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19EA6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E57461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28592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7F1695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361FFB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19C37F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1CF8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F7C997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0A17CF1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E71221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3599A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55936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205E06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67E38B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529CF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35CC3C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8CFF3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CB2BF8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06B692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3ADCA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D386F4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910EFE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9D10C6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3D4780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90E2E8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01C373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57F96C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C7D0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E8BD59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58E45F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4CE073D3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33FDE76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 xml:space="preserve">RV1/G1P[8]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4463F7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45FE8A8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5115617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48045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DA703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0FD13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D8E4C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E2F1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F15C0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65184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60D5B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F3FF0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8CCF0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EED4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506DA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8B0BB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4E1F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15F42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43321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E5544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E086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F5E3B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2E8EA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241B1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316EC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7354C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9497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D5146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7CA50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325A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84F0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CDE5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499F5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3C01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9D6EF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6416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736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F90D7E3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9C831DA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RV5/P[8]</w:t>
            </w:r>
            <w:r w:rsidRPr="00B96B52">
              <w:rPr>
                <w:rFonts w:ascii="Times New Roman" w:eastAsia="DengXian" w:hAnsi="Times New Roman" w:cs="Times New Roman" w:hint="eastAsia"/>
                <w:kern w:val="0"/>
                <w:sz w:val="28"/>
                <w:szCs w:val="28"/>
                <w:vertAlign w:val="superscript"/>
              </w:rPr>
              <w:t xml:space="preserve">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02D6DF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9E124B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6D49E43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C5994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961DB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FF0F6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FDFFE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E86C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95359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34DB2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C790E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FAB5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2C06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FDD42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C02A3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1F6DB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C1167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87BF4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C1DDC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663D7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4FCE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A7470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5DE8E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BDF49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DF22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1F376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9C581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EC014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FA177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63618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A0AF4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1756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21A9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28D0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87F7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9F98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0D82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0E52844B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2B6EE24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Rotavin-M1/P[8]</w:t>
            </w:r>
            <w:r w:rsidRPr="00B96B52">
              <w:rPr>
                <w:rFonts w:ascii="Times New Roman" w:eastAsia="DengXian" w:hAnsi="Times New Roman" w:cs="Times New Roman"/>
                <w:kern w:val="0"/>
                <w:sz w:val="28"/>
                <w:szCs w:val="28"/>
                <w:vertAlign w:val="superscript"/>
              </w:rPr>
              <w:t xml:space="preserve">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EDAAA4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5C33F6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E645BE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26DF6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5519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B8A9A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51C0E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62A8E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F65BD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2F251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AEF4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E9394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46B05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E7836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A9983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0F82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7CD44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E84EA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1F4D7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EBA9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D509A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F12D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E1D80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2896C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2CFFD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hAnsi="Arial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60F4F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2713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DEEBE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0CE6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D873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6A6E7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1C279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26ADD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79B2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37C15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00295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E3A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628C9D4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EA9D7B0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LLR/P[15]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4C435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40BE2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CBB7E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5C168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D9168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43137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4D7F0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0F63D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754A5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B1469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EDF30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91747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2EBF8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77130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22FEF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9B2AE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C8F6F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B6696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F62C7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14DD3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6ACB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CBE0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Q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7E3A9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9B084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98651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A845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63A97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68119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6C66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A58E3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DD46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DA805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7B168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1BE8F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6621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D018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FE88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2BD82803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5D39FCF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Rotavac-116E/P[11]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A6A13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838CB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BA9BE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FCC39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E75DE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0950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55236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C704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AC144E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93DD3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9B2C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F4CB3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2563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62955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083CC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10F9D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4D422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EFFA5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62734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EC543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668BA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096EA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E79B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53764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N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EC76F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9C323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FAEC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206AE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B2B1C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B1B8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BC3A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CE1E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70765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7887D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FF878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Q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FF837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C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326E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R</w:t>
            </w:r>
          </w:p>
        </w:tc>
      </w:tr>
      <w:tr w:rsidR="00F37D00" w:rsidRPr="00B96B52" w14:paraId="3680A539" w14:textId="77777777" w:rsidTr="00F16335">
        <w:trPr>
          <w:trHeight w:val="300"/>
          <w:jc w:val="center"/>
        </w:trPr>
        <w:tc>
          <w:tcPr>
            <w:tcW w:w="2222" w:type="dxa"/>
            <w:tcBorders>
              <w:top w:val="nil"/>
            </w:tcBorders>
            <w:shd w:val="clear" w:color="000000" w:fill="FFFFFF"/>
            <w:vAlign w:val="center"/>
          </w:tcPr>
          <w:p w14:paraId="1E83C87E" w14:textId="77777777" w:rsidR="00F37D00" w:rsidRPr="00B96B52" w:rsidRDefault="00F37D00" w:rsidP="00F16335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RV5/P[5]</w:t>
            </w:r>
            <w:r w:rsidRPr="00B96B52">
              <w:rPr>
                <w:rFonts w:ascii="Times New Roman" w:eastAsia="DengXian" w:hAnsi="Times New Roman" w:cs="Times New Roman" w:hint="eastAsia"/>
                <w:kern w:val="0"/>
                <w:sz w:val="28"/>
                <w:szCs w:val="28"/>
                <w:vertAlign w:val="superscript"/>
              </w:rPr>
              <w:t xml:space="preserve"> </w:t>
            </w:r>
            <w:r w:rsidRPr="00B96B52">
              <w:rPr>
                <w:rFonts w:ascii="Times New Roman" w:eastAsia="DengXian" w:hAnsi="Times New Roman" w:cs="Times New Roman" w:hint="eastAsia"/>
                <w:i/>
                <w:iCs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AF559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73C7E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1C8529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153FC0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D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3B7AF3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E879B8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925F9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6A69CBD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BEDD5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3E165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EBE93D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V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5F96B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259DE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26B1C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80095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F3692F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16FF5A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4ED9E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0AC50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S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35279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N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6A3C660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A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222AE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D</w:t>
            </w:r>
          </w:p>
        </w:tc>
        <w:tc>
          <w:tcPr>
            <w:tcW w:w="23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D4A107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3283D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G</w:t>
            </w:r>
          </w:p>
        </w:tc>
        <w:tc>
          <w:tcPr>
            <w:tcW w:w="2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F82046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64FB097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Y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0DA7645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F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69C0267B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b/>
                <w:bCs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0B911939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W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58815FB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76410E2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G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38C8A385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0435E562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T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22AD9FB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P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79D420E4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 w:hint="eastAsia"/>
                <w:kern w:val="0"/>
                <w:sz w:val="13"/>
                <w:szCs w:val="13"/>
              </w:rPr>
              <w:t>E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59FEB1A1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L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1AF14F6C" w14:textId="77777777" w:rsidR="00F37D00" w:rsidRPr="00B96B52" w:rsidRDefault="00F37D00" w:rsidP="00F16335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</w:pPr>
            <w:r w:rsidRPr="00B96B52">
              <w:rPr>
                <w:rFonts w:ascii="Times New Roman" w:eastAsia="DengXian" w:hAnsi="Times New Roman" w:cs="Times New Roman"/>
                <w:kern w:val="0"/>
                <w:sz w:val="13"/>
                <w:szCs w:val="13"/>
              </w:rPr>
              <w:t>R</w:t>
            </w:r>
          </w:p>
        </w:tc>
      </w:tr>
    </w:tbl>
    <w:p w14:paraId="004F3E06" w14:textId="77777777" w:rsidR="00F37D00" w:rsidRPr="007E6E19" w:rsidRDefault="00F37D00" w:rsidP="00F37D00">
      <w:pPr>
        <w:pStyle w:val="Para2lines"/>
        <w:adjustRightInd w:val="0"/>
        <w:snapToGrid w:val="0"/>
        <w:spacing w:afterLines="0" w:after="0" w:line="480" w:lineRule="auto"/>
        <w:ind w:firstLine="0"/>
        <w:rPr>
          <w:rFonts w:cs="Times New Roman"/>
          <w:sz w:val="18"/>
          <w:szCs w:val="18"/>
          <w:lang w:val="en-US"/>
        </w:rPr>
      </w:pPr>
      <w:r w:rsidRPr="00B96B52">
        <w:rPr>
          <w:rFonts w:cs="Times New Roman"/>
          <w:sz w:val="18"/>
          <w:szCs w:val="18"/>
          <w:lang w:val="en-US"/>
        </w:rPr>
        <w:t>VP4 consists of two subunits, VP8</w:t>
      </w:r>
      <w:r w:rsidRPr="00B96B52">
        <w:rPr>
          <w:rFonts w:eastAsia="DengXian" w:cs="Times New Roman"/>
          <w:sz w:val="18"/>
          <w:szCs w:val="18"/>
          <w:shd w:val="clear" w:color="auto" w:fill="FFFFFF"/>
          <w:lang w:val="en-US"/>
        </w:rPr>
        <w:t>*</w:t>
      </w:r>
      <w:r w:rsidRPr="00B96B52">
        <w:rPr>
          <w:rFonts w:cs="Times New Roman"/>
          <w:sz w:val="18"/>
          <w:szCs w:val="18"/>
          <w:lang w:val="en-US"/>
        </w:rPr>
        <w:t xml:space="preserve"> and VP5</w:t>
      </w:r>
      <w:r w:rsidRPr="00B96B52">
        <w:rPr>
          <w:rFonts w:eastAsia="DengXian" w:cs="Times New Roman"/>
          <w:sz w:val="18"/>
          <w:szCs w:val="18"/>
          <w:shd w:val="clear" w:color="auto" w:fill="FFFFFF"/>
          <w:lang w:val="en-US"/>
        </w:rPr>
        <w:t>*</w:t>
      </w:r>
      <w:r w:rsidRPr="00B96B52">
        <w:rPr>
          <w:rFonts w:cs="Times New Roman"/>
          <w:sz w:val="18"/>
          <w:szCs w:val="18"/>
          <w:lang w:val="en-US"/>
        </w:rPr>
        <w:t>, which have neutralizing epitope regions. The</w:t>
      </w:r>
      <w:r w:rsidRPr="00B96B52">
        <w:rPr>
          <w:rFonts w:eastAsia="DengXian" w:cs="Times New Roman"/>
          <w:sz w:val="18"/>
          <w:szCs w:val="18"/>
          <w:shd w:val="clear" w:color="auto" w:fill="FFFFFF"/>
          <w:lang w:val="en-US"/>
        </w:rPr>
        <w:t xml:space="preserve"> </w:t>
      </w:r>
      <w:r w:rsidRPr="00B96B52">
        <w:rPr>
          <w:rFonts w:cs="Times New Roman"/>
          <w:sz w:val="18"/>
          <w:szCs w:val="18"/>
          <w:lang w:val="en-US"/>
        </w:rPr>
        <w:t>presumed neutralizing antigen epitopes in VP8</w:t>
      </w:r>
      <w:r w:rsidRPr="00B96B52">
        <w:rPr>
          <w:rFonts w:eastAsia="DengXian" w:cs="Times New Roman"/>
          <w:sz w:val="18"/>
          <w:szCs w:val="18"/>
          <w:shd w:val="clear" w:color="auto" w:fill="FFFFFF"/>
          <w:lang w:val="en-US"/>
        </w:rPr>
        <w:t>*</w:t>
      </w:r>
      <w:r w:rsidRPr="00B96B52">
        <w:rPr>
          <w:rFonts w:cs="Times New Roman"/>
          <w:sz w:val="18"/>
          <w:szCs w:val="18"/>
          <w:lang w:val="en-US"/>
        </w:rPr>
        <w:t xml:space="preserve"> (8-1, 8-2, 8-3, 8-4) and VP5</w:t>
      </w:r>
      <w:r w:rsidRPr="00B96B52">
        <w:rPr>
          <w:rFonts w:eastAsia="DengXian" w:cs="Times New Roman"/>
          <w:sz w:val="18"/>
          <w:szCs w:val="18"/>
          <w:shd w:val="clear" w:color="auto" w:fill="FFFFFF"/>
          <w:lang w:val="en-US"/>
        </w:rPr>
        <w:t>*</w:t>
      </w:r>
      <w:r w:rsidRPr="00B96B52">
        <w:rPr>
          <w:rFonts w:cs="Times New Roman"/>
          <w:sz w:val="18"/>
          <w:szCs w:val="18"/>
          <w:lang w:val="en-US"/>
        </w:rPr>
        <w:t xml:space="preserve"> (5-1, 5-</w:t>
      </w:r>
      <w:r w:rsidRPr="007E6E19">
        <w:rPr>
          <w:rFonts w:cs="Times New Roman"/>
          <w:sz w:val="18"/>
          <w:szCs w:val="18"/>
          <w:lang w:val="en-US"/>
        </w:rPr>
        <w:t>2, 5-3, 5-4, 5-5) of N4006 were compared with those of vaccine strains and RVA P[8] epidemic strains.</w:t>
      </w:r>
      <w:r w:rsidRPr="007E6E19">
        <w:rPr>
          <w:rFonts w:cs="Times New Roman" w:hint="eastAsia"/>
          <w:sz w:val="18"/>
          <w:szCs w:val="18"/>
          <w:lang w:val="en-US" w:eastAsia="zh-CN"/>
        </w:rPr>
        <w:t xml:space="preserve"> </w:t>
      </w:r>
      <w:r w:rsidRPr="007E6E19">
        <w:rPr>
          <w:rFonts w:eastAsia="DengXian" w:cs="Times New Roman" w:hint="eastAsia"/>
          <w:i/>
          <w:iCs/>
          <w:sz w:val="18"/>
          <w:szCs w:val="18"/>
          <w:vertAlign w:val="superscript"/>
        </w:rPr>
        <w:t>a</w:t>
      </w:r>
      <w:r w:rsidRPr="007E6E19">
        <w:rPr>
          <w:rFonts w:cs="Times New Roman"/>
          <w:sz w:val="18"/>
          <w:szCs w:val="18"/>
          <w:lang w:val="en-US"/>
        </w:rPr>
        <w:t xml:space="preserve"> Prevalent strains of G9P[8] genotype in VP4 phylogenetic tree lineage 3;</w:t>
      </w:r>
      <w:r w:rsidRPr="007E6E19">
        <w:rPr>
          <w:rFonts w:cs="Times New Roman" w:hint="eastAsia"/>
          <w:sz w:val="18"/>
          <w:szCs w:val="18"/>
          <w:lang w:val="en-US" w:eastAsia="zh-CN"/>
        </w:rPr>
        <w:t xml:space="preserve"> </w:t>
      </w:r>
      <w:r w:rsidRPr="007E6E19">
        <w:rPr>
          <w:rFonts w:eastAsia="DengXian" w:cs="Times New Roman"/>
          <w:i/>
          <w:iCs/>
          <w:sz w:val="18"/>
          <w:szCs w:val="18"/>
          <w:vertAlign w:val="superscript"/>
        </w:rPr>
        <w:t xml:space="preserve">b </w:t>
      </w:r>
      <w:r w:rsidRPr="007E6E19">
        <w:rPr>
          <w:rFonts w:cs="Times New Roman"/>
          <w:sz w:val="18"/>
          <w:szCs w:val="18"/>
          <w:lang w:val="en-US"/>
        </w:rPr>
        <w:t>prevalent strains of P[8] of other G genotypes in lineage 3</w:t>
      </w:r>
      <w:r w:rsidRPr="007E6E19">
        <w:rPr>
          <w:rFonts w:cs="Times New Roman" w:hint="eastAsia"/>
          <w:sz w:val="18"/>
          <w:szCs w:val="18"/>
          <w:lang w:val="en-US" w:eastAsia="zh-CN"/>
        </w:rPr>
        <w:t>;</w:t>
      </w:r>
      <w:r w:rsidRPr="007E6E19">
        <w:rPr>
          <w:rFonts w:cs="Times New Roman"/>
          <w:sz w:val="18"/>
          <w:szCs w:val="18"/>
          <w:lang w:val="en-US" w:eastAsia="zh-CN"/>
        </w:rPr>
        <w:t xml:space="preserve"> </w:t>
      </w:r>
      <w:r w:rsidRPr="007E6E19">
        <w:rPr>
          <w:rFonts w:eastAsia="DengXian" w:cs="Times New Roman"/>
          <w:i/>
          <w:iCs/>
          <w:sz w:val="18"/>
          <w:szCs w:val="18"/>
          <w:vertAlign w:val="superscript"/>
        </w:rPr>
        <w:t>c</w:t>
      </w:r>
      <w:r w:rsidRPr="007E6E19">
        <w:rPr>
          <w:rFonts w:cs="Times New Roman"/>
          <w:sz w:val="18"/>
          <w:szCs w:val="18"/>
          <w:lang w:val="en-US"/>
        </w:rPr>
        <w:t xml:space="preserve"> P[8] genotype vaccines</w:t>
      </w:r>
      <w:r w:rsidRPr="007E6E19">
        <w:rPr>
          <w:rFonts w:cs="Times New Roman" w:hint="eastAsia"/>
          <w:sz w:val="18"/>
          <w:szCs w:val="18"/>
          <w:lang w:val="en-US" w:eastAsia="zh-CN"/>
        </w:rPr>
        <w:t>;</w:t>
      </w:r>
      <w:r w:rsidRPr="007E6E19">
        <w:rPr>
          <w:rFonts w:cs="Times New Roman"/>
          <w:sz w:val="18"/>
          <w:szCs w:val="18"/>
          <w:lang w:val="en-US" w:eastAsia="zh-CN"/>
        </w:rPr>
        <w:t xml:space="preserve"> </w:t>
      </w:r>
      <w:r w:rsidRPr="007E6E19">
        <w:rPr>
          <w:rFonts w:eastAsia="DengXian" w:cs="Times New Roman"/>
          <w:i/>
          <w:iCs/>
          <w:sz w:val="18"/>
          <w:szCs w:val="18"/>
          <w:vertAlign w:val="superscript"/>
        </w:rPr>
        <w:t>d</w:t>
      </w:r>
      <w:r w:rsidRPr="007E6E19">
        <w:rPr>
          <w:rFonts w:cs="Times New Roman"/>
          <w:sz w:val="18"/>
          <w:szCs w:val="18"/>
          <w:lang w:val="en-US"/>
        </w:rPr>
        <w:t xml:space="preserve"> vaccines of other P genotypes; bold numbers, antigen-escape-related neutralizing epitopes</w:t>
      </w:r>
      <w:r w:rsidRPr="007E6E19">
        <w:rPr>
          <w:rFonts w:cs="Times New Roman" w:hint="eastAsia"/>
          <w:sz w:val="18"/>
          <w:szCs w:val="18"/>
          <w:lang w:val="en-US" w:eastAsia="zh-CN"/>
        </w:rPr>
        <w:t>;</w:t>
      </w:r>
      <w:r w:rsidRPr="007E6E19">
        <w:rPr>
          <w:rFonts w:cs="Times New Roman"/>
          <w:sz w:val="18"/>
          <w:szCs w:val="18"/>
          <w:lang w:val="en-US" w:eastAsia="zh-CN"/>
        </w:rPr>
        <w:t xml:space="preserve"> </w:t>
      </w:r>
      <w:r w:rsidRPr="007E6E19">
        <w:rPr>
          <w:rFonts w:cs="Times New Roman"/>
          <w:sz w:val="18"/>
          <w:szCs w:val="18"/>
          <w:lang w:val="en-US"/>
        </w:rPr>
        <w:t>bold letters, changes in antigen epitopes of reference strains compared with N4006</w:t>
      </w:r>
      <w:r w:rsidRPr="007E6E19">
        <w:rPr>
          <w:rFonts w:cs="Times New Roman" w:hint="eastAsia"/>
          <w:sz w:val="18"/>
          <w:szCs w:val="18"/>
          <w:lang w:val="en-US" w:eastAsia="zh-CN"/>
        </w:rPr>
        <w:t>.</w:t>
      </w:r>
      <w:r w:rsidRPr="007E6E19">
        <w:rPr>
          <w:rFonts w:cs="Times New Roman"/>
          <w:sz w:val="18"/>
          <w:szCs w:val="18"/>
          <w:lang w:val="en-US" w:eastAsia="zh-CN"/>
        </w:rPr>
        <w:t xml:space="preserve"> </w:t>
      </w:r>
      <w:r w:rsidRPr="007E6E19">
        <w:rPr>
          <w:rFonts w:cs="Times New Roman"/>
          <w:sz w:val="18"/>
          <w:szCs w:val="18"/>
          <w:lang w:val="en-US"/>
        </w:rPr>
        <w:t>For prevalent strains of P[8] belonging to other G genotypes in lineage 3, only a few strains were used as references.</w:t>
      </w:r>
    </w:p>
    <w:p w14:paraId="3E4018E5" w14:textId="77777777" w:rsidR="00D6527F" w:rsidRDefault="00D6527F"/>
    <w:sectPr w:rsidR="00D652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611623"/>
    <w:multiLevelType w:val="hybridMultilevel"/>
    <w:tmpl w:val="A87C51CE"/>
    <w:lvl w:ilvl="0" w:tplc="FA845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F277B7"/>
    <w:multiLevelType w:val="hybridMultilevel"/>
    <w:tmpl w:val="C8342096"/>
    <w:lvl w:ilvl="0" w:tplc="D2105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941EA4"/>
    <w:multiLevelType w:val="hybridMultilevel"/>
    <w:tmpl w:val="7E0625F0"/>
    <w:lvl w:ilvl="0" w:tplc="A860F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0158AA"/>
    <w:multiLevelType w:val="hybridMultilevel"/>
    <w:tmpl w:val="49C202C4"/>
    <w:lvl w:ilvl="0" w:tplc="DF1832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8B6A0D"/>
    <w:multiLevelType w:val="hybridMultilevel"/>
    <w:tmpl w:val="8EEEAC58"/>
    <w:lvl w:ilvl="0" w:tplc="47E801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51543E"/>
    <w:multiLevelType w:val="hybridMultilevel"/>
    <w:tmpl w:val="45A6482C"/>
    <w:lvl w:ilvl="0" w:tplc="4498DF0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00"/>
    <w:rsid w:val="00D6527F"/>
    <w:rsid w:val="00F3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DF04"/>
  <w15:chartTrackingRefBased/>
  <w15:docId w15:val="{4F4D6B58-8058-4CD5-B3D9-91F853A9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0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D00"/>
    <w:pPr>
      <w:spacing w:line="440" w:lineRule="exact"/>
      <w:ind w:firstLineChars="200" w:firstLine="420"/>
    </w:pPr>
    <w:rPr>
      <w:rFonts w:ascii="Times New Roman" w:eastAsia="SimSun" w:hAnsi="Times New Roman" w:cs="Times New Roman"/>
      <w:kern w:val="13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37D00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F37D0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F37D0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lines">
    <w:name w:val="Para 2 lines"/>
    <w:basedOn w:val="Normal"/>
    <w:link w:val="Para2linesChar"/>
    <w:uiPriority w:val="10"/>
    <w:qFormat/>
    <w:rsid w:val="00F37D00"/>
    <w:pPr>
      <w:widowControl/>
      <w:spacing w:afterLines="200" w:after="200" w:line="360" w:lineRule="auto"/>
      <w:ind w:firstLine="720"/>
    </w:pPr>
    <w:rPr>
      <w:rFonts w:ascii="Times New Roman" w:eastAsiaTheme="minorHAnsi" w:hAnsi="Times New Roman"/>
      <w:kern w:val="0"/>
      <w:sz w:val="24"/>
      <w:lang w:val="en-MY" w:eastAsia="en-US"/>
    </w:rPr>
  </w:style>
  <w:style w:type="character" w:customStyle="1" w:styleId="Para2linesChar">
    <w:name w:val="Para 2 lines Char"/>
    <w:basedOn w:val="DefaultParagraphFont"/>
    <w:link w:val="Para2lines"/>
    <w:uiPriority w:val="10"/>
    <w:rsid w:val="00F37D00"/>
    <w:rPr>
      <w:rFonts w:ascii="Times New Roman" w:hAnsi="Times New Roman"/>
      <w:sz w:val="24"/>
      <w:lang w:val="en-MY"/>
    </w:rPr>
  </w:style>
  <w:style w:type="paragraph" w:styleId="Header">
    <w:name w:val="header"/>
    <w:basedOn w:val="Normal"/>
    <w:link w:val="HeaderChar"/>
    <w:uiPriority w:val="99"/>
    <w:unhideWhenUsed/>
    <w:rsid w:val="00F37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37D00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37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37D00"/>
    <w:rPr>
      <w:rFonts w:eastAsiaTheme="minorEastAsia"/>
      <w:kern w:val="2"/>
      <w:sz w:val="18"/>
      <w:szCs w:val="18"/>
      <w:lang w:val="en-US" w:eastAsia="zh-CN"/>
    </w:rPr>
  </w:style>
  <w:style w:type="character" w:customStyle="1" w:styleId="high-light-bg">
    <w:name w:val="high-light-bg"/>
    <w:basedOn w:val="DefaultParagraphFont"/>
    <w:rsid w:val="00F37D00"/>
  </w:style>
  <w:style w:type="paragraph" w:styleId="BalloonText">
    <w:name w:val="Balloon Text"/>
    <w:basedOn w:val="Normal"/>
    <w:link w:val="BalloonTextChar"/>
    <w:uiPriority w:val="99"/>
    <w:semiHidden/>
    <w:unhideWhenUsed/>
    <w:rsid w:val="00F37D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D00"/>
    <w:rPr>
      <w:rFonts w:eastAsiaTheme="minorEastAsia"/>
      <w:kern w:val="2"/>
      <w:sz w:val="18"/>
      <w:szCs w:val="18"/>
      <w:lang w:val="en-US" w:eastAsia="zh-CN"/>
    </w:rPr>
  </w:style>
  <w:style w:type="paragraph" w:styleId="Revision">
    <w:name w:val="Revision"/>
    <w:hidden/>
    <w:uiPriority w:val="99"/>
    <w:semiHidden/>
    <w:rsid w:val="00F37D00"/>
    <w:pPr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37D0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D0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D00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D00"/>
    <w:rPr>
      <w:rFonts w:eastAsiaTheme="minorEastAsia"/>
      <w:b/>
      <w:bCs/>
      <w:kern w:val="2"/>
      <w:sz w:val="21"/>
      <w:lang w:val="en-US" w:eastAsia="zh-CN"/>
    </w:rPr>
  </w:style>
  <w:style w:type="paragraph" w:customStyle="1" w:styleId="pf0">
    <w:name w:val="pf0"/>
    <w:basedOn w:val="Normal"/>
    <w:rsid w:val="00F37D0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cf01">
    <w:name w:val="cf01"/>
    <w:basedOn w:val="DefaultParagraphFont"/>
    <w:rsid w:val="00F37D00"/>
    <w:rPr>
      <w:rFonts w:ascii="Microsoft YaHei UI" w:eastAsia="Microsoft YaHei UI" w:hAnsi="Microsoft YaHei UI" w:hint="eastAsia"/>
      <w:sz w:val="18"/>
      <w:szCs w:val="18"/>
    </w:rPr>
  </w:style>
  <w:style w:type="character" w:customStyle="1" w:styleId="2">
    <w:name w:val="未处理的提及2"/>
    <w:basedOn w:val="DefaultParagraphFont"/>
    <w:uiPriority w:val="99"/>
    <w:semiHidden/>
    <w:unhideWhenUsed/>
    <w:rsid w:val="00F37D0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37D00"/>
    <w:pPr>
      <w:spacing w:after="0" w:line="240" w:lineRule="auto"/>
    </w:pPr>
    <w:rPr>
      <w:rFonts w:ascii="Calibri" w:eastAsia="Calibri" w:hAnsi="Calibri" w:cs="Times New Roman"/>
      <w:lang w:val="hu-HU"/>
    </w:rPr>
  </w:style>
  <w:style w:type="paragraph" w:styleId="NormalWeb">
    <w:name w:val="Normal (Web)"/>
    <w:basedOn w:val="Normal"/>
    <w:uiPriority w:val="99"/>
    <w:unhideWhenUsed/>
    <w:rsid w:val="00F37D0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7D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7D0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37D00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37D00"/>
  </w:style>
  <w:style w:type="character" w:customStyle="1" w:styleId="apple-converted-space">
    <w:name w:val="apple-converted-space"/>
    <w:basedOn w:val="DefaultParagraphFont"/>
    <w:rsid w:val="00F37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2468</Characters>
  <Application>Microsoft Office Word</Application>
  <DocSecurity>0</DocSecurity>
  <Lines>20</Lines>
  <Paragraphs>5</Paragraphs>
  <ScaleCrop>false</ScaleCrop>
  <Company>Springer Nature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2023-04-05T18:07:00Z</dcterms:created>
  <dcterms:modified xsi:type="dcterms:W3CDTF">2023-04-05T18:07:00Z</dcterms:modified>
</cp:coreProperties>
</file>