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6D13" w14:textId="77777777" w:rsidR="006D4435" w:rsidRDefault="003F0A0F">
      <w:r>
        <w:t xml:space="preserve">Supplementary </w:t>
      </w:r>
      <w:r w:rsidR="00200553">
        <w:t xml:space="preserve">Information for </w:t>
      </w:r>
    </w:p>
    <w:p w14:paraId="767D1B97" w14:textId="634FDC4B" w:rsidR="0033405C" w:rsidRDefault="00DE0A0A" w:rsidP="003340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Resilience of South Asian mangroves to climate extremes and changing water chemistry</w:t>
      </w:r>
      <w:r w:rsidRPr="000F6403">
        <w:rPr>
          <w:rFonts w:ascii="Times New Roman" w:hAnsi="Times New Roman" w:cs="Times New Roman"/>
          <w:sz w:val="24"/>
          <w:szCs w:val="24"/>
        </w:rPr>
        <w:t xml:space="preserve"> </w:t>
      </w:r>
      <w:r w:rsidR="0033405C" w:rsidRPr="000F6403">
        <w:rPr>
          <w:rFonts w:ascii="Times New Roman" w:hAnsi="Times New Roman" w:cs="Times New Roman"/>
          <w:sz w:val="24"/>
          <w:szCs w:val="24"/>
        </w:rPr>
        <w:t>Tejasvi</w:t>
      </w:r>
      <w:r w:rsidR="008E56C5">
        <w:rPr>
          <w:rFonts w:ascii="Times New Roman" w:hAnsi="Times New Roman" w:cs="Times New Roman"/>
          <w:sz w:val="24"/>
          <w:szCs w:val="24"/>
        </w:rPr>
        <w:t xml:space="preserve"> Ashish</w:t>
      </w:r>
      <w:r w:rsidR="0033405C" w:rsidRPr="000F6403">
        <w:rPr>
          <w:rFonts w:ascii="Times New Roman" w:hAnsi="Times New Roman" w:cs="Times New Roman"/>
          <w:sz w:val="24"/>
          <w:szCs w:val="24"/>
        </w:rPr>
        <w:t xml:space="preserve"> Chauhan</w:t>
      </w:r>
      <w:r w:rsidR="0033405C" w:rsidRPr="000F640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3405C" w:rsidRPr="000F6403">
        <w:rPr>
          <w:rFonts w:ascii="Times New Roman" w:hAnsi="Times New Roman" w:cs="Times New Roman"/>
          <w:sz w:val="24"/>
          <w:szCs w:val="24"/>
        </w:rPr>
        <w:t>, Punyasloke Bhadur</w:t>
      </w:r>
      <w:r w:rsidR="00AC0E0D">
        <w:rPr>
          <w:rFonts w:ascii="Times New Roman" w:hAnsi="Times New Roman" w:cs="Times New Roman"/>
          <w:sz w:val="24"/>
          <w:szCs w:val="24"/>
        </w:rPr>
        <w:t>y</w:t>
      </w:r>
      <w:r w:rsidR="0033405C" w:rsidRPr="000F6403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33405C" w:rsidRPr="000F6403">
        <w:rPr>
          <w:rFonts w:ascii="Times New Roman" w:hAnsi="Times New Roman" w:cs="Times New Roman"/>
          <w:sz w:val="24"/>
          <w:szCs w:val="24"/>
        </w:rPr>
        <w:t>,</w:t>
      </w:r>
      <w:r w:rsidR="000F6B42" w:rsidRPr="000F6B42">
        <w:t xml:space="preserve"> </w:t>
      </w:r>
      <w:r w:rsidR="0033405C" w:rsidRPr="000F6403">
        <w:rPr>
          <w:rFonts w:ascii="Times New Roman" w:hAnsi="Times New Roman" w:cs="Times New Roman"/>
          <w:sz w:val="24"/>
          <w:szCs w:val="24"/>
        </w:rPr>
        <w:t>Suraj Reddy Rodda</w:t>
      </w:r>
      <w:r w:rsidR="0033405C" w:rsidRPr="000F640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E56C5" w:rsidRPr="000F6403">
        <w:rPr>
          <w:rFonts w:ascii="Times New Roman" w:hAnsi="Times New Roman" w:cs="Times New Roman"/>
          <w:sz w:val="24"/>
          <w:szCs w:val="24"/>
        </w:rPr>
        <w:t>,</w:t>
      </w:r>
      <w:r w:rsidR="008E56C5">
        <w:rPr>
          <w:rFonts w:ascii="Times New Roman" w:hAnsi="Times New Roman" w:cs="Times New Roman"/>
          <w:sz w:val="24"/>
          <w:szCs w:val="24"/>
        </w:rPr>
        <w:t xml:space="preserve"> </w:t>
      </w:r>
      <w:r w:rsidR="000F6B42" w:rsidRPr="000F6B42">
        <w:rPr>
          <w:rFonts w:ascii="Times New Roman" w:hAnsi="Times New Roman" w:cs="Times New Roman"/>
          <w:sz w:val="24"/>
          <w:szCs w:val="24"/>
        </w:rPr>
        <w:t>Kiran Chand Thumaty</w:t>
      </w:r>
      <w:r w:rsidR="000F6B42" w:rsidRPr="000F6B4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F6B42">
        <w:rPr>
          <w:rFonts w:ascii="Times New Roman" w:hAnsi="Times New Roman" w:cs="Times New Roman"/>
          <w:sz w:val="24"/>
          <w:szCs w:val="24"/>
        </w:rPr>
        <w:t xml:space="preserve">, </w:t>
      </w:r>
      <w:r w:rsidR="008E56C5" w:rsidRPr="000F6403">
        <w:rPr>
          <w:rFonts w:ascii="Times New Roman" w:hAnsi="Times New Roman" w:cs="Times New Roman"/>
          <w:sz w:val="24"/>
          <w:szCs w:val="24"/>
        </w:rPr>
        <w:t>Chandra S</w:t>
      </w:r>
      <w:r w:rsidR="008E56C5">
        <w:rPr>
          <w:rFonts w:ascii="Times New Roman" w:hAnsi="Times New Roman" w:cs="Times New Roman"/>
          <w:sz w:val="24"/>
          <w:szCs w:val="24"/>
        </w:rPr>
        <w:t>h</w:t>
      </w:r>
      <w:r w:rsidR="008E56C5" w:rsidRPr="000F6403">
        <w:rPr>
          <w:rFonts w:ascii="Times New Roman" w:hAnsi="Times New Roman" w:cs="Times New Roman"/>
          <w:sz w:val="24"/>
          <w:szCs w:val="24"/>
        </w:rPr>
        <w:t>ekhar Jha</w:t>
      </w:r>
      <w:r w:rsidR="008E56C5" w:rsidRPr="000F640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E56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3405C" w:rsidRPr="000F6403">
        <w:rPr>
          <w:rFonts w:ascii="Times New Roman" w:hAnsi="Times New Roman" w:cs="Times New Roman"/>
          <w:sz w:val="24"/>
          <w:szCs w:val="24"/>
        </w:rPr>
        <w:t>and Subimal Ghosh</w:t>
      </w:r>
      <w:r w:rsidR="0033405C" w:rsidRPr="000F6403">
        <w:rPr>
          <w:rFonts w:ascii="Times New Roman" w:hAnsi="Times New Roman" w:cs="Times New Roman"/>
          <w:sz w:val="24"/>
          <w:szCs w:val="24"/>
          <w:vertAlign w:val="superscript"/>
        </w:rPr>
        <w:t>1,5</w:t>
      </w:r>
    </w:p>
    <w:p w14:paraId="38987980" w14:textId="77777777" w:rsidR="0033405C" w:rsidRPr="000F6403" w:rsidRDefault="0033405C" w:rsidP="003340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03">
        <w:rPr>
          <w:rFonts w:ascii="Times New Roman" w:hAnsi="Times New Roman" w:cs="Times New Roman"/>
          <w:sz w:val="20"/>
          <w:szCs w:val="20"/>
        </w:rPr>
        <w:t>Department of Civil Engineering, Indian Institute of Technology Bombay, India</w:t>
      </w:r>
    </w:p>
    <w:p w14:paraId="4C79F0E7" w14:textId="77777777" w:rsidR="0033405C" w:rsidRPr="000F6403" w:rsidRDefault="0033405C" w:rsidP="003340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03">
        <w:rPr>
          <w:rFonts w:ascii="Times New Roman" w:hAnsi="Times New Roman" w:cs="Times New Roman"/>
          <w:sz w:val="20"/>
          <w:szCs w:val="20"/>
        </w:rPr>
        <w:t>Centre for Climate and Environmental Studies, Indian Institute of Science Education and Research Kolkata, West Bengal, India</w:t>
      </w:r>
    </w:p>
    <w:p w14:paraId="7D1B99BE" w14:textId="77777777" w:rsidR="0033405C" w:rsidRPr="000F6403" w:rsidRDefault="0033405C" w:rsidP="003340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03">
        <w:rPr>
          <w:rFonts w:ascii="Times New Roman" w:hAnsi="Times New Roman" w:cs="Times New Roman"/>
          <w:sz w:val="20"/>
          <w:szCs w:val="20"/>
        </w:rPr>
        <w:t>Integrative Taxonomy and Microbial Ecology Research Group, Department of Biological Sciences, Indian Institute of Science Education and Research Kolkata, West Bengal, India</w:t>
      </w:r>
    </w:p>
    <w:p w14:paraId="26E60756" w14:textId="77777777" w:rsidR="0033405C" w:rsidRDefault="0033405C" w:rsidP="003340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03">
        <w:rPr>
          <w:rFonts w:ascii="Times New Roman" w:hAnsi="Times New Roman" w:cs="Times New Roman"/>
          <w:sz w:val="20"/>
          <w:szCs w:val="20"/>
        </w:rPr>
        <w:t>Forestry and Ecology Group, National Remote Sensing Centre (ISRO), Hyderabad, India</w:t>
      </w:r>
    </w:p>
    <w:p w14:paraId="61B424B7" w14:textId="5CBBAA59" w:rsidR="0033405C" w:rsidRPr="000F6403" w:rsidRDefault="0033405C" w:rsidP="003340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Interdisciplinary </w:t>
      </w:r>
      <w:r w:rsidR="000F6B42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rogramme in </w:t>
      </w:r>
      <w:r w:rsidR="000F6B42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limate </w:t>
      </w:r>
      <w:r w:rsidR="000F6B42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tudies, Indian Institute of Technology Bombay, India</w:t>
      </w:r>
    </w:p>
    <w:p w14:paraId="6D29C525" w14:textId="77777777" w:rsidR="0033405C" w:rsidRPr="0033405C" w:rsidRDefault="0033405C" w:rsidP="00185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C8CAEB" w14:textId="661D662C" w:rsidR="00E32949" w:rsidRDefault="00334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Contents: </w:t>
      </w:r>
    </w:p>
    <w:p w14:paraId="32F7750A" w14:textId="2DB1211F" w:rsidR="00E32949" w:rsidRDefault="00334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Figures S1-S</w:t>
      </w:r>
      <w:r w:rsidR="007B333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76FF0F3" w14:textId="748D4FFE" w:rsidR="003E45CB" w:rsidRPr="00182FF9" w:rsidRDefault="00E32949" w:rsidP="00182F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DFFA5D" w14:textId="77777777" w:rsidR="00133690" w:rsidRDefault="00133690" w:rsidP="00E32949"/>
    <w:p w14:paraId="359480E0" w14:textId="77777777" w:rsidR="000512C3" w:rsidRDefault="000512C3" w:rsidP="000512C3">
      <w:r w:rsidRPr="001475DE">
        <w:rPr>
          <w:noProof/>
        </w:rPr>
        <w:drawing>
          <wp:inline distT="0" distB="0" distL="0" distR="0" wp14:anchorId="12963289" wp14:editId="271D6D57">
            <wp:extent cx="6034317" cy="3911710"/>
            <wp:effectExtent l="0" t="0" r="5080" b="0"/>
            <wp:docPr id="512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9EF95C1-2BB0-7A78-2C86-381F7AC17C8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>
                      <a:extLst>
                        <a:ext uri="{FF2B5EF4-FFF2-40B4-BE49-F238E27FC236}">
                          <a16:creationId xmlns:a16="http://schemas.microsoft.com/office/drawing/2014/main" id="{A9EF95C1-2BB0-7A78-2C86-381F7AC17C8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0"/>
                    <a:stretch/>
                  </pic:blipFill>
                  <pic:spPr bwMode="auto">
                    <a:xfrm>
                      <a:off x="0" y="0"/>
                      <a:ext cx="6039056" cy="391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0C4C9" w14:textId="296EF147" w:rsidR="000512C3" w:rsidRDefault="000512C3" w:rsidP="00E32949">
      <w:pPr>
        <w:sectPr w:rsidR="000512C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Figure S1: Standardised anomalies (diurnal cycle removed) of variables from flux tower averaged to weekly time scale.</w:t>
      </w:r>
    </w:p>
    <w:p w14:paraId="6443E300" w14:textId="7A6A7DD2" w:rsidR="00C7121D" w:rsidRDefault="002C276A" w:rsidP="00830C3D">
      <w:pPr>
        <w:ind w:left="284" w:right="-643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3" behindDoc="0" locked="0" layoutInCell="1" allowOverlap="1" wp14:anchorId="3C4E3647" wp14:editId="6CB56CA1">
                <wp:simplePos x="0" y="0"/>
                <wp:positionH relativeFrom="leftMargin">
                  <wp:align>right</wp:align>
                </wp:positionH>
                <wp:positionV relativeFrom="paragraph">
                  <wp:posOffset>1747844</wp:posOffset>
                </wp:positionV>
                <wp:extent cx="747422" cy="341906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2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5CCDE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3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C715037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E36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65pt;margin-top:137.65pt;width:58.85pt;height:26.9pt;z-index:251678723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v8DQIAAPUDAAAOAAAAZHJzL2Uyb0RvYy54bWysU9tu2zAMfR+wfxD0vtjxnK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" stroked="f">
                <v:textbox>
                  <w:txbxContent>
                    <w:p w14:paraId="5065CCDE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354">
                        <w:rPr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6C715037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51" behindDoc="0" locked="0" layoutInCell="1" allowOverlap="1" wp14:anchorId="12F0B650" wp14:editId="556D13D8">
                <wp:simplePos x="0" y="0"/>
                <wp:positionH relativeFrom="leftMargin">
                  <wp:align>right</wp:align>
                </wp:positionH>
                <wp:positionV relativeFrom="paragraph">
                  <wp:posOffset>3193225</wp:posOffset>
                </wp:positionV>
                <wp:extent cx="747395" cy="34163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D64A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3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21F7A309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B650" id="Text Box 2" o:spid="_x0000_s1027" type="#_x0000_t202" style="position:absolute;left:0;text-align:left;margin-left:7.65pt;margin-top:251.45pt;width:58.85pt;height:26.9pt;z-index:251675651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" stroked="f">
                <v:textbox>
                  <w:txbxContent>
                    <w:p w14:paraId="3926D64A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354">
                        <w:rPr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  <w:p w14:paraId="21F7A309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9" behindDoc="0" locked="0" layoutInCell="1" allowOverlap="1" wp14:anchorId="2ED9FB3F" wp14:editId="697D0868">
                <wp:simplePos x="0" y="0"/>
                <wp:positionH relativeFrom="leftMargin">
                  <wp:align>right</wp:align>
                </wp:positionH>
                <wp:positionV relativeFrom="paragraph">
                  <wp:posOffset>575730</wp:posOffset>
                </wp:positionV>
                <wp:extent cx="747395" cy="341630"/>
                <wp:effectExtent l="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4D95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3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473252C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FB3F" id="Text Box 3" o:spid="_x0000_s1028" type="#_x0000_t202" style="position:absolute;left:0;text-align:left;margin-left:7.65pt;margin-top:45.35pt;width:58.85pt;height:26.9pt;z-index:251677699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" stroked="f">
                <v:textbox>
                  <w:txbxContent>
                    <w:p w14:paraId="2C7E4D95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354">
                        <w:rPr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  <w:p w14:paraId="0473252C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5" behindDoc="0" locked="0" layoutInCell="1" allowOverlap="1" wp14:anchorId="7FA152C1" wp14:editId="77728C04">
                <wp:simplePos x="0" y="0"/>
                <wp:positionH relativeFrom="leftMargin">
                  <wp:align>right</wp:align>
                </wp:positionH>
                <wp:positionV relativeFrom="paragraph">
                  <wp:posOffset>4356092</wp:posOffset>
                </wp:positionV>
                <wp:extent cx="747422" cy="341906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2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550E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3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369CA30" w14:textId="77777777" w:rsidR="002C276A" w:rsidRPr="00F17354" w:rsidRDefault="002C276A" w:rsidP="002C27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52C1" id="_x0000_s1029" type="#_x0000_t202" style="position:absolute;left:0;text-align:left;margin-left:7.65pt;margin-top:343pt;width:58.85pt;height:26.9pt;z-index:251676675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" stroked="f">
                <v:textbox>
                  <w:txbxContent>
                    <w:p w14:paraId="3436550E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354">
                        <w:rPr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2369CA30" w14:textId="77777777" w:rsidR="002C276A" w:rsidRPr="00F17354" w:rsidRDefault="002C276A" w:rsidP="002C27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EB1" w:rsidRPr="00590EB1">
        <w:rPr>
          <w:noProof/>
        </w:rPr>
        <w:drawing>
          <wp:inline distT="0" distB="0" distL="0" distR="0" wp14:anchorId="5522D156" wp14:editId="1C0A311C">
            <wp:extent cx="7813535" cy="4405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9"/>
                    <a:stretch/>
                  </pic:blipFill>
                  <pic:spPr bwMode="auto">
                    <a:xfrm>
                      <a:off x="0" y="0"/>
                      <a:ext cx="7860915" cy="4432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4771F" w14:textId="285311EC" w:rsidR="00C7121D" w:rsidRDefault="002C276A" w:rsidP="002C276A">
      <w:pPr>
        <w:ind w:left="284" w:right="-643"/>
        <w:jc w:val="center"/>
      </w:pPr>
      <w:r w:rsidRPr="002C276A">
        <w:rPr>
          <w:noProof/>
        </w:rPr>
        <w:drawing>
          <wp:inline distT="0" distB="0" distL="0" distR="0" wp14:anchorId="15E35943" wp14:editId="3717D731">
            <wp:extent cx="3079630" cy="4819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9304" cy="48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EE62" w14:textId="4DE5D67E" w:rsidR="00F17354" w:rsidRDefault="003B0B64" w:rsidP="00830C3D">
      <w:pPr>
        <w:ind w:left="284" w:right="-643"/>
        <w:rPr>
          <w:noProof/>
        </w:rPr>
      </w:pPr>
      <w:r>
        <w:t>F</w:t>
      </w:r>
      <w:r>
        <w:rPr>
          <w:noProof/>
        </w:rPr>
        <w:t xml:space="preserve">igure S2: </w:t>
      </w:r>
      <w:r w:rsidR="0044110F">
        <w:rPr>
          <w:noProof/>
        </w:rPr>
        <w:t xml:space="preserve">Monthly networks comparing </w:t>
      </w:r>
      <w:r w:rsidR="00CF0675">
        <w:rPr>
          <w:noProof/>
        </w:rPr>
        <w:t xml:space="preserve">2013 months with 2015. Networks are generated using 3-hour data with a maximum lag of 16 (48 hours). </w:t>
      </w:r>
      <w:r w:rsidR="00E121E1">
        <w:rPr>
          <w:noProof/>
        </w:rPr>
        <w:t xml:space="preserve"> Link color </w:t>
      </w:r>
      <w:r w:rsidR="00B406C6">
        <w:rPr>
          <w:noProof/>
        </w:rPr>
        <w:t xml:space="preserve">(Cross-MCI) </w:t>
      </w:r>
      <w:r w:rsidR="00E121E1">
        <w:rPr>
          <w:noProof/>
        </w:rPr>
        <w:t>and Node color</w:t>
      </w:r>
      <w:r w:rsidR="00B406C6">
        <w:rPr>
          <w:noProof/>
        </w:rPr>
        <w:t xml:space="preserve"> (Auto-MCI)</w:t>
      </w:r>
      <w:r w:rsidR="00E121E1">
        <w:rPr>
          <w:noProof/>
        </w:rPr>
        <w:t xml:space="preserve"> represent link strength and autocorrelation, respectively. Link labels show the lag at which statistically significant (alpha=0.05) links were found.</w:t>
      </w:r>
    </w:p>
    <w:p w14:paraId="0562720C" w14:textId="77777777" w:rsidR="00466E65" w:rsidRDefault="00466E65" w:rsidP="00830C3D">
      <w:pPr>
        <w:ind w:left="284" w:right="-643"/>
        <w:rPr>
          <w:noProof/>
        </w:rPr>
      </w:pPr>
    </w:p>
    <w:p w14:paraId="45110C07" w14:textId="77777777" w:rsidR="00466E65" w:rsidRDefault="00466E65" w:rsidP="00466E65">
      <w:r w:rsidRPr="004F152A">
        <w:rPr>
          <w:noProof/>
        </w:rPr>
        <w:lastRenderedPageBreak/>
        <w:drawing>
          <wp:inline distT="0" distB="0" distL="0" distR="0" wp14:anchorId="4548073A" wp14:editId="1E09923C">
            <wp:extent cx="6970816" cy="4424305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0670" cy="443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3E91" w14:textId="61832310" w:rsidR="00466E65" w:rsidRDefault="00466E65" w:rsidP="00466E65">
      <w:pPr>
        <w:sectPr w:rsidR="00466E65" w:rsidSect="002C276A">
          <w:pgSz w:w="16838" w:h="11906" w:orient="landscape"/>
          <w:pgMar w:top="720" w:right="1440" w:bottom="1440" w:left="1440" w:header="709" w:footer="709" w:gutter="0"/>
          <w:cols w:space="708"/>
          <w:docGrid w:linePitch="360"/>
        </w:sectPr>
      </w:pPr>
      <w:r>
        <w:t>Figure S3: Weekly networks during cyclone Viyaru (10-13</w:t>
      </w:r>
      <w:r w:rsidRPr="004075CD">
        <w:rPr>
          <w:vertAlign w:val="superscript"/>
        </w:rPr>
        <w:t>th</w:t>
      </w:r>
      <w:r>
        <w:t xml:space="preserve"> May 2013) starting from 29</w:t>
      </w:r>
      <w:r>
        <w:rPr>
          <w:vertAlign w:val="superscript"/>
        </w:rPr>
        <w:t>th</w:t>
      </w:r>
      <w:r>
        <w:t xml:space="preserve"> April 2013 (a-e). Link labels show the lag at which the statistically significant (alpha = 0.05) links were found.  Link color represents the strength of the link (labeled ‘cross-MCI’ in colorbar), and node color represents autocorrelation (labeled ‘auto-MCI’ in colorbar). Figure shows that the links reduce during the cyclone but quickly recover in the next week.</w:t>
      </w:r>
    </w:p>
    <w:p w14:paraId="6129AFFE" w14:textId="3DB7F492" w:rsidR="004F152A" w:rsidRDefault="004F152A"/>
    <w:p w14:paraId="50FCC0E2" w14:textId="0F53E743" w:rsidR="00DA41CB" w:rsidRDefault="00DD4F0C">
      <w:pPr>
        <w:sectPr w:rsidR="00DA41CB" w:rsidSect="00DD4F0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bidi="hi-IN"/>
        </w:rPr>
        <w:drawing>
          <wp:anchor distT="0" distB="0" distL="114300" distR="114300" simplePos="0" relativeHeight="251662339" behindDoc="0" locked="0" layoutInCell="1" allowOverlap="1" wp14:anchorId="197065E4" wp14:editId="745411CF">
            <wp:simplePos x="0" y="0"/>
            <wp:positionH relativeFrom="column">
              <wp:posOffset>189788</wp:posOffset>
            </wp:positionH>
            <wp:positionV relativeFrom="paragraph">
              <wp:posOffset>407</wp:posOffset>
            </wp:positionV>
            <wp:extent cx="8863330" cy="3481070"/>
            <wp:effectExtent l="0" t="0" r="0" b="508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310" b="23845"/>
                    <a:stretch/>
                  </pic:blipFill>
                  <pic:spPr bwMode="auto">
                    <a:xfrm>
                      <a:off x="0" y="0"/>
                      <a:ext cx="8863330" cy="348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C2A67">
        <w:t>Figure S</w:t>
      </w:r>
      <w:r w:rsidR="00466E65">
        <w:t>4</w:t>
      </w:r>
      <w:r w:rsidR="00DA41CB">
        <w:t xml:space="preserve">: </w:t>
      </w:r>
      <w:r w:rsidR="002C5657">
        <w:t xml:space="preserve"> </w:t>
      </w:r>
      <w:r w:rsidR="00340DCC">
        <w:t xml:space="preserve">(a) </w:t>
      </w:r>
      <w:r w:rsidR="002C5657">
        <w:t>Number of incoming and</w:t>
      </w:r>
      <w:r w:rsidR="00214DA9">
        <w:t xml:space="preserve"> </w:t>
      </w:r>
      <w:r w:rsidR="002C5657">
        <w:t xml:space="preserve">outgoing links from NEE  in weekly networks during a norwester events in </w:t>
      </w:r>
      <w:r w:rsidR="00B428D3">
        <w:t xml:space="preserve">April 2013. Networks were generated for five weeks keeping the </w:t>
      </w:r>
      <w:r w:rsidR="00884780">
        <w:t>week with</w:t>
      </w:r>
      <w:r w:rsidR="00214DA9">
        <w:t xml:space="preserve"> </w:t>
      </w:r>
      <w:r w:rsidR="00884780">
        <w:t xml:space="preserve">norwester event </w:t>
      </w:r>
      <w:r w:rsidR="00214DA9">
        <w:t>at</w:t>
      </w:r>
      <w:r w:rsidR="00884780">
        <w:t xml:space="preserve"> the </w:t>
      </w:r>
      <w:r w:rsidR="004075CD">
        <w:t>center</w:t>
      </w:r>
      <w:r w:rsidR="00884780">
        <w:t xml:space="preserve"> (week 3).  </w:t>
      </w:r>
      <w:r w:rsidR="00340DCC">
        <w:t xml:space="preserve"> (b) Anomalies of NEE and other hydrometeorological</w:t>
      </w:r>
      <w:r w:rsidR="00214DA9">
        <w:t xml:space="preserve"> </w:t>
      </w:r>
      <w:r w:rsidR="00340DCC">
        <w:t xml:space="preserve">variables </w:t>
      </w:r>
      <w:r w:rsidR="00214DA9">
        <w:t>during April month</w:t>
      </w:r>
    </w:p>
    <w:p w14:paraId="20987607" w14:textId="77777777" w:rsidR="004C2592" w:rsidRDefault="004C2592"/>
    <w:sectPr w:rsidR="004C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6CE0"/>
    <w:multiLevelType w:val="hybridMultilevel"/>
    <w:tmpl w:val="70561B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7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0F"/>
    <w:rsid w:val="0000589D"/>
    <w:rsid w:val="00032F2B"/>
    <w:rsid w:val="000512C3"/>
    <w:rsid w:val="00094927"/>
    <w:rsid w:val="000C25AA"/>
    <w:rsid w:val="000E1BD7"/>
    <w:rsid w:val="000E4BE2"/>
    <w:rsid w:val="000F6B42"/>
    <w:rsid w:val="00133690"/>
    <w:rsid w:val="001475DE"/>
    <w:rsid w:val="00180065"/>
    <w:rsid w:val="00182FF9"/>
    <w:rsid w:val="0018551F"/>
    <w:rsid w:val="0018576C"/>
    <w:rsid w:val="001B30B9"/>
    <w:rsid w:val="00200553"/>
    <w:rsid w:val="00214DA9"/>
    <w:rsid w:val="00241E63"/>
    <w:rsid w:val="00293FD7"/>
    <w:rsid w:val="002966BD"/>
    <w:rsid w:val="002B414C"/>
    <w:rsid w:val="002C01B8"/>
    <w:rsid w:val="002C276A"/>
    <w:rsid w:val="002C4D5E"/>
    <w:rsid w:val="002C5657"/>
    <w:rsid w:val="003177CD"/>
    <w:rsid w:val="0033405C"/>
    <w:rsid w:val="00340DCC"/>
    <w:rsid w:val="00350915"/>
    <w:rsid w:val="003B0B64"/>
    <w:rsid w:val="003E45CB"/>
    <w:rsid w:val="003F0A0F"/>
    <w:rsid w:val="004075CD"/>
    <w:rsid w:val="0044110F"/>
    <w:rsid w:val="00466E65"/>
    <w:rsid w:val="00473D0B"/>
    <w:rsid w:val="004A60A3"/>
    <w:rsid w:val="004C0189"/>
    <w:rsid w:val="004C2592"/>
    <w:rsid w:val="004F152A"/>
    <w:rsid w:val="004F3DD2"/>
    <w:rsid w:val="005508A5"/>
    <w:rsid w:val="00563C7E"/>
    <w:rsid w:val="00575554"/>
    <w:rsid w:val="00590EB1"/>
    <w:rsid w:val="005B0B28"/>
    <w:rsid w:val="005C45C0"/>
    <w:rsid w:val="005F327B"/>
    <w:rsid w:val="006A1E83"/>
    <w:rsid w:val="006D4435"/>
    <w:rsid w:val="00756A94"/>
    <w:rsid w:val="007B333D"/>
    <w:rsid w:val="007E57EC"/>
    <w:rsid w:val="00805781"/>
    <w:rsid w:val="00820618"/>
    <w:rsid w:val="00830C3D"/>
    <w:rsid w:val="00866373"/>
    <w:rsid w:val="00884780"/>
    <w:rsid w:val="008A65F8"/>
    <w:rsid w:val="008C3370"/>
    <w:rsid w:val="008D2826"/>
    <w:rsid w:val="008D6605"/>
    <w:rsid w:val="008E56C5"/>
    <w:rsid w:val="0090142C"/>
    <w:rsid w:val="0094197C"/>
    <w:rsid w:val="00951E45"/>
    <w:rsid w:val="00953144"/>
    <w:rsid w:val="009558E6"/>
    <w:rsid w:val="009E0AB8"/>
    <w:rsid w:val="00A615AD"/>
    <w:rsid w:val="00A641F6"/>
    <w:rsid w:val="00AC0E0D"/>
    <w:rsid w:val="00AC2A67"/>
    <w:rsid w:val="00B07999"/>
    <w:rsid w:val="00B20E34"/>
    <w:rsid w:val="00B20F1B"/>
    <w:rsid w:val="00B406C6"/>
    <w:rsid w:val="00B428D3"/>
    <w:rsid w:val="00B76963"/>
    <w:rsid w:val="00BB47DA"/>
    <w:rsid w:val="00BC16E5"/>
    <w:rsid w:val="00BC632E"/>
    <w:rsid w:val="00C4558A"/>
    <w:rsid w:val="00C55F43"/>
    <w:rsid w:val="00C56F7A"/>
    <w:rsid w:val="00C63F20"/>
    <w:rsid w:val="00C7121D"/>
    <w:rsid w:val="00C76B7F"/>
    <w:rsid w:val="00CC25B2"/>
    <w:rsid w:val="00CF0675"/>
    <w:rsid w:val="00D0786F"/>
    <w:rsid w:val="00D503BF"/>
    <w:rsid w:val="00D54069"/>
    <w:rsid w:val="00DA41CB"/>
    <w:rsid w:val="00DB2E5B"/>
    <w:rsid w:val="00DD4F0C"/>
    <w:rsid w:val="00DE0A0A"/>
    <w:rsid w:val="00DF20D5"/>
    <w:rsid w:val="00E121E1"/>
    <w:rsid w:val="00E32949"/>
    <w:rsid w:val="00E962D4"/>
    <w:rsid w:val="00EC0E2D"/>
    <w:rsid w:val="00EF51F9"/>
    <w:rsid w:val="00EF6D75"/>
    <w:rsid w:val="00F17354"/>
    <w:rsid w:val="00F4000E"/>
    <w:rsid w:val="00F46B3D"/>
    <w:rsid w:val="00F81977"/>
    <w:rsid w:val="00FA7944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B277"/>
  <w15:chartTrackingRefBased/>
  <w15:docId w15:val="{5AF8C51B-AE7C-46FB-B90C-D968584C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5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6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Tejasvi Ashish Chauhan</dc:creator>
  <cp:keywords/>
  <dc:description/>
  <cp:lastModifiedBy>Tejasvi Ashish Chauhan</cp:lastModifiedBy>
  <cp:revision>100</cp:revision>
  <dcterms:created xsi:type="dcterms:W3CDTF">2022-12-09T02:50:00Z</dcterms:created>
  <dcterms:modified xsi:type="dcterms:W3CDTF">2023-03-23T17:31:00Z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85ac1f88cfe672922c18dad10be04bb211684eb6ef70f039aababd6e4455a0eb</vt:lpwstr>
  </property>
</Properties>
</file>