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A2C5C76" w14:textId="7A7D7082" w:rsidR="001C21D4" w:rsidRPr="0010366E" w:rsidRDefault="00E414CC" w:rsidP="0010366E">
      <w:pPr>
        <w:pStyle w:val="Title"/>
      </w:pPr>
      <w:bookmarkStart w:id="0" w:name="_Hlk130738081"/>
      <w:r>
        <w:t xml:space="preserve">Appendix B: </w:t>
      </w:r>
      <w:proofErr w:type="spellStart"/>
      <w:r w:rsidR="0084683F" w:rsidRPr="0010366E">
        <w:t>OSeMOSYS</w:t>
      </w:r>
      <w:proofErr w:type="spellEnd"/>
      <w:r w:rsidR="0084683F" w:rsidRPr="0010366E">
        <w:t xml:space="preserve"> </w:t>
      </w:r>
      <w:r w:rsidR="00A9002A" w:rsidRPr="0010366E">
        <w:t>Scenario</w:t>
      </w:r>
      <w:r w:rsidR="001C21D4" w:rsidRPr="0010366E">
        <w:t xml:space="preserve"> Brief</w:t>
      </w:r>
    </w:p>
    <w:bookmarkEnd w:id="0"/>
    <w:p w14:paraId="03A99279" w14:textId="24EB1CF7" w:rsidR="00F57802" w:rsidRDefault="001C21D4" w:rsidP="00A9002A">
      <w:pPr>
        <w:rPr>
          <w:i/>
          <w:iCs/>
          <w:sz w:val="21"/>
          <w:szCs w:val="22"/>
        </w:rPr>
      </w:pPr>
      <w:r w:rsidRPr="00D00A58">
        <w:rPr>
          <w:i/>
          <w:iCs/>
          <w:sz w:val="21"/>
          <w:szCs w:val="22"/>
        </w:rPr>
        <w:t>Sarah Golobish</w:t>
      </w:r>
      <w:r w:rsidR="00D00A58">
        <w:rPr>
          <w:i/>
          <w:iCs/>
          <w:sz w:val="21"/>
          <w:szCs w:val="22"/>
        </w:rPr>
        <w:t xml:space="preserve"> (</w:t>
      </w:r>
      <w:hyperlink r:id="rId5" w:history="1">
        <w:r w:rsidR="00A9002A" w:rsidRPr="007C66B4">
          <w:rPr>
            <w:rStyle w:val="Hyperlink"/>
            <w:i/>
            <w:iCs/>
            <w:sz w:val="21"/>
            <w:szCs w:val="22"/>
          </w:rPr>
          <w:t>sarah.golobish21@imperial.ac.uk</w:t>
        </w:r>
      </w:hyperlink>
      <w:r w:rsidR="00F21ADA">
        <w:rPr>
          <w:i/>
          <w:iCs/>
          <w:sz w:val="21"/>
          <w:szCs w:val="22"/>
        </w:rPr>
        <w:t>)</w:t>
      </w:r>
    </w:p>
    <w:p w14:paraId="6D6DF9CD" w14:textId="77777777" w:rsidR="00A9002A" w:rsidRPr="00D00A58" w:rsidRDefault="00A9002A" w:rsidP="00A9002A">
      <w:pPr>
        <w:rPr>
          <w:i/>
          <w:iCs/>
          <w:sz w:val="21"/>
          <w:szCs w:val="22"/>
        </w:rPr>
      </w:pPr>
    </w:p>
    <w:p w14:paraId="2321E86B" w14:textId="0AB624C9" w:rsidR="000754B9" w:rsidRPr="001D2F1A" w:rsidRDefault="000754B9" w:rsidP="000754B9">
      <w:pPr>
        <w:rPr>
          <w:color w:val="000000" w:themeColor="text1"/>
        </w:rPr>
      </w:pPr>
      <w:bookmarkStart w:id="1" w:name="_Hlk130738108"/>
      <w:r w:rsidRPr="001D2F1A">
        <w:rPr>
          <w:color w:val="000000" w:themeColor="text1"/>
        </w:rPr>
        <w:t xml:space="preserve">This modelling explored </w:t>
      </w:r>
      <w:r w:rsidR="00FE37AB" w:rsidRPr="001D2F1A">
        <w:rPr>
          <w:color w:val="000000" w:themeColor="text1"/>
        </w:rPr>
        <w:t>p</w:t>
      </w:r>
      <w:r w:rsidRPr="001D2F1A">
        <w:rPr>
          <w:color w:val="000000" w:themeColor="text1"/>
        </w:rPr>
        <w:t xml:space="preserve">athways to meeting Nigerian electricity demand with particular focus on the role of improved power plant availability and energy efficiency to reduce reliance on diesel self-generation. The different constraints used which differentiate scenarios are outlined below. The key takeaways from the modelling are: </w:t>
      </w:r>
    </w:p>
    <w:p w14:paraId="79CA63CA" w14:textId="0E42A7D3" w:rsidR="000754B9" w:rsidRPr="001D2F1A" w:rsidRDefault="00FE37AB" w:rsidP="001D2F1A">
      <w:pPr>
        <w:pStyle w:val="ListParagraph"/>
        <w:numPr>
          <w:ilvl w:val="0"/>
          <w:numId w:val="10"/>
        </w:numPr>
        <w:rPr>
          <w:color w:val="000000" w:themeColor="text1"/>
        </w:rPr>
      </w:pPr>
      <w:r w:rsidRPr="001D2F1A">
        <w:rPr>
          <w:color w:val="000000" w:themeColor="text1"/>
        </w:rPr>
        <w:t xml:space="preserve">Improved plant availability can dramatically reduce CO2 emissions from the power sector even under a business-as-usual scenario. However, </w:t>
      </w:r>
      <w:r w:rsidR="00171073">
        <w:rPr>
          <w:color w:val="000000" w:themeColor="text1"/>
        </w:rPr>
        <w:t>increasing the pace of that improvement</w:t>
      </w:r>
      <w:r w:rsidRPr="001D2F1A">
        <w:rPr>
          <w:color w:val="000000" w:themeColor="text1"/>
        </w:rPr>
        <w:t xml:space="preserve"> has a smaller impact on emissions. </w:t>
      </w:r>
    </w:p>
    <w:p w14:paraId="50C17121" w14:textId="7BDDFEDC" w:rsidR="00C83E0B" w:rsidRPr="001D2F1A" w:rsidRDefault="00C83E0B" w:rsidP="001D2F1A">
      <w:pPr>
        <w:pStyle w:val="ListParagraph"/>
        <w:numPr>
          <w:ilvl w:val="0"/>
          <w:numId w:val="10"/>
        </w:numPr>
        <w:rPr>
          <w:color w:val="000000" w:themeColor="text1"/>
        </w:rPr>
      </w:pPr>
      <w:r w:rsidRPr="001D2F1A">
        <w:rPr>
          <w:color w:val="000000" w:themeColor="text1"/>
        </w:rPr>
        <w:t xml:space="preserve">Nigeria can meet its 2030 </w:t>
      </w:r>
      <w:r w:rsidR="0095711E" w:rsidRPr="001D2F1A">
        <w:rPr>
          <w:color w:val="000000" w:themeColor="text1"/>
        </w:rPr>
        <w:t>U</w:t>
      </w:r>
      <w:r w:rsidRPr="001D2F1A">
        <w:rPr>
          <w:color w:val="000000" w:themeColor="text1"/>
        </w:rPr>
        <w:t xml:space="preserve">nconditional NDC without significant changes to its generation mix if plant availability is improved.  Near-term investments in </w:t>
      </w:r>
      <w:r w:rsidR="00D122A3">
        <w:rPr>
          <w:color w:val="000000" w:themeColor="text1"/>
        </w:rPr>
        <w:t>energy efficiency</w:t>
      </w:r>
      <w:r w:rsidRPr="001D2F1A">
        <w:rPr>
          <w:color w:val="000000" w:themeColor="text1"/>
        </w:rPr>
        <w:t xml:space="preserve"> will help to further ensure that targets are met. </w:t>
      </w:r>
    </w:p>
    <w:p w14:paraId="70B67237" w14:textId="3BEA20F4" w:rsidR="00F36063" w:rsidRPr="001D2F1A" w:rsidRDefault="00F36063" w:rsidP="001D2F1A">
      <w:pPr>
        <w:pStyle w:val="ListParagraph"/>
        <w:numPr>
          <w:ilvl w:val="0"/>
          <w:numId w:val="10"/>
        </w:numPr>
        <w:rPr>
          <w:color w:val="000000" w:themeColor="text1"/>
        </w:rPr>
      </w:pPr>
      <w:r w:rsidRPr="001D2F1A">
        <w:rPr>
          <w:color w:val="000000" w:themeColor="text1"/>
        </w:rPr>
        <w:t xml:space="preserve">It is not possible to meet </w:t>
      </w:r>
      <w:r w:rsidR="00C83E0B" w:rsidRPr="001D2F1A">
        <w:rPr>
          <w:color w:val="000000" w:themeColor="text1"/>
        </w:rPr>
        <w:t>long-term decarbonization goals</w:t>
      </w:r>
      <w:r w:rsidRPr="001D2F1A">
        <w:rPr>
          <w:color w:val="000000" w:themeColor="text1"/>
        </w:rPr>
        <w:t xml:space="preserve"> without energy efficiency and plant improvement</w:t>
      </w:r>
      <w:r w:rsidR="00DF1630" w:rsidRPr="001D2F1A">
        <w:rPr>
          <w:color w:val="000000" w:themeColor="text1"/>
        </w:rPr>
        <w:t>. R</w:t>
      </w:r>
      <w:r w:rsidRPr="001D2F1A">
        <w:rPr>
          <w:color w:val="000000" w:themeColor="text1"/>
        </w:rPr>
        <w:t>uns with</w:t>
      </w:r>
      <w:r w:rsidR="001D2F1A">
        <w:rPr>
          <w:color w:val="000000" w:themeColor="text1"/>
        </w:rPr>
        <w:t xml:space="preserve">out plant </w:t>
      </w:r>
      <w:r w:rsidRPr="001D2F1A">
        <w:rPr>
          <w:color w:val="000000" w:themeColor="text1"/>
        </w:rPr>
        <w:t xml:space="preserve">improvement and </w:t>
      </w:r>
      <w:r w:rsidR="00C83E0B" w:rsidRPr="001D2F1A">
        <w:rPr>
          <w:color w:val="000000" w:themeColor="text1"/>
        </w:rPr>
        <w:t>low</w:t>
      </w:r>
      <w:r w:rsidRPr="001D2F1A">
        <w:rPr>
          <w:color w:val="000000" w:themeColor="text1"/>
        </w:rPr>
        <w:t xml:space="preserve"> efficiency </w:t>
      </w:r>
      <w:r w:rsidR="00C83E0B" w:rsidRPr="001D2F1A">
        <w:rPr>
          <w:color w:val="000000" w:themeColor="text1"/>
        </w:rPr>
        <w:t xml:space="preserve">investment </w:t>
      </w:r>
      <w:r w:rsidRPr="001D2F1A">
        <w:rPr>
          <w:color w:val="000000" w:themeColor="text1"/>
        </w:rPr>
        <w:t xml:space="preserve">were not able to meet demand. </w:t>
      </w:r>
    </w:p>
    <w:bookmarkEnd w:id="1"/>
    <w:p w14:paraId="1D7FDA2E" w14:textId="753F01F3" w:rsidR="00353584" w:rsidRDefault="005D4F42" w:rsidP="00353584">
      <w:pPr>
        <w:pStyle w:val="Heading1"/>
      </w:pPr>
      <w:r>
        <w:t>Modelling Assumptions</w:t>
      </w:r>
    </w:p>
    <w:p w14:paraId="6A336879" w14:textId="1DE9592F" w:rsidR="00AB0140" w:rsidRDefault="00CA2668">
      <w:r>
        <w:t xml:space="preserve">A few </w:t>
      </w:r>
      <w:r w:rsidR="00AB0140">
        <w:t xml:space="preserve">core assumptions used throughout scenarios: </w:t>
      </w:r>
    </w:p>
    <w:p w14:paraId="1BF92B59" w14:textId="77CB9D6B" w:rsidR="00AB0140" w:rsidRPr="00AB0140" w:rsidRDefault="00AB0140" w:rsidP="0084683F">
      <w:pPr>
        <w:pStyle w:val="ListParagraph"/>
        <w:numPr>
          <w:ilvl w:val="0"/>
          <w:numId w:val="12"/>
        </w:numPr>
      </w:pPr>
      <w:r>
        <w:t>Discount rate of 10% and reserve margin of 15% used throughout modelling. This is consistent with other</w:t>
      </w:r>
      <w:r w:rsidR="0084683F">
        <w:t xml:space="preserve"> modelling of the Nigerian energy system</w:t>
      </w:r>
      <w:r w:rsidR="006420E4">
        <w:rPr>
          <w:rFonts w:ascii="Calibri" w:hAnsi="Calibri" w:cs="Calibri"/>
          <w:color w:val="000000"/>
        </w:rPr>
        <w:t xml:space="preserve"> </w:t>
      </w:r>
      <w:r w:rsidR="006420E4">
        <w:rPr>
          <w:rFonts w:ascii="Calibri" w:hAnsi="Calibri" w:cs="Calibri"/>
          <w:color w:val="000000"/>
        </w:rPr>
        <w:fldChar w:fldCharType="begin"/>
      </w:r>
      <w:r w:rsidR="006420E4">
        <w:rPr>
          <w:rFonts w:ascii="Calibri" w:hAnsi="Calibri" w:cs="Calibri"/>
          <w:color w:val="000000"/>
        </w:rPr>
        <w:instrText xml:space="preserve"> ADDIN ZOTERO_ITEM CSL_CITATION {"citationID":"S0NZ98ol","properties":{"formattedCitation":"(Daggash and Mac Dowell, 2021; Dioha and Kumar, 2020)","plainCitation":"(Daggash and Mac Dowell, 2021; Dioha and Kumar, 2020)","noteIndex":0},"citationItems":[{"id":109,"uris":["http://zotero.org/users/9856772/items/DPVMQ68C"],"itemData":{"id":109,"type":"article-journal","abstract":"Renewable energy alone is unable to deliver universal energy access and the Paris Agreement cheaply in sub-Saharan Africa. Both fossil fuels and renewables are needed to ensure energy equity and affordability alongside climate change mitigation.\n          , \n            Sub-Saharan Africa (SSA) faces many challenges: two-thirds of the world's extreme poor population; a shrinking economy because of commodity price declines and the COVID-19 pandemic; widespread energy poverty; and climate variability that is disrupting agrarian livelihoods and stirring conflict over natural resources. Climate change threatens to exacerbate these through further disruption of the physical environment, and a transition away from the fossil fuels on which many of the region's economies depend. Through their nationally determined contributions (NDC) to the Paris Agreement, all SSA countries committed to the increased utilisation of intermittent renewable energy sources (IRES) to tackle the twin challenges of energy poverty—which limits economic development—and climate change. There is a dearth of analysis on the nature of sustainable energy transition(s) necessary to deliver these NDCs, especially given the limited financial and technical resources of SSA. Using Nigeria as a case study, this study seeks to address this gap by determining the power system transitions required to deliver NDCs alongside universal energy access in SSA by 2050; their financial and policy implications; and the barriers and opportunities that they present to sustainable development efforts. We find that Nigeria can deliver its NDCs with no added cost implications, thereby debunking the prevalent view that climate change mitigation is too costly to pursue in SSA. Furthermore, we find that the higher availability and dispatchability of fossil fuel generation makes it critical for the rapid scale-up of energy supply; thus, entirely leapfrogging carbon-intensive development will prove costly to SSA. Finally, owing to the limited cost reductions that IRES have experienced in SSA, delivering NDCs through the deployment of decentralised IRES systems proves more expensive than using conventional generation. The distributed nature of IRES however means that they can democratise energy investment and job creation, thus facilitating the equitable sharing of economic resources which is crucial to conflict prevention in the fragile socio-political landscapes that pervade the region.","container-title":"Energy &amp; Environmental Science","DOI":"10.1039/D1EE00746G","ISSN":"1754-5692, 1754-5706","issue":"7","journalAbbreviation":"Energy Environ. Sci.","language":"en","page":"4018-4037","source":"DOI.org (Crossref)","title":"Delivering low-carbon electricity systems in sub-Saharan Africa: insights from Nigeria","title-short":"Delivering low-carbon electricity systems in sub-Saharan Africa","volume":"14","author":[{"family":"Daggash","given":"Habiba Ahut"},{"family":"Mac Dowell","given":"Niall"}],"issued":{"date-parts":[["2021"]]}}},{"id":70,"uris":["http://zotero.org/users/9856772/items/23GEIW3S"],"itemData":{"id":70,"type":"article-journal","container-title":"Energy Policy","DOI":"10.1016/j.enpol.2020.111703","ISSN":"03014215","journalAbbreviation":"Energy Policy","language":"en","page":"111703","source":"DOI.org (Crossref)","title":"Exploring the energy system impacts of Nigeria's Nationally Determined Contributions and low-carbon transition to mid-century","volume":"144","author":[{"family":"Dioha","given":"Michael O."},{"family":"Kumar","given":"Atul"}],"issued":{"date-parts":[["2020",9]]}}}],"schema":"https://github.com/citation-style-language/schema/raw/master/csl-citation.json"} </w:instrText>
      </w:r>
      <w:r w:rsidR="006420E4">
        <w:rPr>
          <w:rFonts w:ascii="Calibri" w:hAnsi="Calibri" w:cs="Calibri"/>
          <w:color w:val="000000"/>
        </w:rPr>
        <w:fldChar w:fldCharType="separate"/>
      </w:r>
      <w:r w:rsidR="001D253E" w:rsidRPr="001D253E">
        <w:rPr>
          <w:rFonts w:ascii="Calibri" w:hAnsi="Calibri" w:cs="Calibri"/>
        </w:rPr>
        <w:t>(Daggash and Mac Dowell, 2021; Dioha and Kumar, 2020)</w:t>
      </w:r>
      <w:r w:rsidR="006420E4">
        <w:rPr>
          <w:rFonts w:ascii="Calibri" w:hAnsi="Calibri" w:cs="Calibri"/>
          <w:color w:val="000000"/>
        </w:rPr>
        <w:fldChar w:fldCharType="end"/>
      </w:r>
      <w:r w:rsidR="0084683F" w:rsidRPr="0084683F">
        <w:rPr>
          <w:rFonts w:ascii="Calibri" w:hAnsi="Calibri" w:cs="Calibri"/>
          <w:color w:val="000000"/>
        </w:rPr>
        <w:t>.</w:t>
      </w:r>
    </w:p>
    <w:p w14:paraId="554F9138" w14:textId="6EF8C5EE" w:rsidR="00AB0140" w:rsidRPr="00AB0140" w:rsidRDefault="00AB0140" w:rsidP="00AB0140">
      <w:pPr>
        <w:pStyle w:val="ListParagraph"/>
        <w:numPr>
          <w:ilvl w:val="0"/>
          <w:numId w:val="12"/>
        </w:numPr>
      </w:pPr>
      <w:r>
        <w:rPr>
          <w:rFonts w:ascii="Calibri" w:hAnsi="Calibri" w:cs="Calibri"/>
          <w:color w:val="000000"/>
        </w:rPr>
        <w:t>To minimize flexibility issues on the already fragile grid, utility-scale VRE generation was limited across all scenarios to 30% of demand each year with 20% coming from wind and 10% coming from solar. This cap is in line with IRENA modelling of the West African Power Pool which used the same penetration caps to ensure system reliability across scenarios</w:t>
      </w:r>
      <w:r w:rsidR="00290206">
        <w:rPr>
          <w:rFonts w:ascii="Calibri" w:hAnsi="Calibri" w:cs="Calibri"/>
          <w:color w:val="000000"/>
        </w:rPr>
        <w:t xml:space="preserve"> </w:t>
      </w:r>
      <w:r w:rsidR="006420E4">
        <w:rPr>
          <w:rFonts w:ascii="Calibri" w:hAnsi="Calibri" w:cs="Calibri"/>
          <w:color w:val="000000"/>
        </w:rPr>
        <w:fldChar w:fldCharType="begin"/>
      </w:r>
      <w:r w:rsidR="006420E4">
        <w:rPr>
          <w:rFonts w:ascii="Calibri" w:hAnsi="Calibri" w:cs="Calibri"/>
          <w:color w:val="000000"/>
        </w:rPr>
        <w:instrText xml:space="preserve"> ADDIN ZOTERO_ITEM CSL_CITATION {"citationID":"IHGmq4GJ","properties":{"formattedCitation":"(IRENA, 2013)","plainCitation":"(IRENA, 2013)","noteIndex":0},"citationItems":[{"id":75,"uris":["http://zotero.org/users/9856772/items/U6DR8FH4"],"itemData":{"id":75,"type":"report","publisher":"International Renewable Energy Agency","title":"West African Power Pool: Planning and Prospects for Renewable Energy","URL":"https://www.irena.org/-/media/Files/IRENA/Agency/Publication/2013/WAPP.pdf","author":[{"literal":"IRENA"}],"issued":{"date-parts":[["2013"]]}}}],"schema":"https://github.com/citation-style-language/schema/raw/master/csl-citation.json"} </w:instrText>
      </w:r>
      <w:r w:rsidR="006420E4">
        <w:rPr>
          <w:rFonts w:ascii="Calibri" w:hAnsi="Calibri" w:cs="Calibri"/>
          <w:color w:val="000000"/>
        </w:rPr>
        <w:fldChar w:fldCharType="separate"/>
      </w:r>
      <w:r w:rsidR="001D253E" w:rsidRPr="001D253E">
        <w:rPr>
          <w:rFonts w:ascii="Calibri" w:hAnsi="Calibri" w:cs="Calibri"/>
        </w:rPr>
        <w:t>(IRENA, 2013)</w:t>
      </w:r>
      <w:r w:rsidR="006420E4">
        <w:rPr>
          <w:rFonts w:ascii="Calibri" w:hAnsi="Calibri" w:cs="Calibri"/>
          <w:color w:val="000000"/>
        </w:rPr>
        <w:fldChar w:fldCharType="end"/>
      </w:r>
      <w:r>
        <w:rPr>
          <w:rFonts w:ascii="Calibri" w:hAnsi="Calibri" w:cs="Calibri"/>
          <w:color w:val="000000"/>
        </w:rPr>
        <w:t>.</w:t>
      </w:r>
    </w:p>
    <w:p w14:paraId="6CED7FD3" w14:textId="0D3E31FF" w:rsidR="00AB0140" w:rsidRDefault="00AB0140" w:rsidP="00AB0140">
      <w:pPr>
        <w:pStyle w:val="ListParagraph"/>
        <w:numPr>
          <w:ilvl w:val="0"/>
          <w:numId w:val="12"/>
        </w:numPr>
      </w:pPr>
      <w:r>
        <w:t xml:space="preserve">Transport, heating and cooking demands are not included in this modelling as these demands are not expected to be electrified in the short to medium term. </w:t>
      </w:r>
    </w:p>
    <w:p w14:paraId="70AA416A" w14:textId="46863FFA" w:rsidR="005D4F42" w:rsidRPr="00263A84" w:rsidRDefault="00037122" w:rsidP="00263A84">
      <w:pPr>
        <w:spacing w:before="240" w:after="240"/>
        <w:rPr>
          <w:rFonts w:ascii="Times New Roman" w:eastAsia="Times New Roman" w:hAnsi="Times New Roman" w:cs="Times New Roman"/>
          <w:szCs w:val="22"/>
          <w:lang w:eastAsia="en-GB"/>
        </w:rPr>
      </w:pPr>
      <w:r w:rsidRPr="00037122">
        <w:rPr>
          <w:rFonts w:ascii="Calibri" w:eastAsia="Times New Roman" w:hAnsi="Calibri" w:cs="Calibri"/>
          <w:color w:val="000000"/>
          <w:szCs w:val="22"/>
          <w:lang w:eastAsia="en-GB"/>
        </w:rPr>
        <w:t>Nuclear build rates were also constrained across scenarios to an added capacity of 0.5 GW per year (UNCD and CNDC model runs). This build rate is more ambitious than the build rate in the Vision30:30:30 targets which set a goal of 1GW by 2025 and a further 1GW by 2030 (an average of 0.2GW added per year from 2025-2030)</w:t>
      </w:r>
      <w:r w:rsidR="00957F7C">
        <w:rPr>
          <w:rFonts w:ascii="Calibri" w:eastAsia="Times New Roman" w:hAnsi="Calibri" w:cs="Calibri"/>
          <w:color w:val="000000"/>
          <w:szCs w:val="22"/>
          <w:lang w:eastAsia="en-GB"/>
        </w:rPr>
        <w:t xml:space="preserve"> </w:t>
      </w:r>
      <w:r w:rsidR="00957F7C">
        <w:rPr>
          <w:rFonts w:ascii="Calibri" w:eastAsia="Times New Roman" w:hAnsi="Calibri" w:cs="Calibri"/>
          <w:color w:val="000000"/>
          <w:szCs w:val="22"/>
          <w:lang w:eastAsia="en-GB"/>
        </w:rPr>
        <w:fldChar w:fldCharType="begin"/>
      </w:r>
      <w:r w:rsidR="001D253E">
        <w:rPr>
          <w:rFonts w:ascii="Calibri" w:eastAsia="Times New Roman" w:hAnsi="Calibri" w:cs="Calibri"/>
          <w:color w:val="000000"/>
          <w:szCs w:val="22"/>
          <w:lang w:eastAsia="en-GB"/>
        </w:rPr>
        <w:instrText xml:space="preserve"> ADDIN ZOTERO_ITEM CSL_CITATION {"citationID":"XoJND2ci","properties":{"formattedCitation":"(Federal Government of Nigeria, 2016)","plainCitation":"(Federal Government of Nigeria, 2016)","noteIndex":0},"citationItems":[{"id":59,"uris":["http://zotero.org/users/9856772/items/JH9KJY5Q"],"itemData":{"id":59,"type":"report","publisher":"Federal Government of Nigeria","title":"Sustainable energy for all action agenda","URL":"https://www.seforall.org/sites/default/files/NIGERIA_SE4ALL_ACTION_AGENDA_FINAL.pdf","author":[{"literal":"Federal Government of Nigeria"}],"issued":{"date-parts":[["2016"]]}}}],"schema":"https://github.com/citation-style-language/schema/raw/master/csl-citation.json"} </w:instrText>
      </w:r>
      <w:r w:rsidR="00957F7C">
        <w:rPr>
          <w:rFonts w:ascii="Calibri" w:eastAsia="Times New Roman" w:hAnsi="Calibri" w:cs="Calibri"/>
          <w:color w:val="000000"/>
          <w:szCs w:val="22"/>
          <w:lang w:eastAsia="en-GB"/>
        </w:rPr>
        <w:fldChar w:fldCharType="separate"/>
      </w:r>
      <w:r w:rsidR="001D253E" w:rsidRPr="001D253E">
        <w:rPr>
          <w:rFonts w:ascii="Calibri" w:hAnsi="Calibri" w:cs="Calibri"/>
        </w:rPr>
        <w:t>(Federal Government of Nigeria, 2016)</w:t>
      </w:r>
      <w:r w:rsidR="00957F7C">
        <w:rPr>
          <w:rFonts w:ascii="Calibri" w:eastAsia="Times New Roman" w:hAnsi="Calibri" w:cs="Calibri"/>
          <w:color w:val="000000"/>
          <w:szCs w:val="22"/>
          <w:lang w:eastAsia="en-GB"/>
        </w:rPr>
        <w:fldChar w:fldCharType="end"/>
      </w:r>
      <w:r w:rsidRPr="00037122">
        <w:rPr>
          <w:rFonts w:ascii="Calibri" w:eastAsia="Times New Roman" w:hAnsi="Calibri" w:cs="Calibri"/>
          <w:color w:val="000000"/>
          <w:szCs w:val="22"/>
          <w:lang w:eastAsia="en-GB"/>
        </w:rPr>
        <w:t xml:space="preserve"> . A build rate of 0.5GW is however consistent with pervious work by </w:t>
      </w:r>
      <w:proofErr w:type="spellStart"/>
      <w:r w:rsidRPr="00037122">
        <w:rPr>
          <w:rFonts w:ascii="Calibri" w:eastAsia="Times New Roman" w:hAnsi="Calibri" w:cs="Calibri"/>
          <w:color w:val="000000"/>
          <w:szCs w:val="22"/>
          <w:lang w:eastAsia="en-GB"/>
        </w:rPr>
        <w:t>Daggash</w:t>
      </w:r>
      <w:proofErr w:type="spellEnd"/>
      <w:r w:rsidRPr="00037122">
        <w:rPr>
          <w:rFonts w:ascii="Calibri" w:eastAsia="Times New Roman" w:hAnsi="Calibri" w:cs="Calibri"/>
          <w:color w:val="000000"/>
          <w:szCs w:val="22"/>
          <w:lang w:eastAsia="en-GB"/>
        </w:rPr>
        <w:t xml:space="preserve"> &amp; Mac Dowell</w:t>
      </w:r>
      <w:r w:rsidR="00957F7C">
        <w:rPr>
          <w:rFonts w:ascii="Calibri" w:eastAsia="Times New Roman" w:hAnsi="Calibri" w:cs="Calibri"/>
          <w:color w:val="000000"/>
          <w:szCs w:val="22"/>
          <w:lang w:eastAsia="en-GB"/>
        </w:rPr>
        <w:t xml:space="preserve"> </w:t>
      </w:r>
      <w:r w:rsidR="00957F7C">
        <w:rPr>
          <w:rFonts w:ascii="Calibri" w:eastAsia="Times New Roman" w:hAnsi="Calibri" w:cs="Calibri"/>
          <w:color w:val="000000"/>
          <w:szCs w:val="22"/>
          <w:lang w:eastAsia="en-GB"/>
        </w:rPr>
        <w:fldChar w:fldCharType="begin"/>
      </w:r>
      <w:r w:rsidR="00957F7C">
        <w:rPr>
          <w:rFonts w:ascii="Calibri" w:eastAsia="Times New Roman" w:hAnsi="Calibri" w:cs="Calibri"/>
          <w:color w:val="000000"/>
          <w:szCs w:val="22"/>
          <w:lang w:eastAsia="en-GB"/>
        </w:rPr>
        <w:instrText xml:space="preserve"> ADDIN ZOTERO_ITEM CSL_CITATION {"citationID":"D3AhvWLC","properties":{"formattedCitation":"(2021)","plainCitation":"(2021)","noteIndex":0},"citationItems":[{"id":109,"uris":["http://zotero.org/users/9856772/items/DPVMQ68C"],"itemData":{"id":109,"type":"article-journal","abstract":"Renewable energy alone is unable to deliver universal energy access and the Paris Agreement cheaply in sub-Saharan Africa. Both fossil fuels and renewables are needed to ensure energy equity and affordability alongside climate change mitigation.\n          , \n            Sub-Saharan Africa (SSA) faces many challenges: two-thirds of the world's extreme poor population; a shrinking economy because of commodity price declines and the COVID-19 pandemic; widespread energy poverty; and climate variability that is disrupting agrarian livelihoods and stirring conflict over natural resources. Climate change threatens to exacerbate these through further disruption of the physical environment, and a transition away from the fossil fuels on which many of the region's economies depend. Through their nationally determined contributions (NDC) to the Paris Agreement, all SSA countries committed to the increased utilisation of intermittent renewable energy sources (IRES) to tackle the twin challenges of energy poverty—which limits economic development—and climate change. There is a dearth of analysis on the nature of sustainable energy transition(s) necessary to deliver these NDCs, especially given the limited financial and technical resources of SSA. Using Nigeria as a case study, this study seeks to address this gap by determining the power system transitions required to deliver NDCs alongside universal energy access in SSA by 2050; their financial and policy implications; and the barriers and opportunities that they present to sustainable development efforts. We find that Nigeria can deliver its NDCs with no added cost implications, thereby debunking the prevalent view that climate change mitigation is too costly to pursue in SSA. Furthermore, we find that the higher availability and dispatchability of fossil fuel generation makes it critical for the rapid scale-up of energy supply; thus, entirely leapfrogging carbon-intensive development will prove costly to SSA. Finally, owing to the limited cost reductions that IRES have experienced in SSA, delivering NDCs through the deployment of decentralised IRES systems proves more expensive than using conventional generation. The distributed nature of IRES however means that they can democratise energy investment and job creation, thus facilitating the equitable sharing of economic resources which is crucial to conflict prevention in the fragile socio-political landscapes that pervade the region.","container-title":"Energy &amp; Environmental Science","DOI":"10.1039/D1EE00746G","ISSN":"1754-5692, 1754-5706","issue":"7","journalAbbreviation":"Energy Environ. Sci.","language":"en","page":"4018-4037","source":"DOI.org (Crossref)","title":"Delivering low-carbon electricity systems in sub-Saharan Africa: insights from Nigeria","title-short":"Delivering low-carbon electricity systems in sub-Saharan Africa","volume":"14","author":[{"family":"Daggash","given":"Habiba Ahut"},{"family":"Mac Dowell","given":"Niall"}],"issued":{"date-parts":[["2021"]]}},"label":"page","suppress-author":true}],"schema":"https://github.com/citation-style-language/schema/raw/master/csl-citation.json"} </w:instrText>
      </w:r>
      <w:r w:rsidR="00957F7C">
        <w:rPr>
          <w:rFonts w:ascii="Calibri" w:eastAsia="Times New Roman" w:hAnsi="Calibri" w:cs="Calibri"/>
          <w:color w:val="000000"/>
          <w:szCs w:val="22"/>
          <w:lang w:eastAsia="en-GB"/>
        </w:rPr>
        <w:fldChar w:fldCharType="separate"/>
      </w:r>
      <w:r w:rsidR="001D253E" w:rsidRPr="001D253E">
        <w:rPr>
          <w:rFonts w:ascii="Calibri" w:hAnsi="Calibri" w:cs="Calibri"/>
        </w:rPr>
        <w:t>(2021)</w:t>
      </w:r>
      <w:r w:rsidR="00957F7C">
        <w:rPr>
          <w:rFonts w:ascii="Calibri" w:eastAsia="Times New Roman" w:hAnsi="Calibri" w:cs="Calibri"/>
          <w:color w:val="000000"/>
          <w:szCs w:val="22"/>
          <w:lang w:eastAsia="en-GB"/>
        </w:rPr>
        <w:fldChar w:fldCharType="end"/>
      </w:r>
      <w:r w:rsidRPr="00037122">
        <w:rPr>
          <w:rFonts w:ascii="Calibri" w:eastAsia="Times New Roman" w:hAnsi="Calibri" w:cs="Calibri"/>
          <w:color w:val="000000"/>
          <w:szCs w:val="22"/>
          <w:lang w:eastAsia="en-GB"/>
        </w:rPr>
        <w:t xml:space="preserve"> who used this rate across their modelling to capture the existing issues with expanding grid capacity while allowing the model to invest as necessary to roughly meet demand.</w:t>
      </w:r>
    </w:p>
    <w:p w14:paraId="02968D5E" w14:textId="26A2941D" w:rsidR="00A9002A" w:rsidRDefault="00A9002A" w:rsidP="005D4F42">
      <w:r>
        <w:t xml:space="preserve">Information on the costs, residual capacities and other input data that remain constant throughout the modelling can be found in the corresponding data note. </w:t>
      </w:r>
    </w:p>
    <w:p w14:paraId="4618EE48" w14:textId="457A2084" w:rsidR="005D4F42" w:rsidRDefault="005D4F42" w:rsidP="005D4F42"/>
    <w:p w14:paraId="793E320E" w14:textId="4857DBB2" w:rsidR="005D4F42" w:rsidRDefault="005D4F42" w:rsidP="005D4F42">
      <w:pPr>
        <w:pStyle w:val="Heading1"/>
      </w:pPr>
      <w:r>
        <w:t>Scenario Descriptions</w:t>
      </w:r>
    </w:p>
    <w:p w14:paraId="558F6FAF" w14:textId="13A890D1" w:rsidR="00263A84" w:rsidRDefault="00263A84" w:rsidP="00263A84">
      <w:pPr>
        <w:pStyle w:val="NormalWeb"/>
        <w:spacing w:before="240" w:beforeAutospacing="0" w:after="240" w:afterAutospacing="0"/>
        <w:rPr>
          <w:rFonts w:ascii="Calibri" w:hAnsi="Calibri" w:cs="Calibri"/>
          <w:color w:val="000000"/>
        </w:rPr>
      </w:pPr>
      <w:r>
        <w:rPr>
          <w:rFonts w:ascii="Calibri" w:hAnsi="Calibri" w:cs="Calibri"/>
          <w:color w:val="000000"/>
        </w:rPr>
        <w:t xml:space="preserve">As shown in </w:t>
      </w:r>
      <w:r w:rsidR="00136D22">
        <w:rPr>
          <w:rFonts w:ascii="Calibri" w:hAnsi="Calibri" w:cs="Calibri"/>
          <w:color w:val="000000"/>
        </w:rPr>
        <w:t>F</w:t>
      </w:r>
      <w:r>
        <w:rPr>
          <w:rFonts w:ascii="Calibri" w:hAnsi="Calibri" w:cs="Calibri"/>
          <w:color w:val="000000"/>
        </w:rPr>
        <w:t xml:space="preserve">igure </w:t>
      </w:r>
      <w:r w:rsidR="00136D22">
        <w:rPr>
          <w:rFonts w:ascii="Calibri" w:hAnsi="Calibri" w:cs="Calibri"/>
          <w:color w:val="000000"/>
        </w:rPr>
        <w:t>1</w:t>
      </w:r>
      <w:r>
        <w:rPr>
          <w:rFonts w:ascii="Calibri" w:hAnsi="Calibri" w:cs="Calibri"/>
          <w:color w:val="000000"/>
        </w:rPr>
        <w:t xml:space="preserve">, this modelling explores variations on four core </w:t>
      </w:r>
      <w:r w:rsidR="00F84260">
        <w:rPr>
          <w:rFonts w:ascii="Calibri" w:hAnsi="Calibri" w:cs="Calibri"/>
          <w:color w:val="000000"/>
        </w:rPr>
        <w:t>scenarios</w:t>
      </w:r>
      <w:r>
        <w:rPr>
          <w:rFonts w:ascii="Calibri" w:hAnsi="Calibri" w:cs="Calibri"/>
          <w:color w:val="000000"/>
        </w:rPr>
        <w:t xml:space="preserve">. The </w:t>
      </w:r>
      <w:r w:rsidR="00F84260">
        <w:rPr>
          <w:rFonts w:ascii="Calibri" w:hAnsi="Calibri" w:cs="Calibri"/>
          <w:color w:val="000000"/>
        </w:rPr>
        <w:t>business</w:t>
      </w:r>
      <w:r>
        <w:rPr>
          <w:rFonts w:ascii="Calibri" w:hAnsi="Calibri" w:cs="Calibri"/>
          <w:color w:val="000000"/>
        </w:rPr>
        <w:t xml:space="preserve"> as usual scenario captures what might happen if </w:t>
      </w:r>
      <w:r w:rsidR="00F84260">
        <w:rPr>
          <w:rFonts w:ascii="Calibri" w:hAnsi="Calibri" w:cs="Calibri"/>
          <w:color w:val="000000"/>
        </w:rPr>
        <w:t>Nigeria’s</w:t>
      </w:r>
      <w:r>
        <w:rPr>
          <w:rFonts w:ascii="Calibri" w:hAnsi="Calibri" w:cs="Calibri"/>
          <w:color w:val="000000"/>
        </w:rPr>
        <w:t xml:space="preserve"> energy system were to continue to grow and develop as it is now. The Least cost scenario </w:t>
      </w:r>
      <w:r w:rsidR="00F84260">
        <w:rPr>
          <w:rFonts w:ascii="Calibri" w:hAnsi="Calibri" w:cs="Calibri"/>
          <w:color w:val="000000"/>
        </w:rPr>
        <w:t xml:space="preserve">allows the model to invest in the cost-optimal solution to meet demand. Finally, the conditional and unconditional NDC scenarios explore the country’s commitments under the Paris Agreement. </w:t>
      </w:r>
    </w:p>
    <w:p w14:paraId="63F2F414" w14:textId="5CFB5B70" w:rsidR="00263A84" w:rsidRDefault="00263A84" w:rsidP="00263A84">
      <w:pPr>
        <w:pStyle w:val="NormalWeb"/>
        <w:spacing w:before="240" w:beforeAutospacing="0" w:after="240" w:afterAutospacing="0"/>
      </w:pPr>
      <w:r>
        <w:rPr>
          <w:rFonts w:ascii="Calibri" w:hAnsi="Calibri" w:cs="Calibri"/>
          <w:color w:val="000000"/>
        </w:rPr>
        <w:t>As the carbon budget for the NDC ha</w:t>
      </w:r>
      <w:r w:rsidR="006420E4">
        <w:rPr>
          <w:rFonts w:ascii="Calibri" w:hAnsi="Calibri" w:cs="Calibri"/>
          <w:color w:val="000000"/>
        </w:rPr>
        <w:t>d</w:t>
      </w:r>
      <w:r>
        <w:rPr>
          <w:rFonts w:ascii="Calibri" w:hAnsi="Calibri" w:cs="Calibri"/>
          <w:color w:val="000000"/>
        </w:rPr>
        <w:t xml:space="preserve"> yet to be published</w:t>
      </w:r>
      <w:r w:rsidR="006420E4">
        <w:rPr>
          <w:rFonts w:ascii="Calibri" w:hAnsi="Calibri" w:cs="Calibri"/>
          <w:color w:val="000000"/>
        </w:rPr>
        <w:t xml:space="preserve"> as the time of writing</w:t>
      </w:r>
      <w:r>
        <w:rPr>
          <w:rFonts w:ascii="Calibri" w:hAnsi="Calibri" w:cs="Calibri"/>
          <w:color w:val="000000"/>
        </w:rPr>
        <w:t>, the emissions ceilings were calculated using the BAU model runs found to have 2030 emissions closest to those projected in NDC modelling (108.6MT). The BAU run with plant availability improving to 2050 was selected as it projects emissions of 107 MT of emissions in 2030.The resulting UNDC cap was calculated to be 85 MT of CO2 annually and the CNDC cap was calculated at 56 MT. </w:t>
      </w:r>
    </w:p>
    <w:p w14:paraId="706E6485" w14:textId="5C340CB5" w:rsidR="00AB0140" w:rsidRDefault="00263A84" w:rsidP="00986D50">
      <w:pPr>
        <w:pStyle w:val="NormalWeb"/>
        <w:spacing w:before="240" w:beforeAutospacing="0" w:after="240" w:afterAutospacing="0"/>
      </w:pPr>
      <w:r>
        <w:rPr>
          <w:rFonts w:ascii="Calibri" w:hAnsi="Calibri" w:cs="Calibri"/>
          <w:color w:val="000000"/>
        </w:rPr>
        <w:t>Nigeria’s 2021 NDC sets additional targets in the Conditional NDC for the power sector – the replacement of all SCGTs, increased off-grid renewables, improved T&amp;D losses, and 15.5 GW of new hydropower</w:t>
      </w:r>
      <w:r w:rsidR="006420E4">
        <w:rPr>
          <w:rFonts w:ascii="Calibri" w:hAnsi="Calibri" w:cs="Calibri"/>
          <w:color w:val="000000"/>
        </w:rPr>
        <w:t xml:space="preserve"> </w:t>
      </w:r>
      <w:r w:rsidR="006420E4">
        <w:rPr>
          <w:rFonts w:ascii="Calibri" w:hAnsi="Calibri" w:cs="Calibri"/>
          <w:color w:val="000000"/>
        </w:rPr>
        <w:fldChar w:fldCharType="begin"/>
      </w:r>
      <w:r w:rsidR="001D253E">
        <w:rPr>
          <w:rFonts w:ascii="Calibri" w:hAnsi="Calibri" w:cs="Calibri"/>
          <w:color w:val="000000"/>
        </w:rPr>
        <w:instrText xml:space="preserve"> ADDIN ZOTERO_ITEM CSL_CITATION {"citationID":"WxC6ge2G","properties":{"formattedCitation":"(Federal Government of Nigeria, 2021)","plainCitation":"(Federal Government of Nigeria, 2021)","noteIndex":0},"citationItems":[{"id":57,"uris":["http://zotero.org/users/9856772/items/TLKDD6A6"],"itemData":{"id":57,"type":"report","event-place":"Abuja","publisher":"Federal Government of Nigeria","publisher-place":"Abuja","title":"Nigeria’s Nationally Determined Contribution – 2021 Update","URL":"https://unfccc.int/documents/497790","author":[{"literal":"Federal Government of Nigeria"}],"issued":{"date-parts":[["2021",5,27]]}}}],"schema":"https://github.com/citation-style-language/schema/raw/master/csl-citation.json"} </w:instrText>
      </w:r>
      <w:r w:rsidR="006420E4">
        <w:rPr>
          <w:rFonts w:ascii="Calibri" w:hAnsi="Calibri" w:cs="Calibri"/>
          <w:color w:val="000000"/>
        </w:rPr>
        <w:fldChar w:fldCharType="separate"/>
      </w:r>
      <w:r w:rsidR="001D253E" w:rsidRPr="001D253E">
        <w:rPr>
          <w:rFonts w:ascii="Calibri" w:hAnsi="Calibri" w:cs="Calibri"/>
        </w:rPr>
        <w:t xml:space="preserve">(Federal </w:t>
      </w:r>
      <w:r w:rsidR="001D253E" w:rsidRPr="001D253E">
        <w:rPr>
          <w:rFonts w:ascii="Calibri" w:hAnsi="Calibri" w:cs="Calibri"/>
        </w:rPr>
        <w:lastRenderedPageBreak/>
        <w:t>Government of Nigeria, 2021)</w:t>
      </w:r>
      <w:r w:rsidR="006420E4">
        <w:rPr>
          <w:rFonts w:ascii="Calibri" w:hAnsi="Calibri" w:cs="Calibri"/>
          <w:color w:val="000000"/>
        </w:rPr>
        <w:fldChar w:fldCharType="end"/>
      </w:r>
      <w:r>
        <w:rPr>
          <w:rFonts w:ascii="Calibri" w:hAnsi="Calibri" w:cs="Calibri"/>
          <w:color w:val="000000"/>
        </w:rPr>
        <w:t>. These milestones were included in the CNDC scenarios, but the UNDC model was left to meet emissions targets without any capacity milestones. </w:t>
      </w:r>
    </w:p>
    <w:p w14:paraId="5C2A8DB4" w14:textId="77777777" w:rsidR="002C33A7" w:rsidRDefault="00A9002A" w:rsidP="002C33A7">
      <w:pPr>
        <w:keepNext/>
        <w:jc w:val="center"/>
      </w:pPr>
      <w:r>
        <w:rPr>
          <w:noProof/>
        </w:rPr>
        <w:drawing>
          <wp:inline distT="0" distB="0" distL="0" distR="0" wp14:anchorId="249CD94F" wp14:editId="0A511217">
            <wp:extent cx="6799580" cy="1419126"/>
            <wp:effectExtent l="0" t="0" r="127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a:picLocks noChangeAspect="1"/>
                    </pic:cNvPicPr>
                  </pic:nvPicPr>
                  <pic:blipFill rotWithShape="1">
                    <a:blip r:embed="rId6" cstate="print">
                      <a:extLst>
                        <a:ext uri="{28A0092B-C50C-407E-A947-70E740481C1C}">
                          <a14:useLocalDpi xmlns:a14="http://schemas.microsoft.com/office/drawing/2010/main" val="0"/>
                        </a:ext>
                      </a:extLst>
                    </a:blip>
                    <a:srcRect l="1256" t="7763" r="1534" b="6320"/>
                    <a:stretch/>
                  </pic:blipFill>
                  <pic:spPr bwMode="auto">
                    <a:xfrm>
                      <a:off x="0" y="0"/>
                      <a:ext cx="6837121" cy="1426961"/>
                    </a:xfrm>
                    <a:prstGeom prst="rect">
                      <a:avLst/>
                    </a:prstGeom>
                    <a:ln>
                      <a:noFill/>
                    </a:ln>
                    <a:extLst>
                      <a:ext uri="{53640926-AAD7-44D8-BBD7-CCE9431645EC}">
                        <a14:shadowObscured xmlns:a14="http://schemas.microsoft.com/office/drawing/2010/main"/>
                      </a:ext>
                    </a:extLst>
                  </pic:spPr>
                </pic:pic>
              </a:graphicData>
            </a:graphic>
          </wp:inline>
        </w:drawing>
      </w:r>
    </w:p>
    <w:p w14:paraId="0AB02832" w14:textId="73B0A101" w:rsidR="00CA2668" w:rsidRDefault="002C33A7" w:rsidP="002C33A7">
      <w:pPr>
        <w:pStyle w:val="Caption"/>
      </w:pPr>
      <w:r>
        <w:t xml:space="preserve">Figure </w:t>
      </w:r>
      <w:r>
        <w:fldChar w:fldCharType="begin"/>
      </w:r>
      <w:r>
        <w:instrText xml:space="preserve"> SEQ Figure \* ARABIC </w:instrText>
      </w:r>
      <w:r>
        <w:fldChar w:fldCharType="separate"/>
      </w:r>
      <w:r>
        <w:rPr>
          <w:noProof/>
        </w:rPr>
        <w:t>1</w:t>
      </w:r>
      <w:r>
        <w:fldChar w:fldCharType="end"/>
      </w:r>
      <w:r>
        <w:t>. Scenario framework overview</w:t>
      </w:r>
    </w:p>
    <w:p w14:paraId="4E334251" w14:textId="142B9C89" w:rsidR="001C21D4" w:rsidRPr="00F57802" w:rsidRDefault="001C21D4" w:rsidP="00F57802">
      <w:pPr>
        <w:pStyle w:val="Heading2"/>
      </w:pPr>
      <w:r w:rsidRPr="00F57802">
        <w:t xml:space="preserve">Business as Usual </w:t>
      </w:r>
    </w:p>
    <w:p w14:paraId="0F1215F7" w14:textId="77777777" w:rsidR="00F57802" w:rsidRPr="00F57802" w:rsidRDefault="00691F1B" w:rsidP="00F57802">
      <w:pPr>
        <w:rPr>
          <w:color w:val="FF0000"/>
        </w:rPr>
      </w:pPr>
      <w:r>
        <w:t xml:space="preserve">This scenario captures the current power system investment trends and projects them to 2065. </w:t>
      </w:r>
    </w:p>
    <w:p w14:paraId="19EE16BF" w14:textId="2649CCE9" w:rsidR="001C21D4" w:rsidRDefault="001C3C6B" w:rsidP="001C3C6B">
      <w:pPr>
        <w:pStyle w:val="ListParagraph"/>
        <w:numPr>
          <w:ilvl w:val="0"/>
          <w:numId w:val="2"/>
        </w:numPr>
        <w:rPr>
          <w:color w:val="000000" w:themeColor="text1"/>
        </w:rPr>
      </w:pPr>
      <w:r w:rsidRPr="009C1C61">
        <w:rPr>
          <w:color w:val="000000" w:themeColor="text1"/>
        </w:rPr>
        <w:t>On-grid investment is constrained to only gas (SCGT and CCGT) and hydropower from 2022 onwards.</w:t>
      </w:r>
    </w:p>
    <w:p w14:paraId="7846CF8C" w14:textId="4C77281C" w:rsidR="00F21ADA" w:rsidRPr="009C1C61" w:rsidRDefault="00F21ADA" w:rsidP="001C3C6B">
      <w:pPr>
        <w:pStyle w:val="ListParagraph"/>
        <w:numPr>
          <w:ilvl w:val="0"/>
          <w:numId w:val="2"/>
        </w:numPr>
        <w:rPr>
          <w:color w:val="000000" w:themeColor="text1"/>
        </w:rPr>
      </w:pPr>
      <w:r>
        <w:rPr>
          <w:color w:val="000000" w:themeColor="text1"/>
        </w:rPr>
        <w:t xml:space="preserve">Off-grid investment is </w:t>
      </w:r>
      <w:r w:rsidR="00720F42">
        <w:rPr>
          <w:color w:val="000000" w:themeColor="text1"/>
        </w:rPr>
        <w:t xml:space="preserve">mostly unconstrained, distributed solar is limited by </w:t>
      </w:r>
      <w:r w:rsidR="00B74B0E">
        <w:rPr>
          <w:color w:val="000000" w:themeColor="text1"/>
        </w:rPr>
        <w:t xml:space="preserve">projections of off-grid demand from the Global Electrification Platform. </w:t>
      </w:r>
    </w:p>
    <w:p w14:paraId="23BECD81" w14:textId="5C2D59E3" w:rsidR="001C3C6B" w:rsidRPr="009C1C61" w:rsidRDefault="001C3C6B" w:rsidP="001C3C6B">
      <w:pPr>
        <w:pStyle w:val="ListParagraph"/>
        <w:numPr>
          <w:ilvl w:val="0"/>
          <w:numId w:val="2"/>
        </w:numPr>
        <w:rPr>
          <w:color w:val="000000" w:themeColor="text1"/>
        </w:rPr>
      </w:pPr>
      <w:r w:rsidRPr="009C1C61">
        <w:rPr>
          <w:color w:val="000000" w:themeColor="text1"/>
        </w:rPr>
        <w:t>No investment in energy efficiency is permitted</w:t>
      </w:r>
      <w:r w:rsidR="00A6142F">
        <w:rPr>
          <w:color w:val="000000" w:themeColor="text1"/>
        </w:rPr>
        <w:t>.</w:t>
      </w:r>
    </w:p>
    <w:p w14:paraId="05A2DF0E" w14:textId="77777777" w:rsidR="001C3C6B" w:rsidRPr="001C3C6B" w:rsidRDefault="001C3C6B" w:rsidP="001C3C6B">
      <w:pPr>
        <w:pStyle w:val="ListParagraph"/>
        <w:rPr>
          <w:color w:val="FF0000"/>
        </w:rPr>
      </w:pPr>
    </w:p>
    <w:p w14:paraId="2B7812B2" w14:textId="2618BC75" w:rsidR="001C21D4" w:rsidRPr="00F57802" w:rsidRDefault="001C21D4" w:rsidP="00F57802">
      <w:pPr>
        <w:pStyle w:val="Heading2"/>
      </w:pPr>
      <w:r w:rsidRPr="00F57802">
        <w:t xml:space="preserve">Least Cost </w:t>
      </w:r>
    </w:p>
    <w:p w14:paraId="1E02ADF8" w14:textId="7E844D34" w:rsidR="00691F1B" w:rsidRDefault="00691F1B">
      <w:r>
        <w:t xml:space="preserve">The cost-optimised pathway for meeting Nigeria’s electricity demand. </w:t>
      </w:r>
    </w:p>
    <w:p w14:paraId="3FE316C8" w14:textId="4AEF5710" w:rsidR="00831645" w:rsidRPr="009C1C61" w:rsidRDefault="001C3C6B" w:rsidP="00831645">
      <w:pPr>
        <w:pStyle w:val="ListParagraph"/>
        <w:numPr>
          <w:ilvl w:val="0"/>
          <w:numId w:val="2"/>
        </w:numPr>
        <w:rPr>
          <w:color w:val="000000" w:themeColor="text1"/>
        </w:rPr>
      </w:pPr>
      <w:r w:rsidRPr="009C1C61">
        <w:rPr>
          <w:color w:val="000000" w:themeColor="text1"/>
        </w:rPr>
        <w:t xml:space="preserve">No investment in nuclear power is permitted. </w:t>
      </w:r>
    </w:p>
    <w:p w14:paraId="1FE1C59C" w14:textId="538CF835" w:rsidR="00720F42" w:rsidRDefault="00DE6E22" w:rsidP="00720F42">
      <w:pPr>
        <w:pStyle w:val="ListParagraph"/>
        <w:numPr>
          <w:ilvl w:val="0"/>
          <w:numId w:val="2"/>
        </w:numPr>
        <w:rPr>
          <w:color w:val="000000" w:themeColor="text1"/>
        </w:rPr>
      </w:pPr>
      <w:r w:rsidRPr="009C1C61">
        <w:rPr>
          <w:color w:val="000000" w:themeColor="text1"/>
        </w:rPr>
        <w:t xml:space="preserve">On-grid solar and wind constrained to only meet 30% of demand annually (10% met by solar; 20% met by wind). </w:t>
      </w:r>
      <w:r w:rsidR="00720F42">
        <w:rPr>
          <w:color w:val="000000" w:themeColor="text1"/>
        </w:rPr>
        <w:t xml:space="preserve">Biomass can only meet 30% of demand. </w:t>
      </w:r>
    </w:p>
    <w:p w14:paraId="621AEC3C" w14:textId="12D682CB" w:rsidR="00B74B0E" w:rsidRPr="00720F42" w:rsidRDefault="00B74B0E" w:rsidP="00720F42">
      <w:pPr>
        <w:pStyle w:val="ListParagraph"/>
        <w:numPr>
          <w:ilvl w:val="0"/>
          <w:numId w:val="2"/>
        </w:numPr>
        <w:rPr>
          <w:color w:val="000000" w:themeColor="text1"/>
        </w:rPr>
      </w:pPr>
      <w:r>
        <w:rPr>
          <w:color w:val="000000" w:themeColor="text1"/>
        </w:rPr>
        <w:t>Investment in distributed solar is limited by projections of off-grid demand from the Global Electrification Platform.</w:t>
      </w:r>
    </w:p>
    <w:p w14:paraId="63598DAE" w14:textId="77638169" w:rsidR="001C3C6B" w:rsidRPr="009C1C61" w:rsidRDefault="001C3C6B" w:rsidP="00831645">
      <w:pPr>
        <w:pStyle w:val="ListParagraph"/>
        <w:numPr>
          <w:ilvl w:val="0"/>
          <w:numId w:val="2"/>
        </w:numPr>
        <w:rPr>
          <w:color w:val="000000" w:themeColor="text1"/>
        </w:rPr>
      </w:pPr>
      <w:r w:rsidRPr="009C1C61">
        <w:rPr>
          <w:color w:val="000000" w:themeColor="text1"/>
        </w:rPr>
        <w:t xml:space="preserve">Investment in energy efficiency is enabled with gradual investment constraints (see section on energy efficiency). </w:t>
      </w:r>
    </w:p>
    <w:p w14:paraId="0DD10995" w14:textId="276947E3" w:rsidR="001C21D4" w:rsidRDefault="001C21D4"/>
    <w:p w14:paraId="0CF79022" w14:textId="5D369543" w:rsidR="001C21D4" w:rsidRPr="00F57802" w:rsidRDefault="001C21D4" w:rsidP="00F57802">
      <w:pPr>
        <w:pStyle w:val="Heading2"/>
      </w:pPr>
      <w:r w:rsidRPr="00F57802">
        <w:t xml:space="preserve">Unconditional NDC </w:t>
      </w:r>
    </w:p>
    <w:p w14:paraId="12090B07" w14:textId="70CB9F82" w:rsidR="00691F1B" w:rsidRDefault="00691F1B">
      <w:r>
        <w:t xml:space="preserve">Annual emissions are capped at 20% below BAU emissions in 2030 and remain at that level to the end of the model period. </w:t>
      </w:r>
    </w:p>
    <w:p w14:paraId="05EDC316" w14:textId="3DF43806" w:rsidR="00831645" w:rsidRPr="009C1C61" w:rsidRDefault="001C3C6B" w:rsidP="00831645">
      <w:pPr>
        <w:pStyle w:val="ListParagraph"/>
        <w:numPr>
          <w:ilvl w:val="0"/>
          <w:numId w:val="2"/>
        </w:numPr>
        <w:rPr>
          <w:color w:val="000000" w:themeColor="text1"/>
        </w:rPr>
      </w:pPr>
      <w:r w:rsidRPr="009C1C61">
        <w:rPr>
          <w:color w:val="000000" w:themeColor="text1"/>
        </w:rPr>
        <w:t>Annual emissions are capped at 85 MT from 2030 onwards.</w:t>
      </w:r>
    </w:p>
    <w:p w14:paraId="4A495A48" w14:textId="77777777" w:rsidR="00720F42" w:rsidRPr="00720F42" w:rsidRDefault="00720F42" w:rsidP="00720F42">
      <w:pPr>
        <w:pStyle w:val="ListParagraph"/>
        <w:numPr>
          <w:ilvl w:val="0"/>
          <w:numId w:val="2"/>
        </w:numPr>
        <w:rPr>
          <w:color w:val="000000" w:themeColor="text1"/>
        </w:rPr>
      </w:pPr>
      <w:r w:rsidRPr="009C1C61">
        <w:rPr>
          <w:color w:val="000000" w:themeColor="text1"/>
        </w:rPr>
        <w:t xml:space="preserve">On-grid solar and wind constrained to only meet 30% of demand annually (10% met by solar; 20% met by wind). </w:t>
      </w:r>
      <w:r>
        <w:rPr>
          <w:color w:val="000000" w:themeColor="text1"/>
        </w:rPr>
        <w:t xml:space="preserve">Biomass can only meet 30% of demand. </w:t>
      </w:r>
    </w:p>
    <w:p w14:paraId="28125CA3" w14:textId="6E7893AD" w:rsidR="001C3C6B" w:rsidRDefault="001C3C6B" w:rsidP="001C3C6B">
      <w:pPr>
        <w:pStyle w:val="ListParagraph"/>
        <w:numPr>
          <w:ilvl w:val="0"/>
          <w:numId w:val="2"/>
        </w:numPr>
        <w:rPr>
          <w:color w:val="000000" w:themeColor="text1"/>
        </w:rPr>
      </w:pPr>
      <w:r w:rsidRPr="009C1C61">
        <w:rPr>
          <w:color w:val="000000" w:themeColor="text1"/>
        </w:rPr>
        <w:t xml:space="preserve">Investment in energy efficiency is enabled with gradual investment constraints (see section on energy efficiency). </w:t>
      </w:r>
    </w:p>
    <w:p w14:paraId="22C65567" w14:textId="77777777" w:rsidR="005C36D4" w:rsidRPr="005C36D4" w:rsidRDefault="005C36D4" w:rsidP="005C36D4">
      <w:pPr>
        <w:rPr>
          <w:color w:val="000000" w:themeColor="text1"/>
        </w:rPr>
      </w:pPr>
    </w:p>
    <w:p w14:paraId="67B0A434" w14:textId="4569F30C" w:rsidR="001C21D4" w:rsidRPr="00F57802" w:rsidRDefault="001C21D4" w:rsidP="00F57802">
      <w:pPr>
        <w:pStyle w:val="Heading2"/>
      </w:pPr>
      <w:r w:rsidRPr="00F57802">
        <w:t xml:space="preserve">Conditional NDC </w:t>
      </w:r>
    </w:p>
    <w:p w14:paraId="0C9DF811" w14:textId="43A0DFBF" w:rsidR="00691F1B" w:rsidRDefault="00691F1B">
      <w:r>
        <w:t xml:space="preserve">Annual emissions are capped at 47% below BAU emissions in 2030 and remain at that level to the end of the model period. Additional </w:t>
      </w:r>
      <w:r w:rsidR="00F57802">
        <w:t xml:space="preserve">power sector goals </w:t>
      </w:r>
      <w:r w:rsidR="00B30015">
        <w:t xml:space="preserve">(outlined below) are also included to direct model investment. </w:t>
      </w:r>
    </w:p>
    <w:p w14:paraId="37C06CB9" w14:textId="65E1E923" w:rsidR="001C3C6B" w:rsidRPr="009C1C61" w:rsidRDefault="001C3C6B" w:rsidP="001C3C6B">
      <w:pPr>
        <w:pStyle w:val="ListParagraph"/>
        <w:numPr>
          <w:ilvl w:val="0"/>
          <w:numId w:val="2"/>
        </w:numPr>
        <w:rPr>
          <w:color w:val="000000" w:themeColor="text1"/>
        </w:rPr>
      </w:pPr>
      <w:r w:rsidRPr="009C1C61">
        <w:rPr>
          <w:color w:val="000000" w:themeColor="text1"/>
        </w:rPr>
        <w:t>Annual emissions are capped at 56 MT from 2030 onwards.</w:t>
      </w:r>
    </w:p>
    <w:p w14:paraId="26B9D3BC" w14:textId="2764391A" w:rsidR="008D4341" w:rsidRPr="009C1C61" w:rsidRDefault="009B331A" w:rsidP="001C3C6B">
      <w:pPr>
        <w:pStyle w:val="ListParagraph"/>
        <w:numPr>
          <w:ilvl w:val="0"/>
          <w:numId w:val="2"/>
        </w:numPr>
        <w:rPr>
          <w:color w:val="000000" w:themeColor="text1"/>
        </w:rPr>
      </w:pPr>
      <w:r w:rsidRPr="009C1C61">
        <w:rPr>
          <w:color w:val="000000" w:themeColor="text1"/>
        </w:rPr>
        <w:t>T&amp;D losses reduced to 8%, down from 15% in 2018</w:t>
      </w:r>
      <w:r w:rsidR="00DE6E22" w:rsidRPr="009C1C61">
        <w:rPr>
          <w:color w:val="000000" w:themeColor="text1"/>
        </w:rPr>
        <w:t xml:space="preserve"> (distribution efficiency increased as transmission efficiency is high in base model). </w:t>
      </w:r>
    </w:p>
    <w:p w14:paraId="2B4D1A03" w14:textId="2C3FF181" w:rsidR="009B331A" w:rsidRPr="009C1C61" w:rsidRDefault="009B331A" w:rsidP="001C3C6B">
      <w:pPr>
        <w:pStyle w:val="ListParagraph"/>
        <w:numPr>
          <w:ilvl w:val="0"/>
          <w:numId w:val="2"/>
        </w:numPr>
        <w:rPr>
          <w:color w:val="000000" w:themeColor="text1"/>
        </w:rPr>
      </w:pPr>
      <w:r w:rsidRPr="009C1C61">
        <w:rPr>
          <w:color w:val="000000" w:themeColor="text1"/>
        </w:rPr>
        <w:t>SCGTs phased out of the power system by 2030 (upper activity limit for SCGT set to 0 after 2030)</w:t>
      </w:r>
      <w:r w:rsidR="00DE6E22" w:rsidRPr="009C1C61">
        <w:rPr>
          <w:color w:val="000000" w:themeColor="text1"/>
        </w:rPr>
        <w:t>.</w:t>
      </w:r>
    </w:p>
    <w:p w14:paraId="2C20B9E8" w14:textId="09461BD2" w:rsidR="00DE6E22" w:rsidRPr="009C1C61" w:rsidRDefault="00DE6E22" w:rsidP="001C3C6B">
      <w:pPr>
        <w:pStyle w:val="ListParagraph"/>
        <w:numPr>
          <w:ilvl w:val="0"/>
          <w:numId w:val="2"/>
        </w:numPr>
        <w:rPr>
          <w:color w:val="000000" w:themeColor="text1"/>
        </w:rPr>
      </w:pPr>
      <w:r w:rsidRPr="009C1C61">
        <w:rPr>
          <w:color w:val="000000" w:themeColor="text1"/>
        </w:rPr>
        <w:t>Additional investment in 12 GW large hydro by 2030.</w:t>
      </w:r>
    </w:p>
    <w:p w14:paraId="61A5FC90" w14:textId="18480717" w:rsidR="00DE6E22" w:rsidRPr="009C1C61" w:rsidRDefault="00DE6E22" w:rsidP="001C3C6B">
      <w:pPr>
        <w:pStyle w:val="ListParagraph"/>
        <w:numPr>
          <w:ilvl w:val="0"/>
          <w:numId w:val="2"/>
        </w:numPr>
        <w:rPr>
          <w:color w:val="000000" w:themeColor="text1"/>
        </w:rPr>
      </w:pPr>
      <w:r w:rsidRPr="009C1C61">
        <w:rPr>
          <w:color w:val="000000" w:themeColor="text1"/>
        </w:rPr>
        <w:t xml:space="preserve">Additional investment in 3.5 GW small hydro by 2030. </w:t>
      </w:r>
    </w:p>
    <w:p w14:paraId="1E44AB37" w14:textId="4D5339AE" w:rsidR="00DE6E22" w:rsidRPr="009C1C61" w:rsidRDefault="00B30015" w:rsidP="00DE6E22">
      <w:pPr>
        <w:pStyle w:val="ListParagraph"/>
        <w:numPr>
          <w:ilvl w:val="0"/>
          <w:numId w:val="2"/>
        </w:numPr>
        <w:rPr>
          <w:color w:val="000000" w:themeColor="text1"/>
        </w:rPr>
      </w:pPr>
      <w:r w:rsidRPr="009C1C61">
        <w:rPr>
          <w:color w:val="000000" w:themeColor="text1"/>
        </w:rPr>
        <w:t>Invest in</w:t>
      </w:r>
      <w:r w:rsidR="00DE6E22" w:rsidRPr="009C1C61">
        <w:rPr>
          <w:color w:val="000000" w:themeColor="text1"/>
        </w:rPr>
        <w:t xml:space="preserve"> 6.5 GW </w:t>
      </w:r>
      <w:r w:rsidRPr="009C1C61">
        <w:rPr>
          <w:color w:val="000000" w:themeColor="text1"/>
        </w:rPr>
        <w:t xml:space="preserve">of </w:t>
      </w:r>
      <w:r w:rsidR="00DE6E22" w:rsidRPr="009C1C61">
        <w:rPr>
          <w:color w:val="000000" w:themeColor="text1"/>
        </w:rPr>
        <w:t xml:space="preserve">utility-scale PV by 2030. </w:t>
      </w:r>
    </w:p>
    <w:p w14:paraId="62450567" w14:textId="0F160768" w:rsidR="00DE6E22" w:rsidRPr="009C1C61" w:rsidRDefault="00B30015" w:rsidP="00DE6E22">
      <w:pPr>
        <w:pStyle w:val="ListParagraph"/>
        <w:numPr>
          <w:ilvl w:val="0"/>
          <w:numId w:val="2"/>
        </w:numPr>
        <w:rPr>
          <w:color w:val="000000" w:themeColor="text1"/>
        </w:rPr>
      </w:pPr>
      <w:r w:rsidRPr="009C1C61">
        <w:rPr>
          <w:color w:val="000000" w:themeColor="text1"/>
        </w:rPr>
        <w:t>Invest</w:t>
      </w:r>
      <w:r w:rsidR="00DE6E22" w:rsidRPr="009C1C61">
        <w:rPr>
          <w:color w:val="000000" w:themeColor="text1"/>
        </w:rPr>
        <w:t xml:space="preserve"> in </w:t>
      </w:r>
      <w:r w:rsidRPr="009C1C61">
        <w:rPr>
          <w:color w:val="000000" w:themeColor="text1"/>
        </w:rPr>
        <w:t>3.2</w:t>
      </w:r>
      <w:r w:rsidR="00DE6E22" w:rsidRPr="009C1C61">
        <w:rPr>
          <w:color w:val="000000" w:themeColor="text1"/>
        </w:rPr>
        <w:t xml:space="preserve"> GW </w:t>
      </w:r>
      <w:r w:rsidRPr="009C1C61">
        <w:rPr>
          <w:color w:val="000000" w:themeColor="text1"/>
        </w:rPr>
        <w:t xml:space="preserve">of wind </w:t>
      </w:r>
      <w:r w:rsidR="00DE6E22" w:rsidRPr="009C1C61">
        <w:rPr>
          <w:color w:val="000000" w:themeColor="text1"/>
        </w:rPr>
        <w:t xml:space="preserve">by 2030. </w:t>
      </w:r>
    </w:p>
    <w:p w14:paraId="5B26DE12" w14:textId="4434DFC4" w:rsidR="00B30015" w:rsidRPr="009C1C61" w:rsidRDefault="00B30015" w:rsidP="00DE6E22">
      <w:pPr>
        <w:pStyle w:val="ListParagraph"/>
        <w:numPr>
          <w:ilvl w:val="0"/>
          <w:numId w:val="2"/>
        </w:numPr>
        <w:rPr>
          <w:color w:val="000000" w:themeColor="text1"/>
        </w:rPr>
      </w:pPr>
      <w:r w:rsidRPr="009C1C61">
        <w:rPr>
          <w:color w:val="000000" w:themeColor="text1"/>
        </w:rPr>
        <w:t xml:space="preserve">Invest in 13GW of off-grid renewables by 2030 (small-scale PV and hydro). </w:t>
      </w:r>
    </w:p>
    <w:p w14:paraId="7B1959E3" w14:textId="2E8FE088" w:rsidR="00720F42" w:rsidRDefault="00720F42" w:rsidP="00720F42">
      <w:pPr>
        <w:pStyle w:val="ListParagraph"/>
        <w:numPr>
          <w:ilvl w:val="0"/>
          <w:numId w:val="2"/>
        </w:numPr>
        <w:rPr>
          <w:color w:val="000000" w:themeColor="text1"/>
        </w:rPr>
      </w:pPr>
      <w:r w:rsidRPr="009C1C61">
        <w:rPr>
          <w:color w:val="000000" w:themeColor="text1"/>
        </w:rPr>
        <w:lastRenderedPageBreak/>
        <w:t xml:space="preserve">On-grid solar and wind constrained to only meet 30% of demand annually (10% met by solar; 20% met by wind). </w:t>
      </w:r>
      <w:r>
        <w:rPr>
          <w:color w:val="000000" w:themeColor="text1"/>
        </w:rPr>
        <w:t xml:space="preserve">Biomass can only meet 30% of demand. </w:t>
      </w:r>
    </w:p>
    <w:p w14:paraId="60A589C9" w14:textId="37780FD1" w:rsidR="00B74B0E" w:rsidRPr="00B74B0E" w:rsidRDefault="00B74B0E" w:rsidP="00B74B0E">
      <w:pPr>
        <w:pStyle w:val="ListParagraph"/>
        <w:numPr>
          <w:ilvl w:val="0"/>
          <w:numId w:val="2"/>
        </w:numPr>
        <w:rPr>
          <w:color w:val="000000" w:themeColor="text1"/>
        </w:rPr>
      </w:pPr>
      <w:r>
        <w:rPr>
          <w:color w:val="000000" w:themeColor="text1"/>
        </w:rPr>
        <w:t>Investment in distributed solar is limited by projections of off-grid demand from the Global Electrification Platform.</w:t>
      </w:r>
    </w:p>
    <w:p w14:paraId="5B2B5F9C" w14:textId="0B1D3EF3" w:rsidR="005C36D4" w:rsidRDefault="001C3C6B" w:rsidP="00347781">
      <w:pPr>
        <w:pStyle w:val="ListParagraph"/>
        <w:numPr>
          <w:ilvl w:val="0"/>
          <w:numId w:val="2"/>
        </w:numPr>
        <w:rPr>
          <w:color w:val="000000" w:themeColor="text1"/>
        </w:rPr>
      </w:pPr>
      <w:r w:rsidRPr="009C1C61">
        <w:rPr>
          <w:color w:val="000000" w:themeColor="text1"/>
        </w:rPr>
        <w:t xml:space="preserve">Investment in energy efficiency is enabled with gradual investment constraints (see section on energy efficiency). </w:t>
      </w:r>
    </w:p>
    <w:p w14:paraId="7C04B0DD" w14:textId="69715BA2" w:rsidR="000D12A3" w:rsidRPr="000D12A3" w:rsidRDefault="000D12A3" w:rsidP="000D12A3">
      <w:pPr>
        <w:pStyle w:val="ListParagraph"/>
        <w:numPr>
          <w:ilvl w:val="0"/>
          <w:numId w:val="4"/>
        </w:numPr>
        <w:rPr>
          <w:b/>
          <w:bCs/>
          <w:color w:val="000000" w:themeColor="text1"/>
        </w:rPr>
      </w:pPr>
      <w:r>
        <w:rPr>
          <w:color w:val="000000" w:themeColor="text1"/>
        </w:rPr>
        <w:t>For scenarios with energy efficiency, the model</w:t>
      </w:r>
      <w:r>
        <w:rPr>
          <w:color w:val="000000" w:themeColor="text1"/>
          <w:lang w:val="en-US"/>
        </w:rPr>
        <w:t xml:space="preserve"> </w:t>
      </w:r>
      <w:r w:rsidRPr="005416E5">
        <w:rPr>
          <w:color w:val="000000" w:themeColor="text1"/>
          <w:lang w:val="en-US"/>
        </w:rPr>
        <w:t>can invest in energy efficiency at cost</w:t>
      </w:r>
      <w:r>
        <w:rPr>
          <w:color w:val="000000" w:themeColor="text1"/>
          <w:lang w:val="en-US"/>
        </w:rPr>
        <w:t>-</w:t>
      </w:r>
      <w:r w:rsidRPr="005416E5">
        <w:rPr>
          <w:color w:val="000000" w:themeColor="text1"/>
          <w:lang w:val="en-US"/>
        </w:rPr>
        <w:t>optimal levels. Constraints added to create gradual investment allowing investment in up to 5% of 2050 capacity of runs without</w:t>
      </w:r>
      <w:r>
        <w:rPr>
          <w:color w:val="000000" w:themeColor="text1"/>
          <w:lang w:val="en-US"/>
        </w:rPr>
        <w:t xml:space="preserve"> EE constraints</w:t>
      </w:r>
      <w:r w:rsidRPr="005416E5">
        <w:rPr>
          <w:color w:val="000000" w:themeColor="text1"/>
          <w:lang w:val="en-US"/>
        </w:rPr>
        <w:t>.</w:t>
      </w:r>
      <w:r>
        <w:rPr>
          <w:color w:val="000000" w:themeColor="text1"/>
          <w:lang w:val="en-US"/>
        </w:rPr>
        <w:t xml:space="preserve"> This method follows guidance in </w:t>
      </w:r>
      <w:proofErr w:type="spellStart"/>
      <w:r w:rsidR="00957F7C" w:rsidRPr="00957F7C">
        <w:rPr>
          <w:color w:val="000000" w:themeColor="text1"/>
          <w:lang w:val="en-US"/>
        </w:rPr>
        <w:t>Cannone</w:t>
      </w:r>
      <w:proofErr w:type="spellEnd"/>
      <w:r w:rsidR="00957F7C">
        <w:rPr>
          <w:color w:val="000000" w:themeColor="text1"/>
          <w:lang w:val="en-US"/>
        </w:rPr>
        <w:t xml:space="preserve"> et al </w:t>
      </w:r>
      <w:r w:rsidR="00957F7C">
        <w:rPr>
          <w:color w:val="000000" w:themeColor="text1"/>
          <w:lang w:val="en-US"/>
        </w:rPr>
        <w:fldChar w:fldCharType="begin"/>
      </w:r>
      <w:r w:rsidR="00957F7C">
        <w:rPr>
          <w:color w:val="000000" w:themeColor="text1"/>
          <w:lang w:val="en-US"/>
        </w:rPr>
        <w:instrText xml:space="preserve"> ADDIN ZOTERO_ITEM CSL_CITATION {"citationID":"pq711mxf","properties":{"formattedCitation":"(2023)","plainCitation":"(2023)","noteIndex":0},"citationItems":[{"id":1059,"uris":["http://zotero.org/users/9856772/items/7PKVACCY"],"itemData":{"id":1059,"type":"article-journal","abstract":"The Paris Agreement was signed by 192 Parties, who committed to reducing emissions. Reaching such commitments by developing national decarbonisation strategies requires significant analyses and investment. Analyses for such strategies are often delayed due to a lack of accurate and up-to-date data for creating energy transition models. The Starter Data Kits address this issue by providing open-source, zero-level country datasets to accelerate the energy planning process. There is a strong demand for replicating the process of creating Starter Data Kits because they are currently only available for 69 countries in Africa, Asia, and South America. Using an African country as an example, this paper presents the methodology to create a Starter Data Kit made of tool-agnostic data repositories and OSeMOSYS-specific data files. The paper illustrates the steps involved, provides additional information for conducting similar work in Asia and South America, and highlights the limitations of the current version of the Starter Data Kits. Future development is proposed to expand the datasets, including new and more accurate data and new energy sectors. Therefore, this document provides instructions on the steps and materials required to develop a Starter Data Kit.•The methodology presented here is intended to encourage practitioners to apply it to new countries and expand the current Starter Data Kits library.•It is a novel process that creates data pipelines that feed into a single Data Collection and Manipulation Tool (DaCoMaTool).•It allows for tool-agnostic data creation in a consistent format ready for a modelling analysis using one of the available tools.","container-title":"MethodsX","DOI":"https://doi.org/10.1016/j.mex.2023.102120","ISSN":"2215-0161","page":"102120","title":"Designing a zero-order energy transition model: How to create a new Starter Data Kit","volume":"10","author":[{"family":"Cannone","given":"Carla"},{"family":"Allington","given":"Lucy"},{"family":"Barron","given":"Karla Cervantes"},{"family":"Charbonnier","given":"Flora"},{"family":"Walker","given":"Miriam Zachau"},{"family":"Halloran","given":"Claire"},{"family":"Yeganyan","given":"Rudolf"},{"family":"Tan","given":"Naomi"},{"family":"Cullen","given":"Jonathan M."},{"family":"Harrison","given":"John"},{"family":"To","given":"Long Seng"},{"family":"Howells","given":"Mark"}],"issued":{"date-parts":[["2023"]]}},"label":"page","suppress-author":true}],"schema":"https://github.com/citation-style-language/schema/raw/master/csl-citation.json"} </w:instrText>
      </w:r>
      <w:r w:rsidR="00957F7C">
        <w:rPr>
          <w:color w:val="000000" w:themeColor="text1"/>
          <w:lang w:val="en-US"/>
        </w:rPr>
        <w:fldChar w:fldCharType="separate"/>
      </w:r>
      <w:r w:rsidR="001D253E" w:rsidRPr="001D253E">
        <w:rPr>
          <w:rFonts w:ascii="Calibri" w:hAnsi="Calibri" w:cs="Calibri"/>
        </w:rPr>
        <w:t>(2023)</w:t>
      </w:r>
      <w:r w:rsidR="00957F7C">
        <w:rPr>
          <w:color w:val="000000" w:themeColor="text1"/>
          <w:lang w:val="en-US"/>
        </w:rPr>
        <w:fldChar w:fldCharType="end"/>
      </w:r>
      <w:r w:rsidR="00957F7C">
        <w:rPr>
          <w:color w:val="000000" w:themeColor="text1"/>
          <w:lang w:val="en-US"/>
        </w:rPr>
        <w:t>.</w:t>
      </w:r>
    </w:p>
    <w:p w14:paraId="524CFC51" w14:textId="77777777" w:rsidR="005C36D4" w:rsidRDefault="005C36D4"/>
    <w:p w14:paraId="047AC13C" w14:textId="02B54908" w:rsidR="00691F1B" w:rsidRDefault="00F57802" w:rsidP="00F57802">
      <w:pPr>
        <w:pStyle w:val="Heading2"/>
      </w:pPr>
      <w:r>
        <w:t>Variation within Scenarios</w:t>
      </w:r>
      <w:r w:rsidR="008D4341">
        <w:t xml:space="preserve"> </w:t>
      </w:r>
    </w:p>
    <w:p w14:paraId="256E114D" w14:textId="20EFA974" w:rsidR="00263A84" w:rsidRDefault="00831645" w:rsidP="00831645">
      <w:r>
        <w:t xml:space="preserve">Each scenario was run </w:t>
      </w:r>
      <w:r w:rsidR="008D4341">
        <w:t xml:space="preserve">at three levels of assumed plant </w:t>
      </w:r>
      <w:r w:rsidR="00160318">
        <w:t>availability</w:t>
      </w:r>
      <w:r w:rsidR="008D4341">
        <w:t xml:space="preserve"> improvement. </w:t>
      </w:r>
      <w:r w:rsidR="005416E5">
        <w:t xml:space="preserve">Plant availability only applies to on-grid generation and excludes nuclear power. </w:t>
      </w:r>
    </w:p>
    <w:p w14:paraId="4C3EE660" w14:textId="30B2865C" w:rsidR="00263A84" w:rsidRDefault="00263A84" w:rsidP="00263A84">
      <w:pPr>
        <w:pStyle w:val="NormalWeb"/>
        <w:spacing w:before="240" w:beforeAutospacing="0" w:after="240" w:afterAutospacing="0"/>
        <w:rPr>
          <w:rFonts w:ascii="Calibri" w:hAnsi="Calibri" w:cs="Calibri"/>
          <w:color w:val="000000"/>
        </w:rPr>
      </w:pPr>
      <w:r>
        <w:rPr>
          <w:rFonts w:ascii="Calibri" w:hAnsi="Calibri" w:cs="Calibri"/>
          <w:color w:val="000000"/>
        </w:rPr>
        <w:t>To explore the impact of improved plant availability, each of the four core scenarios is run under three different plant availability scenarios – no improvement/BAU, gradual improvement to 2050, and gradual improvement to 2030 (where plant availability meets typical developed country standards in the target year). The baseline for plant availability was calculated using the 2019 average available capacity for each type of plant (hydro, CCGT, SCGT)</w:t>
      </w:r>
      <w:r w:rsidR="006420E4">
        <w:rPr>
          <w:rFonts w:ascii="Calibri" w:hAnsi="Calibri" w:cs="Calibri"/>
          <w:color w:val="000000"/>
        </w:rPr>
        <w:t xml:space="preserve"> </w:t>
      </w:r>
      <w:r w:rsidR="006420E4">
        <w:rPr>
          <w:rFonts w:ascii="Calibri" w:hAnsi="Calibri" w:cs="Calibri"/>
          <w:color w:val="000000"/>
        </w:rPr>
        <w:fldChar w:fldCharType="begin"/>
      </w:r>
      <w:r w:rsidR="001D253E">
        <w:rPr>
          <w:rFonts w:ascii="Calibri" w:hAnsi="Calibri" w:cs="Calibri"/>
          <w:color w:val="000000"/>
        </w:rPr>
        <w:instrText xml:space="preserve"> ADDIN ZOTERO_ITEM CSL_CITATION {"citationID":"jf2znvrK","properties":{"formattedCitation":"(Nigerian Electricity Regulatory Commission, 2021)","plainCitation":"(Nigerian Electricity Regulatory Commission, 2021)","noteIndex":0},"citationItems":[{"id":48,"uris":["http://zotero.org/users/9856772/items/MYR35DW4"],"itemData":{"id":48,"type":"document","publisher":"Nigerian Electricity Regulatory Commission","title":"Key Operational &amp; Financial Data of NESI for Jan 2019 to Sept 2021","URL":"https://nerc.gov.ng/index.php/component/remository/Industry-Statistics/Key-Operational--and--Financial-Data-of-NESI-for-Jan-2019-to-Sept-2021/","author":[{"literal":"Nigerian Electricity Regulatory Commission"}],"issued":{"date-parts":[["2021"]]}}}],"schema":"https://github.com/citation-style-language/schema/raw/master/csl-citation.json"} </w:instrText>
      </w:r>
      <w:r w:rsidR="006420E4">
        <w:rPr>
          <w:rFonts w:ascii="Calibri" w:hAnsi="Calibri" w:cs="Calibri"/>
          <w:color w:val="000000"/>
        </w:rPr>
        <w:fldChar w:fldCharType="separate"/>
      </w:r>
      <w:r w:rsidR="001D253E" w:rsidRPr="001D253E">
        <w:rPr>
          <w:rFonts w:ascii="Calibri" w:hAnsi="Calibri" w:cs="Calibri"/>
        </w:rPr>
        <w:t>(Nigerian Electricity Regulatory Commission, 2021)</w:t>
      </w:r>
      <w:r w:rsidR="006420E4">
        <w:rPr>
          <w:rFonts w:ascii="Calibri" w:hAnsi="Calibri" w:cs="Calibri"/>
          <w:color w:val="000000"/>
        </w:rPr>
        <w:fldChar w:fldCharType="end"/>
      </w:r>
      <w:r>
        <w:rPr>
          <w:rFonts w:ascii="Calibri" w:hAnsi="Calibri" w:cs="Calibri"/>
          <w:color w:val="000000"/>
        </w:rPr>
        <w:t>. The baseline availability for other on-grid generating technologies was set slightly higher than the observed numbers for gas and hydro to conservatively account for the fact that any new plants added to the grid are likely to experience similar management and maintenance issues. Table 3 shows the baseline assumed and observed availabilities for all technology types. In instances where plant availability is assumed to improve, availability grows linearly until it hits 100% in the target year. No availability constraints were added to decentralised technologies to reinforce their use as back-up and alternative generation sources.  </w:t>
      </w:r>
    </w:p>
    <w:p w14:paraId="6DDABC86" w14:textId="2CE9776D" w:rsidR="00F84260" w:rsidRDefault="00F84260" w:rsidP="00F84260">
      <w:pPr>
        <w:pStyle w:val="Heading3"/>
      </w:pPr>
      <w:r>
        <w:t xml:space="preserve">Plant Availability </w:t>
      </w:r>
    </w:p>
    <w:p w14:paraId="217AB9B4" w14:textId="486B43B7" w:rsidR="00263A84" w:rsidRPr="00F84260" w:rsidRDefault="00263A84" w:rsidP="00F84260">
      <w:pPr>
        <w:pStyle w:val="NormalWeb"/>
        <w:spacing w:before="240" w:beforeAutospacing="0" w:after="240" w:afterAutospacing="0"/>
      </w:pPr>
      <w:r>
        <w:rPr>
          <w:rFonts w:ascii="Calibri" w:hAnsi="Calibri" w:cs="Calibri"/>
          <w:color w:val="000000"/>
        </w:rPr>
        <w:t>Each scenario was run with full plant availability to determine optimal plant investment mix and capacity. For subsequent runs with reduced plant availability the installed capacity from this base run was frozen so that the model could not invest in additional on-grid capacity to fill the deficit caused by reduced availability. The model could only use diesel generation to fill the gap, much as the current supply gap is met by diesel generation.</w:t>
      </w:r>
    </w:p>
    <w:p w14:paraId="778E49A9" w14:textId="0B0889DC" w:rsidR="009C1C61" w:rsidRPr="00CB7A1D" w:rsidRDefault="009C1C61" w:rsidP="00160318">
      <w:pPr>
        <w:rPr>
          <w:b/>
          <w:bCs/>
          <w:i/>
          <w:iCs/>
          <w:color w:val="000000" w:themeColor="text1"/>
        </w:rPr>
      </w:pPr>
      <w:r w:rsidRPr="005416E5">
        <w:rPr>
          <w:b/>
          <w:bCs/>
          <w:color w:val="000000" w:themeColor="text1"/>
        </w:rPr>
        <w:t xml:space="preserve">Plant Availability: </w:t>
      </w:r>
      <w:r w:rsidRPr="00CB7A1D">
        <w:rPr>
          <w:b/>
          <w:bCs/>
          <w:i/>
          <w:iCs/>
          <w:color w:val="000000" w:themeColor="text1"/>
        </w:rPr>
        <w:t>Improvement to 2030</w:t>
      </w:r>
    </w:p>
    <w:p w14:paraId="33EC425F" w14:textId="754FF1A3" w:rsidR="005416E5" w:rsidRPr="000D12A3" w:rsidRDefault="005416E5" w:rsidP="00160318">
      <w:pPr>
        <w:pStyle w:val="ListParagraph"/>
        <w:numPr>
          <w:ilvl w:val="0"/>
          <w:numId w:val="3"/>
        </w:numPr>
        <w:rPr>
          <w:color w:val="000000" w:themeColor="text1"/>
        </w:rPr>
      </w:pPr>
      <w:r w:rsidRPr="005416E5">
        <w:rPr>
          <w:color w:val="000000" w:themeColor="text1"/>
          <w:lang w:val="en-US"/>
        </w:rPr>
        <w:t>On-grid power plant availability</w:t>
      </w:r>
      <w:r>
        <w:rPr>
          <w:color w:val="000000" w:themeColor="text1"/>
          <w:lang w:val="en-US"/>
        </w:rPr>
        <w:t xml:space="preserve"> </w:t>
      </w:r>
      <w:r w:rsidRPr="000D12A3">
        <w:rPr>
          <w:color w:val="000000" w:themeColor="text1"/>
          <w:lang w:val="en-US"/>
        </w:rPr>
        <w:t xml:space="preserve">improves linearly </w:t>
      </w:r>
      <w:r w:rsidR="00452B96" w:rsidRPr="000D12A3">
        <w:rPr>
          <w:color w:val="000000" w:themeColor="text1"/>
          <w:lang w:val="en-US"/>
        </w:rPr>
        <w:t xml:space="preserve">(see </w:t>
      </w:r>
      <w:r w:rsidR="000D12A3" w:rsidRPr="000D12A3">
        <w:rPr>
          <w:color w:val="000000" w:themeColor="text1"/>
          <w:lang w:val="en-US"/>
        </w:rPr>
        <w:t>Table 1</w:t>
      </w:r>
      <w:r w:rsidR="00452B96" w:rsidRPr="000D12A3">
        <w:rPr>
          <w:color w:val="000000" w:themeColor="text1"/>
          <w:lang w:val="en-US"/>
        </w:rPr>
        <w:t xml:space="preserve">) </w:t>
      </w:r>
      <w:r w:rsidRPr="000D12A3">
        <w:rPr>
          <w:color w:val="000000" w:themeColor="text1"/>
          <w:lang w:val="en-US"/>
        </w:rPr>
        <w:t>until it hits standard/developed levels in 2030.</w:t>
      </w:r>
      <w:r w:rsidRPr="000D12A3">
        <w:rPr>
          <w:color w:val="000000" w:themeColor="text1"/>
        </w:rPr>
        <w:t xml:space="preserve"> </w:t>
      </w:r>
    </w:p>
    <w:p w14:paraId="448FDC91" w14:textId="68F63849" w:rsidR="009C1C61" w:rsidRPr="000D12A3" w:rsidRDefault="009C1C61" w:rsidP="009C1C61">
      <w:pPr>
        <w:rPr>
          <w:b/>
          <w:bCs/>
          <w:i/>
          <w:iCs/>
          <w:color w:val="000000" w:themeColor="text1"/>
        </w:rPr>
      </w:pPr>
      <w:r w:rsidRPr="000D12A3">
        <w:rPr>
          <w:b/>
          <w:bCs/>
          <w:color w:val="000000" w:themeColor="text1"/>
        </w:rPr>
        <w:t xml:space="preserve">Plant Availability: </w:t>
      </w:r>
      <w:r w:rsidRPr="000D12A3">
        <w:rPr>
          <w:b/>
          <w:bCs/>
          <w:i/>
          <w:iCs/>
          <w:color w:val="000000" w:themeColor="text1"/>
        </w:rPr>
        <w:t>Improvement to 2050</w:t>
      </w:r>
    </w:p>
    <w:p w14:paraId="7545EBBC" w14:textId="3BFE7231" w:rsidR="005416E5" w:rsidRPr="005416E5" w:rsidRDefault="005416E5" w:rsidP="005416E5">
      <w:pPr>
        <w:pStyle w:val="ListParagraph"/>
        <w:numPr>
          <w:ilvl w:val="0"/>
          <w:numId w:val="3"/>
        </w:numPr>
        <w:rPr>
          <w:color w:val="000000" w:themeColor="text1"/>
        </w:rPr>
      </w:pPr>
      <w:r w:rsidRPr="000D12A3">
        <w:rPr>
          <w:color w:val="000000" w:themeColor="text1"/>
          <w:lang w:val="en-US"/>
        </w:rPr>
        <w:t xml:space="preserve">On-grid power plant availability improves linearly </w:t>
      </w:r>
      <w:r w:rsidR="00452B96" w:rsidRPr="000D12A3">
        <w:rPr>
          <w:color w:val="000000" w:themeColor="text1"/>
          <w:lang w:val="en-US"/>
        </w:rPr>
        <w:t xml:space="preserve">(see </w:t>
      </w:r>
      <w:r w:rsidR="000D12A3" w:rsidRPr="000D12A3">
        <w:rPr>
          <w:color w:val="000000" w:themeColor="text1"/>
          <w:lang w:val="en-US"/>
        </w:rPr>
        <w:t>Table 1</w:t>
      </w:r>
      <w:r w:rsidR="00452B96" w:rsidRPr="000D12A3">
        <w:rPr>
          <w:color w:val="000000" w:themeColor="text1"/>
          <w:lang w:val="en-US"/>
        </w:rPr>
        <w:t>)</w:t>
      </w:r>
      <w:r w:rsidR="00452B96" w:rsidRPr="000D12A3">
        <w:t xml:space="preserve"> </w:t>
      </w:r>
      <w:r w:rsidRPr="000D12A3">
        <w:rPr>
          <w:color w:val="000000" w:themeColor="text1"/>
          <w:lang w:val="en-US"/>
        </w:rPr>
        <w:t>until</w:t>
      </w:r>
      <w:r>
        <w:rPr>
          <w:color w:val="000000" w:themeColor="text1"/>
          <w:lang w:val="en-US"/>
        </w:rPr>
        <w:t xml:space="preserve"> it hits standard/developed levels in 2050.</w:t>
      </w:r>
      <w:r w:rsidRPr="009C1C61">
        <w:rPr>
          <w:color w:val="000000" w:themeColor="text1"/>
        </w:rPr>
        <w:t xml:space="preserve"> </w:t>
      </w:r>
    </w:p>
    <w:p w14:paraId="38204504" w14:textId="35686885" w:rsidR="009C1C61" w:rsidRPr="005416E5" w:rsidRDefault="009C1C61" w:rsidP="009C1C61">
      <w:pPr>
        <w:rPr>
          <w:b/>
          <w:bCs/>
          <w:color w:val="000000" w:themeColor="text1"/>
        </w:rPr>
      </w:pPr>
      <w:r w:rsidRPr="005416E5">
        <w:rPr>
          <w:b/>
          <w:bCs/>
          <w:color w:val="000000" w:themeColor="text1"/>
        </w:rPr>
        <w:t xml:space="preserve">Plant Availability: </w:t>
      </w:r>
      <w:r w:rsidRPr="00CB7A1D">
        <w:rPr>
          <w:b/>
          <w:bCs/>
          <w:i/>
          <w:iCs/>
          <w:color w:val="000000" w:themeColor="text1"/>
        </w:rPr>
        <w:t xml:space="preserve">BAU/No Improvement </w:t>
      </w:r>
    </w:p>
    <w:p w14:paraId="6DD7F71E" w14:textId="2D2FECBA" w:rsidR="00452B96" w:rsidRPr="000D12A3" w:rsidRDefault="005416E5" w:rsidP="00160318">
      <w:pPr>
        <w:pStyle w:val="ListParagraph"/>
        <w:numPr>
          <w:ilvl w:val="0"/>
          <w:numId w:val="3"/>
        </w:numPr>
        <w:rPr>
          <w:color w:val="000000" w:themeColor="text1"/>
        </w:rPr>
      </w:pPr>
      <w:r w:rsidRPr="005416E5">
        <w:rPr>
          <w:color w:val="000000" w:themeColor="text1"/>
          <w:lang w:val="en-US"/>
        </w:rPr>
        <w:t xml:space="preserve">On-grid power plant availability remains at baseline levels throughout </w:t>
      </w:r>
      <w:r w:rsidR="000D12A3" w:rsidRPr="005416E5">
        <w:rPr>
          <w:color w:val="000000" w:themeColor="text1"/>
          <w:lang w:val="en-US"/>
        </w:rPr>
        <w:t>the model</w:t>
      </w:r>
      <w:r w:rsidRPr="005416E5">
        <w:rPr>
          <w:color w:val="000000" w:themeColor="text1"/>
          <w:lang w:val="en-US"/>
        </w:rPr>
        <w:t xml:space="preserve"> period.</w:t>
      </w:r>
    </w:p>
    <w:p w14:paraId="4FAF09FE" w14:textId="77777777" w:rsidR="000D12A3" w:rsidRPr="00452B96" w:rsidRDefault="000D12A3" w:rsidP="000D12A3">
      <w:pPr>
        <w:pStyle w:val="ListParagraph"/>
        <w:rPr>
          <w:color w:val="000000" w:themeColor="text1"/>
        </w:rPr>
      </w:pPr>
    </w:p>
    <w:p w14:paraId="618C63BC" w14:textId="4878802A" w:rsidR="000D12A3" w:rsidRPr="000D12A3" w:rsidRDefault="000D12A3" w:rsidP="000D12A3">
      <w:pPr>
        <w:pStyle w:val="Caption"/>
        <w:keepNext/>
        <w:spacing w:after="0"/>
        <w:rPr>
          <w:sz w:val="22"/>
          <w:szCs w:val="22"/>
        </w:rPr>
      </w:pPr>
      <w:r w:rsidRPr="000D12A3">
        <w:rPr>
          <w:sz w:val="22"/>
          <w:szCs w:val="22"/>
        </w:rPr>
        <w:t xml:space="preserve">Table </w:t>
      </w:r>
      <w:r w:rsidRPr="000D12A3">
        <w:rPr>
          <w:sz w:val="22"/>
          <w:szCs w:val="22"/>
        </w:rPr>
        <w:fldChar w:fldCharType="begin"/>
      </w:r>
      <w:r w:rsidRPr="000D12A3">
        <w:rPr>
          <w:sz w:val="22"/>
          <w:szCs w:val="22"/>
        </w:rPr>
        <w:instrText xml:space="preserve"> SEQ Table \* ARABIC </w:instrText>
      </w:r>
      <w:r w:rsidRPr="000D12A3">
        <w:rPr>
          <w:sz w:val="22"/>
          <w:szCs w:val="22"/>
        </w:rPr>
        <w:fldChar w:fldCharType="separate"/>
      </w:r>
      <w:r>
        <w:rPr>
          <w:noProof/>
          <w:sz w:val="22"/>
          <w:szCs w:val="22"/>
        </w:rPr>
        <w:t>1</w:t>
      </w:r>
      <w:r w:rsidRPr="000D12A3">
        <w:rPr>
          <w:sz w:val="22"/>
          <w:szCs w:val="22"/>
        </w:rPr>
        <w:fldChar w:fldCharType="end"/>
      </w:r>
      <w:r w:rsidRPr="000D12A3">
        <w:rPr>
          <w:sz w:val="22"/>
          <w:szCs w:val="22"/>
        </w:rPr>
        <w:t>. Availability Factors</w:t>
      </w:r>
    </w:p>
    <w:p w14:paraId="19BBA196" w14:textId="5BC84FB0" w:rsidR="000D12A3" w:rsidRDefault="000D12A3" w:rsidP="000D12A3">
      <w:pPr>
        <w:rPr>
          <w:i/>
          <w:iCs/>
          <w:sz w:val="20"/>
          <w:szCs w:val="20"/>
        </w:rPr>
      </w:pPr>
      <w:r>
        <w:rPr>
          <w:i/>
          <w:iCs/>
          <w:sz w:val="20"/>
          <w:szCs w:val="20"/>
        </w:rPr>
        <w:t xml:space="preserve">Data calculated using NERC </w:t>
      </w:r>
      <w:r>
        <w:rPr>
          <w:i/>
          <w:iCs/>
          <w:sz w:val="20"/>
          <w:szCs w:val="20"/>
        </w:rPr>
        <w:fldChar w:fldCharType="begin"/>
      </w:r>
      <w:r w:rsidR="001D253E">
        <w:rPr>
          <w:i/>
          <w:iCs/>
          <w:sz w:val="20"/>
          <w:szCs w:val="20"/>
        </w:rPr>
        <w:instrText xml:space="preserve"> ADDIN ZOTERO_ITEM CSL_CITATION {"citationID":"uvhtZijh","properties":{"formattedCitation":"(2021, 2018)","plainCitation":"(2021, 2018)","noteIndex":0},"citationItems":[{"id":48,"uris":["http://zotero.org/users/9856772/items/MYR35DW4"],"itemData":{"id":48,"type":"document","publisher":"Nigerian Electricity Regulatory Commission","title":"Key Operational &amp; Financial Data of NESI for Jan 2019 to Sept 2021","URL":"https://nerc.gov.ng/index.php/component/remository/Industry-Statistics/Key-Operational--and--Financial-Data-of-NESI-for-Jan-2019-to-Sept-2021/","author":[{"literal":"Nigerian Electricity Regulatory Commission"}],"issued":{"date-parts":[["2021"]]}},"label":"page","suppress-author":true},{"id":47,"uris":["http://zotero.org/users/9856772/items/CCTWW2WA"],"itemData":{"id":47,"type":"document","publisher":"Nigerian Electricity Regulatory Commission","title":"NESI Generation statistics","URL":"https://nerc.gov.ng/index.php/component/remository/Industry-Statistics/NESI-Generation-Statistics/?Itemid=591","author":[{"literal":"Nigerian Electricity Regulatory Commission"}],"issued":{"date-parts":[["2018"]]}},"label":"page","suppress-author":true}],"schema":"https://github.com/citation-style-language/schema/raw/master/csl-citation.json"} </w:instrText>
      </w:r>
      <w:r>
        <w:rPr>
          <w:i/>
          <w:iCs/>
          <w:sz w:val="20"/>
          <w:szCs w:val="20"/>
        </w:rPr>
        <w:fldChar w:fldCharType="separate"/>
      </w:r>
      <w:r w:rsidR="001D253E" w:rsidRPr="001D253E">
        <w:rPr>
          <w:rFonts w:ascii="Calibri" w:hAnsi="Calibri" w:cs="Calibri"/>
          <w:sz w:val="20"/>
        </w:rPr>
        <w:t>(2021, 2018)</w:t>
      </w:r>
      <w:r>
        <w:rPr>
          <w:i/>
          <w:iCs/>
          <w:sz w:val="20"/>
          <w:szCs w:val="20"/>
        </w:rPr>
        <w:fldChar w:fldCharType="end"/>
      </w:r>
      <w:r>
        <w:rPr>
          <w:i/>
          <w:iCs/>
          <w:sz w:val="20"/>
          <w:szCs w:val="20"/>
        </w:rPr>
        <w:t>.</w:t>
      </w:r>
    </w:p>
    <w:p w14:paraId="58539658" w14:textId="77777777" w:rsidR="000D12A3" w:rsidRPr="000D12A3" w:rsidRDefault="000D12A3" w:rsidP="000D12A3"/>
    <w:tbl>
      <w:tblPr>
        <w:tblStyle w:val="GridTable3-Accent5"/>
        <w:tblW w:w="9080" w:type="dxa"/>
        <w:jc w:val="center"/>
        <w:tblInd w:w="0" w:type="dxa"/>
        <w:tblLook w:val="04A0" w:firstRow="1" w:lastRow="0" w:firstColumn="1" w:lastColumn="0" w:noHBand="0" w:noVBand="1"/>
      </w:tblPr>
      <w:tblGrid>
        <w:gridCol w:w="2790"/>
        <w:gridCol w:w="2060"/>
        <w:gridCol w:w="2160"/>
        <w:gridCol w:w="2070"/>
      </w:tblGrid>
      <w:tr w:rsidR="00452B96" w14:paraId="2F776434" w14:textId="77777777" w:rsidTr="000D12A3">
        <w:trPr>
          <w:cnfStyle w:val="100000000000" w:firstRow="1" w:lastRow="0" w:firstColumn="0" w:lastColumn="0" w:oddVBand="0" w:evenVBand="0" w:oddHBand="0" w:evenHBand="0" w:firstRowFirstColumn="0" w:firstRowLastColumn="0" w:lastRowFirstColumn="0" w:lastRowLastColumn="0"/>
          <w:trHeight w:val="300"/>
          <w:jc w:val="center"/>
        </w:trPr>
        <w:tc>
          <w:tcPr>
            <w:cnfStyle w:val="001000000100" w:firstRow="0" w:lastRow="0" w:firstColumn="1" w:lastColumn="0" w:oddVBand="0" w:evenVBand="0" w:oddHBand="0" w:evenHBand="0" w:firstRowFirstColumn="1" w:firstRowLastColumn="0" w:lastRowFirstColumn="0" w:lastRowLastColumn="0"/>
            <w:tcW w:w="2790" w:type="dxa"/>
            <w:noWrap/>
            <w:hideMark/>
          </w:tcPr>
          <w:p w14:paraId="10A3C9EA" w14:textId="77777777" w:rsidR="00452B96" w:rsidRDefault="00452B96">
            <w:pPr>
              <w:rPr>
                <w:rFonts w:ascii="Calibri" w:eastAsia="Times New Roman" w:hAnsi="Calibri" w:cs="Calibri"/>
                <w:color w:val="000000"/>
                <w:szCs w:val="22"/>
                <w:lang w:val="en-US"/>
              </w:rPr>
            </w:pPr>
            <w:r>
              <w:rPr>
                <w:rFonts w:ascii="Calibri" w:eastAsia="Times New Roman" w:hAnsi="Calibri" w:cs="Calibri"/>
                <w:color w:val="000000"/>
                <w:szCs w:val="22"/>
                <w:lang w:val="en-US"/>
              </w:rPr>
              <w:t> </w:t>
            </w:r>
          </w:p>
        </w:tc>
        <w:tc>
          <w:tcPr>
            <w:tcW w:w="2060" w:type="dxa"/>
            <w:tcBorders>
              <w:bottom w:val="single" w:sz="4" w:space="0" w:color="9CC2E5" w:themeColor="accent5" w:themeTint="99"/>
            </w:tcBorders>
            <w:noWrap/>
            <w:vAlign w:val="center"/>
            <w:hideMark/>
          </w:tcPr>
          <w:p w14:paraId="7685DE9C" w14:textId="04CC1EE9" w:rsidR="00452B96" w:rsidRDefault="00452B96">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1"/>
                <w:szCs w:val="21"/>
                <w:lang w:val="en-US"/>
              </w:rPr>
            </w:pPr>
            <w:r>
              <w:rPr>
                <w:rFonts w:ascii="Calibri" w:eastAsia="Times New Roman" w:hAnsi="Calibri" w:cs="Calibri"/>
                <w:color w:val="000000"/>
                <w:sz w:val="21"/>
                <w:szCs w:val="21"/>
                <w:lang w:val="en-US"/>
              </w:rPr>
              <w:t>Baseline Availability in 2021</w:t>
            </w:r>
          </w:p>
        </w:tc>
        <w:tc>
          <w:tcPr>
            <w:tcW w:w="2160" w:type="dxa"/>
            <w:tcBorders>
              <w:bottom w:val="single" w:sz="4" w:space="0" w:color="9CC2E5" w:themeColor="accent5" w:themeTint="99"/>
            </w:tcBorders>
            <w:noWrap/>
            <w:hideMark/>
          </w:tcPr>
          <w:p w14:paraId="08BA0741" w14:textId="77777777" w:rsidR="00452B96" w:rsidRDefault="00452B96">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n-US"/>
              </w:rPr>
            </w:pPr>
            <w:r>
              <w:rPr>
                <w:rFonts w:ascii="Calibri" w:eastAsia="Times New Roman" w:hAnsi="Calibri" w:cs="Calibri"/>
                <w:color w:val="000000"/>
                <w:sz w:val="20"/>
                <w:szCs w:val="20"/>
                <w:lang w:val="en-US"/>
              </w:rPr>
              <w:t>Annual Improvement to 2030</w:t>
            </w:r>
          </w:p>
        </w:tc>
        <w:tc>
          <w:tcPr>
            <w:tcW w:w="2070" w:type="dxa"/>
            <w:tcBorders>
              <w:bottom w:val="single" w:sz="4" w:space="0" w:color="9CC2E5" w:themeColor="accent5" w:themeTint="99"/>
            </w:tcBorders>
            <w:noWrap/>
            <w:hideMark/>
          </w:tcPr>
          <w:p w14:paraId="63B4F066" w14:textId="77777777" w:rsidR="00452B96" w:rsidRDefault="00452B96">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 w:val="20"/>
                <w:szCs w:val="20"/>
                <w:lang w:val="en-US"/>
              </w:rPr>
            </w:pPr>
            <w:r>
              <w:rPr>
                <w:rFonts w:ascii="Calibri" w:eastAsia="Times New Roman" w:hAnsi="Calibri" w:cs="Calibri"/>
                <w:color w:val="000000"/>
                <w:sz w:val="20"/>
                <w:szCs w:val="20"/>
                <w:lang w:val="en-US"/>
              </w:rPr>
              <w:t>Annual Improvement to 2050</w:t>
            </w:r>
          </w:p>
        </w:tc>
      </w:tr>
      <w:tr w:rsidR="00452B96" w14:paraId="40A03E66" w14:textId="77777777" w:rsidTr="000D12A3">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2790" w:type="dxa"/>
            <w:tcBorders>
              <w:right w:val="single" w:sz="4" w:space="0" w:color="9CC2E5" w:themeColor="accent5" w:themeTint="99"/>
            </w:tcBorders>
            <w:noWrap/>
            <w:hideMark/>
          </w:tcPr>
          <w:p w14:paraId="124BEEFE" w14:textId="77777777" w:rsidR="00452B96" w:rsidRDefault="00452B96">
            <w:pPr>
              <w:rPr>
                <w:rFonts w:ascii="Calibri" w:eastAsia="Times New Roman" w:hAnsi="Calibri" w:cs="Calibri"/>
                <w:color w:val="000000"/>
                <w:szCs w:val="22"/>
                <w:lang w:val="en-US"/>
              </w:rPr>
            </w:pPr>
            <w:r>
              <w:rPr>
                <w:rFonts w:ascii="Calibri" w:eastAsia="Times New Roman" w:hAnsi="Calibri" w:cs="Calibri"/>
                <w:color w:val="000000"/>
                <w:szCs w:val="22"/>
                <w:lang w:val="en-US"/>
              </w:rPr>
              <w:t>Combined Cycle Gas Turbine</w:t>
            </w:r>
          </w:p>
        </w:tc>
        <w:tc>
          <w:tcPr>
            <w:tcW w:w="2060"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hideMark/>
          </w:tcPr>
          <w:p w14:paraId="061C406C" w14:textId="77777777" w:rsidR="00452B96" w:rsidRDefault="00452B9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lang w:val="en-US"/>
              </w:rPr>
            </w:pPr>
            <w:r>
              <w:rPr>
                <w:rFonts w:ascii="Calibri" w:eastAsia="Times New Roman" w:hAnsi="Calibri" w:cs="Calibri"/>
                <w:color w:val="000000"/>
                <w:szCs w:val="22"/>
                <w:lang w:val="en-US"/>
              </w:rPr>
              <w:t>40%</w:t>
            </w:r>
          </w:p>
        </w:tc>
        <w:tc>
          <w:tcPr>
            <w:tcW w:w="2160"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hideMark/>
          </w:tcPr>
          <w:p w14:paraId="04E020EA" w14:textId="77777777" w:rsidR="00452B96" w:rsidRDefault="00452B9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lang w:val="en-US"/>
              </w:rPr>
            </w:pPr>
            <w:r>
              <w:rPr>
                <w:rFonts w:ascii="Calibri" w:eastAsia="Times New Roman" w:hAnsi="Calibri" w:cs="Calibri"/>
                <w:color w:val="000000"/>
                <w:szCs w:val="22"/>
                <w:lang w:val="en-US"/>
              </w:rPr>
              <w:t>8%</w:t>
            </w:r>
          </w:p>
        </w:tc>
        <w:tc>
          <w:tcPr>
            <w:tcW w:w="2070"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hideMark/>
          </w:tcPr>
          <w:p w14:paraId="255B74E5" w14:textId="77777777" w:rsidR="00452B96" w:rsidRDefault="00452B9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lang w:val="en-US"/>
              </w:rPr>
            </w:pPr>
            <w:r>
              <w:rPr>
                <w:rFonts w:ascii="Calibri" w:eastAsia="Times New Roman" w:hAnsi="Calibri" w:cs="Calibri"/>
                <w:color w:val="000000"/>
                <w:szCs w:val="22"/>
                <w:lang w:val="en-US"/>
              </w:rPr>
              <w:t>2%</w:t>
            </w:r>
          </w:p>
        </w:tc>
      </w:tr>
      <w:tr w:rsidR="00452B96" w14:paraId="6296B9FF" w14:textId="77777777" w:rsidTr="000D12A3">
        <w:trPr>
          <w:trHeight w:val="300"/>
          <w:jc w:val="center"/>
        </w:trPr>
        <w:tc>
          <w:tcPr>
            <w:cnfStyle w:val="001000000000" w:firstRow="0" w:lastRow="0" w:firstColumn="1" w:lastColumn="0" w:oddVBand="0" w:evenVBand="0" w:oddHBand="0" w:evenHBand="0" w:firstRowFirstColumn="0" w:firstRowLastColumn="0" w:lastRowFirstColumn="0" w:lastRowLastColumn="0"/>
            <w:tcW w:w="2790" w:type="dxa"/>
            <w:tcBorders>
              <w:right w:val="single" w:sz="4" w:space="0" w:color="9CC2E5" w:themeColor="accent5" w:themeTint="99"/>
            </w:tcBorders>
            <w:noWrap/>
            <w:hideMark/>
          </w:tcPr>
          <w:p w14:paraId="5E869449" w14:textId="77777777" w:rsidR="00452B96" w:rsidRDefault="00452B96">
            <w:pPr>
              <w:rPr>
                <w:rFonts w:ascii="Calibri" w:eastAsia="Times New Roman" w:hAnsi="Calibri" w:cs="Calibri"/>
                <w:color w:val="000000"/>
                <w:szCs w:val="22"/>
                <w:lang w:val="en-US"/>
              </w:rPr>
            </w:pPr>
            <w:r>
              <w:rPr>
                <w:rFonts w:ascii="Calibri" w:eastAsia="Times New Roman" w:hAnsi="Calibri" w:cs="Calibri"/>
                <w:color w:val="000000"/>
                <w:szCs w:val="22"/>
                <w:lang w:val="en-US"/>
              </w:rPr>
              <w:t>Single Cycle Gas Turbine</w:t>
            </w:r>
          </w:p>
        </w:tc>
        <w:tc>
          <w:tcPr>
            <w:tcW w:w="2060"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hideMark/>
          </w:tcPr>
          <w:p w14:paraId="6BF3AE6D" w14:textId="77777777" w:rsidR="00452B96" w:rsidRDefault="00452B96" w:rsidP="00452B9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lang w:val="en-US"/>
              </w:rPr>
            </w:pPr>
            <w:r>
              <w:rPr>
                <w:rFonts w:ascii="Calibri" w:eastAsia="Times New Roman" w:hAnsi="Calibri" w:cs="Calibri"/>
                <w:color w:val="000000"/>
                <w:szCs w:val="22"/>
                <w:lang w:val="en-US"/>
              </w:rPr>
              <w:t>47%</w:t>
            </w:r>
          </w:p>
        </w:tc>
        <w:tc>
          <w:tcPr>
            <w:tcW w:w="2160"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hideMark/>
          </w:tcPr>
          <w:p w14:paraId="7E7779BD" w14:textId="77777777" w:rsidR="00452B96" w:rsidRDefault="00452B9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lang w:val="en-US"/>
              </w:rPr>
            </w:pPr>
            <w:r>
              <w:rPr>
                <w:rFonts w:ascii="Calibri" w:eastAsia="Times New Roman" w:hAnsi="Calibri" w:cs="Calibri"/>
                <w:color w:val="000000"/>
                <w:szCs w:val="22"/>
                <w:lang w:val="en-US"/>
              </w:rPr>
              <w:t>7%</w:t>
            </w:r>
          </w:p>
        </w:tc>
        <w:tc>
          <w:tcPr>
            <w:tcW w:w="2070"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hideMark/>
          </w:tcPr>
          <w:p w14:paraId="48864876" w14:textId="77777777" w:rsidR="00452B96" w:rsidRDefault="00452B9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lang w:val="en-US"/>
              </w:rPr>
            </w:pPr>
            <w:r>
              <w:rPr>
                <w:rFonts w:ascii="Calibri" w:eastAsia="Times New Roman" w:hAnsi="Calibri" w:cs="Calibri"/>
                <w:color w:val="000000"/>
                <w:szCs w:val="22"/>
                <w:lang w:val="en-US"/>
              </w:rPr>
              <w:t>2%</w:t>
            </w:r>
          </w:p>
        </w:tc>
      </w:tr>
      <w:tr w:rsidR="00452B96" w14:paraId="6E30E0F8" w14:textId="77777777" w:rsidTr="000D12A3">
        <w:trPr>
          <w:cnfStyle w:val="000000100000" w:firstRow="0" w:lastRow="0" w:firstColumn="0" w:lastColumn="0" w:oddVBand="0" w:evenVBand="0" w:oddHBand="1" w:evenHBand="0" w:firstRowFirstColumn="0" w:firstRowLastColumn="0" w:lastRowFirstColumn="0" w:lastRowLastColumn="0"/>
          <w:trHeight w:val="300"/>
          <w:jc w:val="center"/>
        </w:trPr>
        <w:tc>
          <w:tcPr>
            <w:cnfStyle w:val="001000000000" w:firstRow="0" w:lastRow="0" w:firstColumn="1" w:lastColumn="0" w:oddVBand="0" w:evenVBand="0" w:oddHBand="0" w:evenHBand="0" w:firstRowFirstColumn="0" w:firstRowLastColumn="0" w:lastRowFirstColumn="0" w:lastRowLastColumn="0"/>
            <w:tcW w:w="2790" w:type="dxa"/>
            <w:tcBorders>
              <w:right w:val="single" w:sz="4" w:space="0" w:color="9CC2E5" w:themeColor="accent5" w:themeTint="99"/>
            </w:tcBorders>
            <w:noWrap/>
            <w:hideMark/>
          </w:tcPr>
          <w:p w14:paraId="4B6A5164" w14:textId="77777777" w:rsidR="00452B96" w:rsidRDefault="00452B96">
            <w:pPr>
              <w:rPr>
                <w:rFonts w:ascii="Calibri" w:eastAsia="Times New Roman" w:hAnsi="Calibri" w:cs="Calibri"/>
                <w:color w:val="000000"/>
                <w:szCs w:val="22"/>
                <w:lang w:val="en-US"/>
              </w:rPr>
            </w:pPr>
            <w:r>
              <w:rPr>
                <w:rFonts w:ascii="Calibri" w:eastAsia="Times New Roman" w:hAnsi="Calibri" w:cs="Calibri"/>
                <w:color w:val="000000"/>
                <w:szCs w:val="22"/>
                <w:lang w:val="en-US"/>
              </w:rPr>
              <w:t>Other Fossil</w:t>
            </w:r>
          </w:p>
        </w:tc>
        <w:tc>
          <w:tcPr>
            <w:tcW w:w="2060"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hideMark/>
          </w:tcPr>
          <w:p w14:paraId="48C1366E" w14:textId="77777777" w:rsidR="00452B96" w:rsidRDefault="00452B9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lang w:val="en-US"/>
              </w:rPr>
            </w:pPr>
            <w:r>
              <w:rPr>
                <w:rFonts w:ascii="Calibri" w:eastAsia="Times New Roman" w:hAnsi="Calibri" w:cs="Calibri"/>
                <w:color w:val="000000"/>
                <w:szCs w:val="22"/>
                <w:lang w:val="en-US"/>
              </w:rPr>
              <w:t>50%</w:t>
            </w:r>
          </w:p>
        </w:tc>
        <w:tc>
          <w:tcPr>
            <w:tcW w:w="2160"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hideMark/>
          </w:tcPr>
          <w:p w14:paraId="3751F047" w14:textId="77777777" w:rsidR="00452B96" w:rsidRDefault="00452B9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lang w:val="en-US"/>
              </w:rPr>
            </w:pPr>
            <w:r>
              <w:rPr>
                <w:rFonts w:ascii="Calibri" w:eastAsia="Times New Roman" w:hAnsi="Calibri" w:cs="Calibri"/>
                <w:color w:val="000000"/>
                <w:szCs w:val="22"/>
                <w:lang w:val="en-US"/>
              </w:rPr>
              <w:t>6%</w:t>
            </w:r>
          </w:p>
        </w:tc>
        <w:tc>
          <w:tcPr>
            <w:tcW w:w="2070"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hideMark/>
          </w:tcPr>
          <w:p w14:paraId="5D7BB739" w14:textId="77777777" w:rsidR="00452B96" w:rsidRDefault="00452B9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lang w:val="en-US"/>
              </w:rPr>
            </w:pPr>
            <w:r>
              <w:rPr>
                <w:rFonts w:ascii="Calibri" w:eastAsia="Times New Roman" w:hAnsi="Calibri" w:cs="Calibri"/>
                <w:color w:val="000000"/>
                <w:szCs w:val="22"/>
                <w:lang w:val="en-US"/>
              </w:rPr>
              <w:t>2%</w:t>
            </w:r>
          </w:p>
        </w:tc>
      </w:tr>
      <w:tr w:rsidR="00452B96" w14:paraId="24D1010B" w14:textId="77777777" w:rsidTr="000D12A3">
        <w:trPr>
          <w:trHeight w:val="300"/>
          <w:jc w:val="center"/>
        </w:trPr>
        <w:tc>
          <w:tcPr>
            <w:cnfStyle w:val="001000000000" w:firstRow="0" w:lastRow="0" w:firstColumn="1" w:lastColumn="0" w:oddVBand="0" w:evenVBand="0" w:oddHBand="0" w:evenHBand="0" w:firstRowFirstColumn="0" w:firstRowLastColumn="0" w:lastRowFirstColumn="0" w:lastRowLastColumn="0"/>
            <w:tcW w:w="2790" w:type="dxa"/>
            <w:tcBorders>
              <w:right w:val="single" w:sz="4" w:space="0" w:color="9CC2E5" w:themeColor="accent5" w:themeTint="99"/>
            </w:tcBorders>
            <w:noWrap/>
            <w:hideMark/>
          </w:tcPr>
          <w:p w14:paraId="64336D12" w14:textId="77777777" w:rsidR="00452B96" w:rsidRDefault="00452B96">
            <w:pPr>
              <w:rPr>
                <w:rFonts w:ascii="Calibri" w:eastAsia="Times New Roman" w:hAnsi="Calibri" w:cs="Calibri"/>
                <w:color w:val="000000"/>
                <w:szCs w:val="22"/>
                <w:lang w:val="en-US"/>
              </w:rPr>
            </w:pPr>
            <w:r>
              <w:rPr>
                <w:rFonts w:ascii="Calibri" w:eastAsia="Times New Roman" w:hAnsi="Calibri" w:cs="Calibri"/>
                <w:color w:val="000000"/>
                <w:szCs w:val="22"/>
                <w:lang w:val="en-US"/>
              </w:rPr>
              <w:t>On-Grid Hydropower</w:t>
            </w:r>
          </w:p>
        </w:tc>
        <w:tc>
          <w:tcPr>
            <w:tcW w:w="2060"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hideMark/>
          </w:tcPr>
          <w:p w14:paraId="23EC49CC" w14:textId="77777777" w:rsidR="00452B96" w:rsidRDefault="00452B9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lang w:val="en-US"/>
              </w:rPr>
            </w:pPr>
            <w:r>
              <w:rPr>
                <w:rFonts w:ascii="Calibri" w:eastAsia="Times New Roman" w:hAnsi="Calibri" w:cs="Calibri"/>
                <w:color w:val="000000"/>
                <w:szCs w:val="22"/>
                <w:lang w:val="en-US"/>
              </w:rPr>
              <w:t>68%</w:t>
            </w:r>
          </w:p>
        </w:tc>
        <w:tc>
          <w:tcPr>
            <w:tcW w:w="2160"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hideMark/>
          </w:tcPr>
          <w:p w14:paraId="3AD7CD0F" w14:textId="77777777" w:rsidR="00452B96" w:rsidRDefault="00452B9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lang w:val="en-US"/>
              </w:rPr>
            </w:pPr>
            <w:r>
              <w:rPr>
                <w:rFonts w:ascii="Calibri" w:eastAsia="Times New Roman" w:hAnsi="Calibri" w:cs="Calibri"/>
                <w:color w:val="000000"/>
                <w:szCs w:val="22"/>
                <w:lang w:val="en-US"/>
              </w:rPr>
              <w:t>4%</w:t>
            </w:r>
          </w:p>
        </w:tc>
        <w:tc>
          <w:tcPr>
            <w:tcW w:w="2070"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hideMark/>
          </w:tcPr>
          <w:p w14:paraId="03E289E6" w14:textId="77777777" w:rsidR="00452B96" w:rsidRDefault="00452B96">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lang w:val="en-US"/>
              </w:rPr>
            </w:pPr>
            <w:r>
              <w:rPr>
                <w:rFonts w:ascii="Calibri" w:eastAsia="Times New Roman" w:hAnsi="Calibri" w:cs="Calibri"/>
                <w:color w:val="000000"/>
                <w:szCs w:val="22"/>
                <w:lang w:val="en-US"/>
              </w:rPr>
              <w:t>1%</w:t>
            </w:r>
          </w:p>
        </w:tc>
      </w:tr>
      <w:tr w:rsidR="00452B96" w14:paraId="44E66E5A" w14:textId="77777777" w:rsidTr="000D12A3">
        <w:trPr>
          <w:cnfStyle w:val="000000100000" w:firstRow="0" w:lastRow="0" w:firstColumn="0" w:lastColumn="0" w:oddVBand="0" w:evenVBand="0" w:oddHBand="1" w:evenHBand="0" w:firstRowFirstColumn="0" w:firstRowLastColumn="0" w:lastRowFirstColumn="0" w:lastRowLastColumn="0"/>
          <w:trHeight w:val="320"/>
          <w:jc w:val="center"/>
        </w:trPr>
        <w:tc>
          <w:tcPr>
            <w:cnfStyle w:val="001000000000" w:firstRow="0" w:lastRow="0" w:firstColumn="1" w:lastColumn="0" w:oddVBand="0" w:evenVBand="0" w:oddHBand="0" w:evenHBand="0" w:firstRowFirstColumn="0" w:firstRowLastColumn="0" w:lastRowFirstColumn="0" w:lastRowLastColumn="0"/>
            <w:tcW w:w="2790" w:type="dxa"/>
            <w:tcBorders>
              <w:right w:val="single" w:sz="4" w:space="0" w:color="9CC2E5" w:themeColor="accent5" w:themeTint="99"/>
            </w:tcBorders>
            <w:noWrap/>
            <w:hideMark/>
          </w:tcPr>
          <w:p w14:paraId="0121B73A" w14:textId="77777777" w:rsidR="00452B96" w:rsidRDefault="00452B96">
            <w:pPr>
              <w:rPr>
                <w:rFonts w:ascii="Calibri" w:eastAsia="Times New Roman" w:hAnsi="Calibri" w:cs="Calibri"/>
                <w:color w:val="000000"/>
                <w:szCs w:val="22"/>
                <w:lang w:val="en-US"/>
              </w:rPr>
            </w:pPr>
            <w:r>
              <w:rPr>
                <w:rFonts w:ascii="Calibri" w:eastAsia="Times New Roman" w:hAnsi="Calibri" w:cs="Calibri"/>
                <w:color w:val="000000"/>
                <w:szCs w:val="22"/>
                <w:lang w:val="en-US"/>
              </w:rPr>
              <w:t xml:space="preserve">Other Renewables </w:t>
            </w:r>
          </w:p>
        </w:tc>
        <w:tc>
          <w:tcPr>
            <w:tcW w:w="2060"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hideMark/>
          </w:tcPr>
          <w:p w14:paraId="057ED057" w14:textId="77777777" w:rsidR="00452B96" w:rsidRDefault="00452B9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lang w:val="en-US"/>
              </w:rPr>
            </w:pPr>
            <w:r>
              <w:rPr>
                <w:rFonts w:ascii="Calibri" w:eastAsia="Times New Roman" w:hAnsi="Calibri" w:cs="Calibri"/>
                <w:color w:val="000000"/>
                <w:szCs w:val="22"/>
                <w:lang w:val="en-US"/>
              </w:rPr>
              <w:t>80%</w:t>
            </w:r>
          </w:p>
        </w:tc>
        <w:tc>
          <w:tcPr>
            <w:tcW w:w="2160"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hideMark/>
          </w:tcPr>
          <w:p w14:paraId="6D0B49C8" w14:textId="77777777" w:rsidR="00452B96" w:rsidRDefault="00452B9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lang w:val="en-US"/>
              </w:rPr>
            </w:pPr>
            <w:r>
              <w:rPr>
                <w:rFonts w:ascii="Calibri" w:eastAsia="Times New Roman" w:hAnsi="Calibri" w:cs="Calibri"/>
                <w:color w:val="000000"/>
                <w:szCs w:val="22"/>
                <w:lang w:val="en-US"/>
              </w:rPr>
              <w:t>3%</w:t>
            </w:r>
          </w:p>
        </w:tc>
        <w:tc>
          <w:tcPr>
            <w:tcW w:w="2070" w:type="dxa"/>
            <w:tc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tcBorders>
            <w:noWrap/>
            <w:hideMark/>
          </w:tcPr>
          <w:p w14:paraId="651A817C" w14:textId="77777777" w:rsidR="00452B96" w:rsidRDefault="00452B96">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lang w:val="en-US"/>
              </w:rPr>
            </w:pPr>
            <w:r>
              <w:rPr>
                <w:rFonts w:ascii="Calibri" w:eastAsia="Times New Roman" w:hAnsi="Calibri" w:cs="Calibri"/>
                <w:color w:val="000000"/>
                <w:szCs w:val="22"/>
                <w:lang w:val="en-US"/>
              </w:rPr>
              <w:t>1%</w:t>
            </w:r>
          </w:p>
        </w:tc>
      </w:tr>
    </w:tbl>
    <w:p w14:paraId="3B36D19B" w14:textId="3F8D698C" w:rsidR="00F57802" w:rsidRDefault="00F57802"/>
    <w:p w14:paraId="1AC485E9" w14:textId="05E6EFDC" w:rsidR="00CA2668" w:rsidRDefault="00CA2668"/>
    <w:p w14:paraId="59C12DFD" w14:textId="41DE0289" w:rsidR="00F21ADA" w:rsidRDefault="00CA2668">
      <w:r>
        <w:t xml:space="preserve"> </w:t>
      </w:r>
    </w:p>
    <w:p w14:paraId="1684A20C" w14:textId="4214265C" w:rsidR="000D12A3" w:rsidRPr="000D12A3" w:rsidRDefault="000D12A3" w:rsidP="000D12A3">
      <w:pPr>
        <w:pStyle w:val="Caption"/>
        <w:keepNext/>
        <w:rPr>
          <w:sz w:val="22"/>
          <w:szCs w:val="22"/>
        </w:rPr>
      </w:pPr>
      <w:r w:rsidRPr="000D12A3">
        <w:rPr>
          <w:sz w:val="22"/>
          <w:szCs w:val="22"/>
        </w:rPr>
        <w:t xml:space="preserve">Table </w:t>
      </w:r>
      <w:r w:rsidRPr="000D12A3">
        <w:rPr>
          <w:sz w:val="22"/>
          <w:szCs w:val="22"/>
        </w:rPr>
        <w:fldChar w:fldCharType="begin"/>
      </w:r>
      <w:r w:rsidRPr="000D12A3">
        <w:rPr>
          <w:sz w:val="22"/>
          <w:szCs w:val="22"/>
        </w:rPr>
        <w:instrText xml:space="preserve"> SEQ Table \* ARABIC </w:instrText>
      </w:r>
      <w:r w:rsidRPr="000D12A3">
        <w:rPr>
          <w:sz w:val="22"/>
          <w:szCs w:val="22"/>
        </w:rPr>
        <w:fldChar w:fldCharType="separate"/>
      </w:r>
      <w:r w:rsidRPr="000D12A3">
        <w:rPr>
          <w:noProof/>
          <w:sz w:val="22"/>
          <w:szCs w:val="22"/>
        </w:rPr>
        <w:t>2</w:t>
      </w:r>
      <w:r w:rsidRPr="000D12A3">
        <w:rPr>
          <w:sz w:val="22"/>
          <w:szCs w:val="22"/>
        </w:rPr>
        <w:fldChar w:fldCharType="end"/>
      </w:r>
      <w:r w:rsidRPr="000D12A3">
        <w:rPr>
          <w:sz w:val="22"/>
          <w:szCs w:val="22"/>
        </w:rPr>
        <w:t>. Files associated with each model run and scenario.</w:t>
      </w:r>
    </w:p>
    <w:tbl>
      <w:tblPr>
        <w:tblStyle w:val="GridTable6Colorful-Accent1"/>
        <w:tblW w:w="7170" w:type="dxa"/>
        <w:jc w:val="center"/>
        <w:tblLook w:val="04A0" w:firstRow="1" w:lastRow="0" w:firstColumn="1" w:lastColumn="0" w:noHBand="0" w:noVBand="1"/>
      </w:tblPr>
      <w:tblGrid>
        <w:gridCol w:w="2133"/>
        <w:gridCol w:w="1508"/>
        <w:gridCol w:w="3529"/>
      </w:tblGrid>
      <w:tr w:rsidR="000D12A3" w:rsidRPr="00DC3FB7" w14:paraId="7CD8A757" w14:textId="77777777" w:rsidTr="000D12A3">
        <w:trPr>
          <w:cnfStyle w:val="100000000000" w:firstRow="1" w:lastRow="0" w:firstColumn="0" w:lastColumn="0" w:oddVBand="0" w:evenVBand="0" w:oddHBand="0" w:evenHBand="0" w:firstRowFirstColumn="0" w:firstRowLastColumn="0" w:lastRowFirstColumn="0" w:lastRowLastColumn="0"/>
          <w:trHeight w:val="192"/>
          <w:jc w:val="center"/>
        </w:trPr>
        <w:tc>
          <w:tcPr>
            <w:cnfStyle w:val="001000000000" w:firstRow="0" w:lastRow="0" w:firstColumn="1" w:lastColumn="0" w:oddVBand="0" w:evenVBand="0" w:oddHBand="0" w:evenHBand="0" w:firstRowFirstColumn="0" w:firstRowLastColumn="0" w:lastRowFirstColumn="0" w:lastRowLastColumn="0"/>
            <w:tcW w:w="2133" w:type="dxa"/>
            <w:noWrap/>
            <w:vAlign w:val="center"/>
            <w:hideMark/>
          </w:tcPr>
          <w:p w14:paraId="643D112C" w14:textId="77777777" w:rsidR="000D12A3" w:rsidRPr="00DC3FB7" w:rsidRDefault="000D12A3" w:rsidP="00DC3FB7">
            <w:pPr>
              <w:jc w:val="center"/>
              <w:rPr>
                <w:rFonts w:ascii="Calibri" w:eastAsia="Times New Roman" w:hAnsi="Calibri" w:cs="Calibri"/>
                <w:color w:val="000000"/>
                <w:szCs w:val="22"/>
                <w:lang w:eastAsia="en-GB"/>
              </w:rPr>
            </w:pPr>
            <w:r w:rsidRPr="00DC3FB7">
              <w:rPr>
                <w:rFonts w:ascii="Calibri" w:eastAsia="Times New Roman" w:hAnsi="Calibri" w:cs="Calibri"/>
                <w:color w:val="000000"/>
                <w:szCs w:val="22"/>
                <w:lang w:eastAsia="en-GB"/>
              </w:rPr>
              <w:t>Scenario</w:t>
            </w:r>
          </w:p>
        </w:tc>
        <w:tc>
          <w:tcPr>
            <w:tcW w:w="1508" w:type="dxa"/>
            <w:vAlign w:val="center"/>
            <w:hideMark/>
          </w:tcPr>
          <w:p w14:paraId="51785D29" w14:textId="78FC37C8" w:rsidR="000D12A3" w:rsidRPr="00DC3FB7" w:rsidRDefault="000D12A3" w:rsidP="00DC3FB7">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Cs w:val="22"/>
                <w:lang w:eastAsia="en-GB"/>
              </w:rPr>
            </w:pPr>
            <w:r w:rsidRPr="00DC3FB7">
              <w:rPr>
                <w:rFonts w:ascii="Calibri" w:eastAsia="Times New Roman" w:hAnsi="Calibri" w:cs="Calibri"/>
                <w:color w:val="000000"/>
                <w:szCs w:val="22"/>
                <w:lang w:eastAsia="en-GB"/>
              </w:rPr>
              <w:t>Improvement</w:t>
            </w:r>
          </w:p>
        </w:tc>
        <w:tc>
          <w:tcPr>
            <w:tcW w:w="3529" w:type="dxa"/>
            <w:vAlign w:val="center"/>
            <w:hideMark/>
          </w:tcPr>
          <w:p w14:paraId="119ADB38" w14:textId="4D14E114" w:rsidR="000D12A3" w:rsidRPr="00DC3FB7" w:rsidRDefault="000D12A3" w:rsidP="00DC3FB7">
            <w:pPr>
              <w:jc w:val="center"/>
              <w:cnfStyle w:val="100000000000" w:firstRow="1" w:lastRow="0" w:firstColumn="0" w:lastColumn="0" w:oddVBand="0" w:evenVBand="0" w:oddHBand="0" w:evenHBand="0" w:firstRowFirstColumn="0" w:firstRowLastColumn="0" w:lastRowFirstColumn="0" w:lastRowLastColumn="0"/>
              <w:rPr>
                <w:rFonts w:ascii="Calibri" w:eastAsia="Times New Roman" w:hAnsi="Calibri" w:cs="Calibri"/>
                <w:color w:val="000000"/>
                <w:szCs w:val="22"/>
                <w:lang w:eastAsia="en-GB"/>
              </w:rPr>
            </w:pPr>
            <w:r w:rsidRPr="00DC3FB7">
              <w:rPr>
                <w:rFonts w:ascii="Calibri" w:eastAsia="Times New Roman" w:hAnsi="Calibri" w:cs="Calibri"/>
                <w:color w:val="000000"/>
                <w:szCs w:val="22"/>
                <w:lang w:eastAsia="en-GB"/>
              </w:rPr>
              <w:t>File Name</w:t>
            </w:r>
          </w:p>
        </w:tc>
      </w:tr>
      <w:tr w:rsidR="000D12A3" w:rsidRPr="00DC3FB7" w14:paraId="3F44C20B" w14:textId="77777777" w:rsidTr="000D12A3">
        <w:trPr>
          <w:cnfStyle w:val="000000100000" w:firstRow="0" w:lastRow="0" w:firstColumn="0" w:lastColumn="0" w:oddVBand="0" w:evenVBand="0" w:oddHBand="1" w:evenHBand="0" w:firstRowFirstColumn="0" w:firstRowLastColumn="0" w:lastRowFirstColumn="0" w:lastRowLastColumn="0"/>
          <w:trHeight w:val="263"/>
          <w:jc w:val="center"/>
        </w:trPr>
        <w:tc>
          <w:tcPr>
            <w:cnfStyle w:val="001000000000" w:firstRow="0" w:lastRow="0" w:firstColumn="1" w:lastColumn="0" w:oddVBand="0" w:evenVBand="0" w:oddHBand="0" w:evenHBand="0" w:firstRowFirstColumn="0" w:firstRowLastColumn="0" w:lastRowFirstColumn="0" w:lastRowLastColumn="0"/>
            <w:tcW w:w="2133" w:type="dxa"/>
            <w:vMerge w:val="restart"/>
            <w:noWrap/>
            <w:vAlign w:val="center"/>
            <w:hideMark/>
          </w:tcPr>
          <w:p w14:paraId="1E98B70F" w14:textId="77777777" w:rsidR="000D12A3" w:rsidRPr="00DC3FB7" w:rsidRDefault="000D12A3" w:rsidP="00DC3FB7">
            <w:pPr>
              <w:jc w:val="center"/>
              <w:rPr>
                <w:rFonts w:ascii="Calibri" w:eastAsia="Times New Roman" w:hAnsi="Calibri" w:cs="Calibri"/>
                <w:color w:val="000000"/>
                <w:szCs w:val="22"/>
                <w:lang w:eastAsia="en-GB"/>
              </w:rPr>
            </w:pPr>
            <w:r w:rsidRPr="00DC3FB7">
              <w:rPr>
                <w:rFonts w:ascii="Calibri" w:eastAsia="Times New Roman" w:hAnsi="Calibri" w:cs="Calibri"/>
                <w:color w:val="000000"/>
                <w:szCs w:val="22"/>
                <w:lang w:eastAsia="en-GB"/>
              </w:rPr>
              <w:t>BAU</w:t>
            </w:r>
          </w:p>
        </w:tc>
        <w:tc>
          <w:tcPr>
            <w:tcW w:w="1508" w:type="dxa"/>
            <w:noWrap/>
            <w:vAlign w:val="center"/>
            <w:hideMark/>
          </w:tcPr>
          <w:p w14:paraId="76EB9EFD" w14:textId="77777777" w:rsidR="000D12A3" w:rsidRPr="00DC3FB7" w:rsidRDefault="000D12A3" w:rsidP="00DC3FB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lang w:eastAsia="en-GB"/>
              </w:rPr>
            </w:pPr>
            <w:r w:rsidRPr="00DC3FB7">
              <w:rPr>
                <w:rFonts w:ascii="Calibri" w:eastAsia="Times New Roman" w:hAnsi="Calibri" w:cs="Calibri"/>
                <w:color w:val="000000"/>
                <w:szCs w:val="22"/>
                <w:lang w:eastAsia="en-GB"/>
              </w:rPr>
              <w:t>2030</w:t>
            </w:r>
          </w:p>
        </w:tc>
        <w:tc>
          <w:tcPr>
            <w:tcW w:w="3529" w:type="dxa"/>
            <w:noWrap/>
            <w:vAlign w:val="center"/>
            <w:hideMark/>
          </w:tcPr>
          <w:p w14:paraId="483F4B9E" w14:textId="77777777" w:rsidR="000D12A3" w:rsidRPr="00DC3FB7" w:rsidRDefault="000D12A3" w:rsidP="00DC3F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lang w:eastAsia="en-GB"/>
              </w:rPr>
            </w:pPr>
            <w:r w:rsidRPr="00DC3FB7">
              <w:rPr>
                <w:rFonts w:ascii="Calibri" w:eastAsia="Times New Roman" w:hAnsi="Calibri" w:cs="Calibri"/>
                <w:color w:val="000000"/>
                <w:szCs w:val="22"/>
                <w:lang w:eastAsia="en-GB"/>
              </w:rPr>
              <w:t>NG_BAU_2030</w:t>
            </w:r>
          </w:p>
        </w:tc>
      </w:tr>
      <w:tr w:rsidR="000D12A3" w:rsidRPr="00DC3FB7" w14:paraId="55B3A4B7" w14:textId="77777777" w:rsidTr="000D12A3">
        <w:trPr>
          <w:trHeight w:val="263"/>
          <w:jc w:val="center"/>
        </w:trPr>
        <w:tc>
          <w:tcPr>
            <w:cnfStyle w:val="001000000000" w:firstRow="0" w:lastRow="0" w:firstColumn="1" w:lastColumn="0" w:oddVBand="0" w:evenVBand="0" w:oddHBand="0" w:evenHBand="0" w:firstRowFirstColumn="0" w:firstRowLastColumn="0" w:lastRowFirstColumn="0" w:lastRowLastColumn="0"/>
            <w:tcW w:w="2133" w:type="dxa"/>
            <w:vMerge/>
            <w:vAlign w:val="center"/>
            <w:hideMark/>
          </w:tcPr>
          <w:p w14:paraId="4BD4EB13" w14:textId="77777777" w:rsidR="000D12A3" w:rsidRPr="00DC3FB7" w:rsidRDefault="000D12A3" w:rsidP="00DC3FB7">
            <w:pPr>
              <w:jc w:val="center"/>
              <w:rPr>
                <w:rFonts w:ascii="Calibri" w:eastAsia="Times New Roman" w:hAnsi="Calibri" w:cs="Calibri"/>
                <w:color w:val="000000"/>
                <w:szCs w:val="22"/>
                <w:lang w:eastAsia="en-GB"/>
              </w:rPr>
            </w:pPr>
          </w:p>
        </w:tc>
        <w:tc>
          <w:tcPr>
            <w:tcW w:w="1508" w:type="dxa"/>
            <w:noWrap/>
            <w:vAlign w:val="center"/>
            <w:hideMark/>
          </w:tcPr>
          <w:p w14:paraId="54FA3770" w14:textId="77777777" w:rsidR="000D12A3" w:rsidRPr="00DC3FB7" w:rsidRDefault="000D12A3" w:rsidP="00DC3FB7">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lang w:eastAsia="en-GB"/>
              </w:rPr>
            </w:pPr>
            <w:r w:rsidRPr="00DC3FB7">
              <w:rPr>
                <w:rFonts w:ascii="Calibri" w:eastAsia="Times New Roman" w:hAnsi="Calibri" w:cs="Calibri"/>
                <w:color w:val="000000"/>
                <w:szCs w:val="22"/>
                <w:lang w:eastAsia="en-GB"/>
              </w:rPr>
              <w:t>2050</w:t>
            </w:r>
          </w:p>
        </w:tc>
        <w:tc>
          <w:tcPr>
            <w:tcW w:w="3529" w:type="dxa"/>
            <w:noWrap/>
            <w:vAlign w:val="center"/>
            <w:hideMark/>
          </w:tcPr>
          <w:p w14:paraId="1E2D94D6" w14:textId="77777777" w:rsidR="000D12A3" w:rsidRPr="00DC3FB7" w:rsidRDefault="000D12A3" w:rsidP="00DC3F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lang w:eastAsia="en-GB"/>
              </w:rPr>
            </w:pPr>
            <w:r w:rsidRPr="00DC3FB7">
              <w:rPr>
                <w:rFonts w:ascii="Calibri" w:eastAsia="Times New Roman" w:hAnsi="Calibri" w:cs="Calibri"/>
                <w:color w:val="000000"/>
                <w:szCs w:val="22"/>
                <w:lang w:eastAsia="en-GB"/>
              </w:rPr>
              <w:t>NG_BAU_2050</w:t>
            </w:r>
          </w:p>
        </w:tc>
      </w:tr>
      <w:tr w:rsidR="000D12A3" w:rsidRPr="00DC3FB7" w14:paraId="54010883" w14:textId="77777777" w:rsidTr="000D12A3">
        <w:trPr>
          <w:cnfStyle w:val="000000100000" w:firstRow="0" w:lastRow="0" w:firstColumn="0" w:lastColumn="0" w:oddVBand="0" w:evenVBand="0" w:oddHBand="1" w:evenHBand="0" w:firstRowFirstColumn="0" w:firstRowLastColumn="0" w:lastRowFirstColumn="0" w:lastRowLastColumn="0"/>
          <w:trHeight w:val="263"/>
          <w:jc w:val="center"/>
        </w:trPr>
        <w:tc>
          <w:tcPr>
            <w:cnfStyle w:val="001000000000" w:firstRow="0" w:lastRow="0" w:firstColumn="1" w:lastColumn="0" w:oddVBand="0" w:evenVBand="0" w:oddHBand="0" w:evenHBand="0" w:firstRowFirstColumn="0" w:firstRowLastColumn="0" w:lastRowFirstColumn="0" w:lastRowLastColumn="0"/>
            <w:tcW w:w="2133" w:type="dxa"/>
            <w:vMerge/>
            <w:vAlign w:val="center"/>
            <w:hideMark/>
          </w:tcPr>
          <w:p w14:paraId="67C2EB8D" w14:textId="77777777" w:rsidR="000D12A3" w:rsidRPr="00DC3FB7" w:rsidRDefault="000D12A3" w:rsidP="00DC3FB7">
            <w:pPr>
              <w:jc w:val="center"/>
              <w:rPr>
                <w:rFonts w:ascii="Calibri" w:eastAsia="Times New Roman" w:hAnsi="Calibri" w:cs="Calibri"/>
                <w:color w:val="000000"/>
                <w:szCs w:val="22"/>
                <w:lang w:eastAsia="en-GB"/>
              </w:rPr>
            </w:pPr>
          </w:p>
        </w:tc>
        <w:tc>
          <w:tcPr>
            <w:tcW w:w="1508" w:type="dxa"/>
            <w:noWrap/>
            <w:vAlign w:val="center"/>
            <w:hideMark/>
          </w:tcPr>
          <w:p w14:paraId="3971A41C" w14:textId="77777777" w:rsidR="000D12A3" w:rsidRPr="00DC3FB7" w:rsidRDefault="000D12A3" w:rsidP="00DC3FB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lang w:eastAsia="en-GB"/>
              </w:rPr>
            </w:pPr>
            <w:r w:rsidRPr="00DC3FB7">
              <w:rPr>
                <w:rFonts w:ascii="Calibri" w:eastAsia="Times New Roman" w:hAnsi="Calibri" w:cs="Calibri"/>
                <w:color w:val="000000"/>
                <w:szCs w:val="22"/>
                <w:lang w:eastAsia="en-GB"/>
              </w:rPr>
              <w:t>Never</w:t>
            </w:r>
          </w:p>
        </w:tc>
        <w:tc>
          <w:tcPr>
            <w:tcW w:w="3529" w:type="dxa"/>
            <w:noWrap/>
            <w:vAlign w:val="center"/>
            <w:hideMark/>
          </w:tcPr>
          <w:p w14:paraId="57B19DD6" w14:textId="77777777" w:rsidR="000D12A3" w:rsidRPr="00DC3FB7" w:rsidRDefault="000D12A3" w:rsidP="00DC3F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lang w:eastAsia="en-GB"/>
              </w:rPr>
            </w:pPr>
            <w:proofErr w:type="spellStart"/>
            <w:r w:rsidRPr="00DC3FB7">
              <w:rPr>
                <w:rFonts w:ascii="Calibri" w:eastAsia="Times New Roman" w:hAnsi="Calibri" w:cs="Calibri"/>
                <w:color w:val="000000"/>
                <w:szCs w:val="22"/>
                <w:lang w:eastAsia="en-GB"/>
              </w:rPr>
              <w:t>NG_BAU_Never</w:t>
            </w:r>
            <w:proofErr w:type="spellEnd"/>
          </w:p>
        </w:tc>
      </w:tr>
      <w:tr w:rsidR="000D12A3" w:rsidRPr="00DC3FB7" w14:paraId="32A6C10D" w14:textId="77777777" w:rsidTr="000D12A3">
        <w:trPr>
          <w:trHeight w:val="263"/>
          <w:jc w:val="center"/>
        </w:trPr>
        <w:tc>
          <w:tcPr>
            <w:cnfStyle w:val="001000000000" w:firstRow="0" w:lastRow="0" w:firstColumn="1" w:lastColumn="0" w:oddVBand="0" w:evenVBand="0" w:oddHBand="0" w:evenHBand="0" w:firstRowFirstColumn="0" w:firstRowLastColumn="0" w:lastRowFirstColumn="0" w:lastRowLastColumn="0"/>
            <w:tcW w:w="2133" w:type="dxa"/>
            <w:vMerge w:val="restart"/>
            <w:shd w:val="clear" w:color="auto" w:fill="D9E2F3" w:themeFill="accent1" w:themeFillTint="33"/>
            <w:vAlign w:val="center"/>
            <w:hideMark/>
          </w:tcPr>
          <w:p w14:paraId="3E015346" w14:textId="00D590C4" w:rsidR="000D12A3" w:rsidRPr="00DC3FB7" w:rsidRDefault="000D12A3" w:rsidP="00DC3FB7">
            <w:pPr>
              <w:jc w:val="center"/>
              <w:rPr>
                <w:rFonts w:ascii="Calibri" w:eastAsia="Times New Roman" w:hAnsi="Calibri" w:cs="Calibri"/>
                <w:color w:val="000000"/>
                <w:szCs w:val="22"/>
                <w:lang w:eastAsia="en-GB"/>
              </w:rPr>
            </w:pPr>
            <w:r>
              <w:rPr>
                <w:rFonts w:ascii="Calibri" w:eastAsia="Times New Roman" w:hAnsi="Calibri" w:cs="Calibri"/>
                <w:color w:val="000000"/>
                <w:szCs w:val="22"/>
                <w:lang w:eastAsia="en-GB"/>
              </w:rPr>
              <w:t>Least Cost</w:t>
            </w:r>
          </w:p>
        </w:tc>
        <w:tc>
          <w:tcPr>
            <w:tcW w:w="1508" w:type="dxa"/>
            <w:noWrap/>
            <w:vAlign w:val="center"/>
            <w:hideMark/>
          </w:tcPr>
          <w:p w14:paraId="010640A5" w14:textId="77777777" w:rsidR="000D12A3" w:rsidRPr="00DC3FB7" w:rsidRDefault="000D12A3" w:rsidP="00DC3FB7">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lang w:eastAsia="en-GB"/>
              </w:rPr>
            </w:pPr>
            <w:r w:rsidRPr="00DC3FB7">
              <w:rPr>
                <w:rFonts w:ascii="Calibri" w:eastAsia="Times New Roman" w:hAnsi="Calibri" w:cs="Calibri"/>
                <w:color w:val="000000"/>
                <w:szCs w:val="22"/>
                <w:lang w:eastAsia="en-GB"/>
              </w:rPr>
              <w:t>2030</w:t>
            </w:r>
          </w:p>
        </w:tc>
        <w:tc>
          <w:tcPr>
            <w:tcW w:w="3529" w:type="dxa"/>
            <w:noWrap/>
            <w:vAlign w:val="center"/>
            <w:hideMark/>
          </w:tcPr>
          <w:p w14:paraId="67EAB821" w14:textId="131896CC" w:rsidR="000D12A3" w:rsidRPr="00DC3FB7" w:rsidRDefault="000D12A3" w:rsidP="00DC3F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lang w:eastAsia="en-GB"/>
              </w:rPr>
            </w:pPr>
            <w:r w:rsidRPr="00DC3FB7">
              <w:rPr>
                <w:rFonts w:ascii="Calibri" w:eastAsia="Times New Roman" w:hAnsi="Calibri" w:cs="Calibri"/>
                <w:color w:val="000000"/>
                <w:szCs w:val="22"/>
                <w:lang w:eastAsia="en-GB"/>
              </w:rPr>
              <w:t>NG_LeastCost_2030</w:t>
            </w:r>
          </w:p>
        </w:tc>
      </w:tr>
      <w:tr w:rsidR="000D12A3" w:rsidRPr="00DC3FB7" w14:paraId="11F40C3F" w14:textId="77777777" w:rsidTr="000D12A3">
        <w:trPr>
          <w:cnfStyle w:val="000000100000" w:firstRow="0" w:lastRow="0" w:firstColumn="0" w:lastColumn="0" w:oddVBand="0" w:evenVBand="0" w:oddHBand="1" w:evenHBand="0" w:firstRowFirstColumn="0" w:firstRowLastColumn="0" w:lastRowFirstColumn="0" w:lastRowLastColumn="0"/>
          <w:trHeight w:val="263"/>
          <w:jc w:val="center"/>
        </w:trPr>
        <w:tc>
          <w:tcPr>
            <w:cnfStyle w:val="001000000000" w:firstRow="0" w:lastRow="0" w:firstColumn="1" w:lastColumn="0" w:oddVBand="0" w:evenVBand="0" w:oddHBand="0" w:evenHBand="0" w:firstRowFirstColumn="0" w:firstRowLastColumn="0" w:lastRowFirstColumn="0" w:lastRowLastColumn="0"/>
            <w:tcW w:w="2133" w:type="dxa"/>
            <w:vMerge/>
            <w:vAlign w:val="center"/>
            <w:hideMark/>
          </w:tcPr>
          <w:p w14:paraId="4248E6B7" w14:textId="77777777" w:rsidR="000D12A3" w:rsidRPr="00DC3FB7" w:rsidRDefault="000D12A3" w:rsidP="00DC3FB7">
            <w:pPr>
              <w:jc w:val="center"/>
              <w:rPr>
                <w:rFonts w:ascii="Calibri" w:eastAsia="Times New Roman" w:hAnsi="Calibri" w:cs="Calibri"/>
                <w:color w:val="000000"/>
                <w:szCs w:val="22"/>
                <w:lang w:eastAsia="en-GB"/>
              </w:rPr>
            </w:pPr>
          </w:p>
        </w:tc>
        <w:tc>
          <w:tcPr>
            <w:tcW w:w="1508" w:type="dxa"/>
            <w:noWrap/>
            <w:vAlign w:val="center"/>
            <w:hideMark/>
          </w:tcPr>
          <w:p w14:paraId="697F8717" w14:textId="77777777" w:rsidR="000D12A3" w:rsidRPr="00DC3FB7" w:rsidRDefault="000D12A3" w:rsidP="00DC3FB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lang w:eastAsia="en-GB"/>
              </w:rPr>
            </w:pPr>
            <w:r w:rsidRPr="00DC3FB7">
              <w:rPr>
                <w:rFonts w:ascii="Calibri" w:eastAsia="Times New Roman" w:hAnsi="Calibri" w:cs="Calibri"/>
                <w:color w:val="000000"/>
                <w:szCs w:val="22"/>
                <w:lang w:eastAsia="en-GB"/>
              </w:rPr>
              <w:t>2050</w:t>
            </w:r>
          </w:p>
        </w:tc>
        <w:tc>
          <w:tcPr>
            <w:tcW w:w="3529" w:type="dxa"/>
            <w:noWrap/>
            <w:vAlign w:val="center"/>
            <w:hideMark/>
          </w:tcPr>
          <w:p w14:paraId="5C6E63B5" w14:textId="25FDC0EF" w:rsidR="000D12A3" w:rsidRPr="00DC3FB7" w:rsidRDefault="000D12A3" w:rsidP="00DC3F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lang w:eastAsia="en-GB"/>
              </w:rPr>
            </w:pPr>
            <w:r w:rsidRPr="00DC3FB7">
              <w:rPr>
                <w:rFonts w:ascii="Calibri" w:eastAsia="Times New Roman" w:hAnsi="Calibri" w:cs="Calibri"/>
                <w:color w:val="000000"/>
                <w:szCs w:val="22"/>
                <w:lang w:eastAsia="en-GB"/>
              </w:rPr>
              <w:t>NG_LeastCost_2050</w:t>
            </w:r>
          </w:p>
        </w:tc>
      </w:tr>
      <w:tr w:rsidR="000D12A3" w:rsidRPr="00DC3FB7" w14:paraId="1B9AA226" w14:textId="77777777" w:rsidTr="000D12A3">
        <w:trPr>
          <w:trHeight w:val="263"/>
          <w:jc w:val="center"/>
        </w:trPr>
        <w:tc>
          <w:tcPr>
            <w:cnfStyle w:val="001000000000" w:firstRow="0" w:lastRow="0" w:firstColumn="1" w:lastColumn="0" w:oddVBand="0" w:evenVBand="0" w:oddHBand="0" w:evenHBand="0" w:firstRowFirstColumn="0" w:firstRowLastColumn="0" w:lastRowFirstColumn="0" w:lastRowLastColumn="0"/>
            <w:tcW w:w="2133" w:type="dxa"/>
            <w:vMerge/>
            <w:vAlign w:val="center"/>
            <w:hideMark/>
          </w:tcPr>
          <w:p w14:paraId="5A86792B" w14:textId="77777777" w:rsidR="000D12A3" w:rsidRPr="00DC3FB7" w:rsidRDefault="000D12A3" w:rsidP="00DC3FB7">
            <w:pPr>
              <w:jc w:val="center"/>
              <w:rPr>
                <w:rFonts w:ascii="Calibri" w:eastAsia="Times New Roman" w:hAnsi="Calibri" w:cs="Calibri"/>
                <w:color w:val="000000"/>
                <w:szCs w:val="22"/>
                <w:lang w:eastAsia="en-GB"/>
              </w:rPr>
            </w:pPr>
          </w:p>
        </w:tc>
        <w:tc>
          <w:tcPr>
            <w:tcW w:w="1508" w:type="dxa"/>
            <w:noWrap/>
            <w:vAlign w:val="center"/>
            <w:hideMark/>
          </w:tcPr>
          <w:p w14:paraId="722F4963" w14:textId="77777777" w:rsidR="000D12A3" w:rsidRPr="00DC3FB7" w:rsidRDefault="000D12A3" w:rsidP="00DC3FB7">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lang w:eastAsia="en-GB"/>
              </w:rPr>
            </w:pPr>
            <w:r w:rsidRPr="00DC3FB7">
              <w:rPr>
                <w:rFonts w:ascii="Calibri" w:eastAsia="Times New Roman" w:hAnsi="Calibri" w:cs="Calibri"/>
                <w:color w:val="000000"/>
                <w:szCs w:val="22"/>
                <w:lang w:eastAsia="en-GB"/>
              </w:rPr>
              <w:t>Never</w:t>
            </w:r>
          </w:p>
        </w:tc>
        <w:tc>
          <w:tcPr>
            <w:tcW w:w="3529" w:type="dxa"/>
            <w:noWrap/>
            <w:vAlign w:val="center"/>
            <w:hideMark/>
          </w:tcPr>
          <w:p w14:paraId="1B1F5207" w14:textId="57044B2E" w:rsidR="000D12A3" w:rsidRPr="00DC3FB7" w:rsidRDefault="000D12A3" w:rsidP="00DC3F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lang w:eastAsia="en-GB"/>
              </w:rPr>
            </w:pPr>
            <w:proofErr w:type="spellStart"/>
            <w:r w:rsidRPr="00DC3FB7">
              <w:rPr>
                <w:rFonts w:ascii="Calibri" w:eastAsia="Times New Roman" w:hAnsi="Calibri" w:cs="Calibri"/>
                <w:color w:val="000000"/>
                <w:szCs w:val="22"/>
                <w:lang w:eastAsia="en-GB"/>
              </w:rPr>
              <w:t>NG_LeastCost_Never</w:t>
            </w:r>
            <w:proofErr w:type="spellEnd"/>
          </w:p>
        </w:tc>
      </w:tr>
      <w:tr w:rsidR="000D12A3" w:rsidRPr="00DC3FB7" w14:paraId="5125299C" w14:textId="77777777" w:rsidTr="000D12A3">
        <w:trPr>
          <w:cnfStyle w:val="000000100000" w:firstRow="0" w:lastRow="0" w:firstColumn="0" w:lastColumn="0" w:oddVBand="0" w:evenVBand="0" w:oddHBand="1" w:evenHBand="0" w:firstRowFirstColumn="0" w:firstRowLastColumn="0" w:lastRowFirstColumn="0" w:lastRowLastColumn="0"/>
          <w:trHeight w:val="263"/>
          <w:jc w:val="center"/>
        </w:trPr>
        <w:tc>
          <w:tcPr>
            <w:cnfStyle w:val="001000000000" w:firstRow="0" w:lastRow="0" w:firstColumn="1" w:lastColumn="0" w:oddVBand="0" w:evenVBand="0" w:oddHBand="0" w:evenHBand="0" w:firstRowFirstColumn="0" w:firstRowLastColumn="0" w:lastRowFirstColumn="0" w:lastRowLastColumn="0"/>
            <w:tcW w:w="2133" w:type="dxa"/>
            <w:vMerge w:val="restart"/>
            <w:vAlign w:val="center"/>
            <w:hideMark/>
          </w:tcPr>
          <w:p w14:paraId="660FEBE4" w14:textId="4AC22BD7" w:rsidR="000D12A3" w:rsidRPr="00DC3FB7" w:rsidRDefault="000D12A3" w:rsidP="00DC3FB7">
            <w:pPr>
              <w:jc w:val="center"/>
              <w:rPr>
                <w:rFonts w:ascii="Calibri" w:eastAsia="Times New Roman" w:hAnsi="Calibri" w:cs="Calibri"/>
                <w:color w:val="000000"/>
                <w:szCs w:val="22"/>
                <w:lang w:eastAsia="en-GB"/>
              </w:rPr>
            </w:pPr>
            <w:r>
              <w:rPr>
                <w:rFonts w:ascii="Calibri" w:eastAsia="Times New Roman" w:hAnsi="Calibri" w:cs="Calibri"/>
                <w:color w:val="000000"/>
                <w:szCs w:val="22"/>
                <w:lang w:eastAsia="en-GB"/>
              </w:rPr>
              <w:t>CNDC</w:t>
            </w:r>
          </w:p>
        </w:tc>
        <w:tc>
          <w:tcPr>
            <w:tcW w:w="1508" w:type="dxa"/>
            <w:noWrap/>
            <w:vAlign w:val="center"/>
            <w:hideMark/>
          </w:tcPr>
          <w:p w14:paraId="2EE83C40" w14:textId="77777777" w:rsidR="000D12A3" w:rsidRPr="00DC3FB7" w:rsidRDefault="000D12A3" w:rsidP="00DC3FB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lang w:eastAsia="en-GB"/>
              </w:rPr>
            </w:pPr>
            <w:r w:rsidRPr="00DC3FB7">
              <w:rPr>
                <w:rFonts w:ascii="Calibri" w:eastAsia="Times New Roman" w:hAnsi="Calibri" w:cs="Calibri"/>
                <w:color w:val="000000"/>
                <w:szCs w:val="22"/>
                <w:lang w:eastAsia="en-GB"/>
              </w:rPr>
              <w:t>2030</w:t>
            </w:r>
          </w:p>
        </w:tc>
        <w:tc>
          <w:tcPr>
            <w:tcW w:w="3529" w:type="dxa"/>
            <w:noWrap/>
            <w:vAlign w:val="center"/>
            <w:hideMark/>
          </w:tcPr>
          <w:p w14:paraId="1E5C2C88" w14:textId="478F576A" w:rsidR="000D12A3" w:rsidRPr="00DC3FB7" w:rsidRDefault="000D12A3" w:rsidP="00DC3F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lang w:eastAsia="en-GB"/>
              </w:rPr>
            </w:pPr>
            <w:r w:rsidRPr="00DC3FB7">
              <w:rPr>
                <w:rFonts w:ascii="Calibri" w:eastAsia="Times New Roman" w:hAnsi="Calibri" w:cs="Calibri"/>
                <w:color w:val="000000"/>
                <w:szCs w:val="22"/>
                <w:lang w:eastAsia="en-GB"/>
              </w:rPr>
              <w:t>NG_CNDC_2030</w:t>
            </w:r>
          </w:p>
        </w:tc>
      </w:tr>
      <w:tr w:rsidR="000D12A3" w:rsidRPr="00DC3FB7" w14:paraId="6480CD5B" w14:textId="77777777" w:rsidTr="000D12A3">
        <w:trPr>
          <w:trHeight w:val="263"/>
          <w:jc w:val="center"/>
        </w:trPr>
        <w:tc>
          <w:tcPr>
            <w:cnfStyle w:val="001000000000" w:firstRow="0" w:lastRow="0" w:firstColumn="1" w:lastColumn="0" w:oddVBand="0" w:evenVBand="0" w:oddHBand="0" w:evenHBand="0" w:firstRowFirstColumn="0" w:firstRowLastColumn="0" w:lastRowFirstColumn="0" w:lastRowLastColumn="0"/>
            <w:tcW w:w="2133" w:type="dxa"/>
            <w:vMerge/>
            <w:vAlign w:val="center"/>
            <w:hideMark/>
          </w:tcPr>
          <w:p w14:paraId="19BA1519" w14:textId="77777777" w:rsidR="000D12A3" w:rsidRPr="00DC3FB7" w:rsidRDefault="000D12A3" w:rsidP="00DC3FB7">
            <w:pPr>
              <w:jc w:val="center"/>
              <w:rPr>
                <w:rFonts w:ascii="Calibri" w:eastAsia="Times New Roman" w:hAnsi="Calibri" w:cs="Calibri"/>
                <w:color w:val="000000"/>
                <w:szCs w:val="22"/>
                <w:lang w:eastAsia="en-GB"/>
              </w:rPr>
            </w:pPr>
          </w:p>
        </w:tc>
        <w:tc>
          <w:tcPr>
            <w:tcW w:w="1508" w:type="dxa"/>
            <w:noWrap/>
            <w:vAlign w:val="center"/>
            <w:hideMark/>
          </w:tcPr>
          <w:p w14:paraId="23BC82EE" w14:textId="77777777" w:rsidR="000D12A3" w:rsidRPr="00DC3FB7" w:rsidRDefault="000D12A3" w:rsidP="00DC3FB7">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lang w:eastAsia="en-GB"/>
              </w:rPr>
            </w:pPr>
            <w:r w:rsidRPr="00DC3FB7">
              <w:rPr>
                <w:rFonts w:ascii="Calibri" w:eastAsia="Times New Roman" w:hAnsi="Calibri" w:cs="Calibri"/>
                <w:color w:val="000000"/>
                <w:szCs w:val="22"/>
                <w:lang w:eastAsia="en-GB"/>
              </w:rPr>
              <w:t>2050</w:t>
            </w:r>
          </w:p>
        </w:tc>
        <w:tc>
          <w:tcPr>
            <w:tcW w:w="3529" w:type="dxa"/>
            <w:noWrap/>
            <w:vAlign w:val="center"/>
            <w:hideMark/>
          </w:tcPr>
          <w:p w14:paraId="11F7A4FA" w14:textId="41669635" w:rsidR="000D12A3" w:rsidRPr="00DC3FB7" w:rsidRDefault="000D12A3" w:rsidP="00DC3F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lang w:eastAsia="en-GB"/>
              </w:rPr>
            </w:pPr>
            <w:r w:rsidRPr="00DC3FB7">
              <w:rPr>
                <w:rFonts w:ascii="Calibri" w:eastAsia="Times New Roman" w:hAnsi="Calibri" w:cs="Calibri"/>
                <w:color w:val="000000"/>
                <w:szCs w:val="22"/>
                <w:lang w:eastAsia="en-GB"/>
              </w:rPr>
              <w:t>NG_CNDC_2050</w:t>
            </w:r>
          </w:p>
        </w:tc>
      </w:tr>
      <w:tr w:rsidR="000D12A3" w:rsidRPr="00DC3FB7" w14:paraId="703E798E" w14:textId="77777777" w:rsidTr="000D12A3">
        <w:trPr>
          <w:cnfStyle w:val="000000100000" w:firstRow="0" w:lastRow="0" w:firstColumn="0" w:lastColumn="0" w:oddVBand="0" w:evenVBand="0" w:oddHBand="1" w:evenHBand="0" w:firstRowFirstColumn="0" w:firstRowLastColumn="0" w:lastRowFirstColumn="0" w:lastRowLastColumn="0"/>
          <w:trHeight w:val="263"/>
          <w:jc w:val="center"/>
        </w:trPr>
        <w:tc>
          <w:tcPr>
            <w:cnfStyle w:val="001000000000" w:firstRow="0" w:lastRow="0" w:firstColumn="1" w:lastColumn="0" w:oddVBand="0" w:evenVBand="0" w:oddHBand="0" w:evenHBand="0" w:firstRowFirstColumn="0" w:firstRowLastColumn="0" w:lastRowFirstColumn="0" w:lastRowLastColumn="0"/>
            <w:tcW w:w="2133" w:type="dxa"/>
            <w:vMerge/>
            <w:vAlign w:val="center"/>
            <w:hideMark/>
          </w:tcPr>
          <w:p w14:paraId="3C53014A" w14:textId="77777777" w:rsidR="000D12A3" w:rsidRPr="00DC3FB7" w:rsidRDefault="000D12A3" w:rsidP="00DC3FB7">
            <w:pPr>
              <w:jc w:val="center"/>
              <w:rPr>
                <w:rFonts w:ascii="Calibri" w:eastAsia="Times New Roman" w:hAnsi="Calibri" w:cs="Calibri"/>
                <w:color w:val="000000"/>
                <w:szCs w:val="22"/>
                <w:lang w:eastAsia="en-GB"/>
              </w:rPr>
            </w:pPr>
          </w:p>
        </w:tc>
        <w:tc>
          <w:tcPr>
            <w:tcW w:w="1508" w:type="dxa"/>
            <w:noWrap/>
            <w:vAlign w:val="center"/>
            <w:hideMark/>
          </w:tcPr>
          <w:p w14:paraId="60EB4BD7" w14:textId="77777777" w:rsidR="000D12A3" w:rsidRPr="00DC3FB7" w:rsidRDefault="000D12A3" w:rsidP="00DC3FB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lang w:eastAsia="en-GB"/>
              </w:rPr>
            </w:pPr>
            <w:r w:rsidRPr="00DC3FB7">
              <w:rPr>
                <w:rFonts w:ascii="Calibri" w:eastAsia="Times New Roman" w:hAnsi="Calibri" w:cs="Calibri"/>
                <w:color w:val="000000"/>
                <w:szCs w:val="22"/>
                <w:lang w:eastAsia="en-GB"/>
              </w:rPr>
              <w:t>Never</w:t>
            </w:r>
          </w:p>
        </w:tc>
        <w:tc>
          <w:tcPr>
            <w:tcW w:w="3529" w:type="dxa"/>
            <w:noWrap/>
            <w:vAlign w:val="center"/>
            <w:hideMark/>
          </w:tcPr>
          <w:p w14:paraId="3DC957EA" w14:textId="0FCD19FC" w:rsidR="000D12A3" w:rsidRPr="00DC3FB7" w:rsidRDefault="000D12A3" w:rsidP="00DC3F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lang w:eastAsia="en-GB"/>
              </w:rPr>
            </w:pPr>
            <w:proofErr w:type="spellStart"/>
            <w:r w:rsidRPr="00DC3FB7">
              <w:rPr>
                <w:rFonts w:ascii="Calibri" w:eastAsia="Times New Roman" w:hAnsi="Calibri" w:cs="Calibri"/>
                <w:color w:val="000000"/>
                <w:szCs w:val="22"/>
                <w:lang w:eastAsia="en-GB"/>
              </w:rPr>
              <w:t>NG_CNDC_Never</w:t>
            </w:r>
            <w:proofErr w:type="spellEnd"/>
          </w:p>
        </w:tc>
      </w:tr>
      <w:tr w:rsidR="000D12A3" w:rsidRPr="00DC3FB7" w14:paraId="0ACD145D" w14:textId="77777777" w:rsidTr="000D12A3">
        <w:trPr>
          <w:trHeight w:val="263"/>
          <w:jc w:val="center"/>
        </w:trPr>
        <w:tc>
          <w:tcPr>
            <w:cnfStyle w:val="001000000000" w:firstRow="0" w:lastRow="0" w:firstColumn="1" w:lastColumn="0" w:oddVBand="0" w:evenVBand="0" w:oddHBand="0" w:evenHBand="0" w:firstRowFirstColumn="0" w:firstRowLastColumn="0" w:lastRowFirstColumn="0" w:lastRowLastColumn="0"/>
            <w:tcW w:w="2133" w:type="dxa"/>
            <w:vMerge w:val="restart"/>
            <w:shd w:val="clear" w:color="auto" w:fill="D9E2F3" w:themeFill="accent1" w:themeFillTint="33"/>
            <w:vAlign w:val="center"/>
            <w:hideMark/>
          </w:tcPr>
          <w:p w14:paraId="4DE8C73B" w14:textId="07236BDC" w:rsidR="000D12A3" w:rsidRPr="00DC3FB7" w:rsidRDefault="000D12A3" w:rsidP="00DC3FB7">
            <w:pPr>
              <w:jc w:val="center"/>
              <w:rPr>
                <w:rFonts w:ascii="Calibri" w:eastAsia="Times New Roman" w:hAnsi="Calibri" w:cs="Calibri"/>
                <w:color w:val="000000"/>
                <w:szCs w:val="22"/>
                <w:lang w:eastAsia="en-GB"/>
              </w:rPr>
            </w:pPr>
            <w:r>
              <w:rPr>
                <w:rFonts w:ascii="Calibri" w:eastAsia="Times New Roman" w:hAnsi="Calibri" w:cs="Calibri"/>
                <w:color w:val="000000"/>
                <w:szCs w:val="22"/>
                <w:lang w:eastAsia="en-GB"/>
              </w:rPr>
              <w:t>UNDC</w:t>
            </w:r>
          </w:p>
        </w:tc>
        <w:tc>
          <w:tcPr>
            <w:tcW w:w="1508" w:type="dxa"/>
            <w:noWrap/>
            <w:vAlign w:val="center"/>
            <w:hideMark/>
          </w:tcPr>
          <w:p w14:paraId="28CB882A" w14:textId="77777777" w:rsidR="000D12A3" w:rsidRPr="00DC3FB7" w:rsidRDefault="000D12A3" w:rsidP="00DC3FB7">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lang w:eastAsia="en-GB"/>
              </w:rPr>
            </w:pPr>
            <w:r w:rsidRPr="00DC3FB7">
              <w:rPr>
                <w:rFonts w:ascii="Calibri" w:eastAsia="Times New Roman" w:hAnsi="Calibri" w:cs="Calibri"/>
                <w:color w:val="000000"/>
                <w:szCs w:val="22"/>
                <w:lang w:eastAsia="en-GB"/>
              </w:rPr>
              <w:t>2030</w:t>
            </w:r>
          </w:p>
        </w:tc>
        <w:tc>
          <w:tcPr>
            <w:tcW w:w="3529" w:type="dxa"/>
            <w:noWrap/>
            <w:vAlign w:val="center"/>
            <w:hideMark/>
          </w:tcPr>
          <w:p w14:paraId="233386F4" w14:textId="241A2D45" w:rsidR="000D12A3" w:rsidRPr="00DC3FB7" w:rsidRDefault="000D12A3" w:rsidP="00DC3F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lang w:eastAsia="en-GB"/>
              </w:rPr>
            </w:pPr>
            <w:r w:rsidRPr="00DC3FB7">
              <w:rPr>
                <w:rFonts w:ascii="Calibri" w:eastAsia="Times New Roman" w:hAnsi="Calibri" w:cs="Calibri"/>
                <w:color w:val="000000"/>
                <w:szCs w:val="22"/>
                <w:lang w:eastAsia="en-GB"/>
              </w:rPr>
              <w:t>NG_UNDC_2030</w:t>
            </w:r>
          </w:p>
        </w:tc>
      </w:tr>
      <w:tr w:rsidR="000D12A3" w:rsidRPr="00DC3FB7" w14:paraId="286466CF" w14:textId="77777777" w:rsidTr="000D12A3">
        <w:trPr>
          <w:cnfStyle w:val="000000100000" w:firstRow="0" w:lastRow="0" w:firstColumn="0" w:lastColumn="0" w:oddVBand="0" w:evenVBand="0" w:oddHBand="1" w:evenHBand="0" w:firstRowFirstColumn="0" w:firstRowLastColumn="0" w:lastRowFirstColumn="0" w:lastRowLastColumn="0"/>
          <w:trHeight w:val="263"/>
          <w:jc w:val="center"/>
        </w:trPr>
        <w:tc>
          <w:tcPr>
            <w:cnfStyle w:val="001000000000" w:firstRow="0" w:lastRow="0" w:firstColumn="1" w:lastColumn="0" w:oddVBand="0" w:evenVBand="0" w:oddHBand="0" w:evenHBand="0" w:firstRowFirstColumn="0" w:firstRowLastColumn="0" w:lastRowFirstColumn="0" w:lastRowLastColumn="0"/>
            <w:tcW w:w="2133" w:type="dxa"/>
            <w:vMerge/>
            <w:vAlign w:val="center"/>
            <w:hideMark/>
          </w:tcPr>
          <w:p w14:paraId="7892DF77" w14:textId="77777777" w:rsidR="000D12A3" w:rsidRPr="00DC3FB7" w:rsidRDefault="000D12A3" w:rsidP="00DC3FB7">
            <w:pPr>
              <w:jc w:val="center"/>
              <w:rPr>
                <w:rFonts w:ascii="Calibri" w:eastAsia="Times New Roman" w:hAnsi="Calibri" w:cs="Calibri"/>
                <w:color w:val="000000"/>
                <w:szCs w:val="22"/>
                <w:lang w:eastAsia="en-GB"/>
              </w:rPr>
            </w:pPr>
          </w:p>
        </w:tc>
        <w:tc>
          <w:tcPr>
            <w:tcW w:w="1508" w:type="dxa"/>
            <w:noWrap/>
            <w:vAlign w:val="center"/>
            <w:hideMark/>
          </w:tcPr>
          <w:p w14:paraId="034A9301" w14:textId="77777777" w:rsidR="000D12A3" w:rsidRPr="00DC3FB7" w:rsidRDefault="000D12A3" w:rsidP="00DC3FB7">
            <w:pPr>
              <w:jc w:val="cente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lang w:eastAsia="en-GB"/>
              </w:rPr>
            </w:pPr>
            <w:r w:rsidRPr="00DC3FB7">
              <w:rPr>
                <w:rFonts w:ascii="Calibri" w:eastAsia="Times New Roman" w:hAnsi="Calibri" w:cs="Calibri"/>
                <w:color w:val="000000"/>
                <w:szCs w:val="22"/>
                <w:lang w:eastAsia="en-GB"/>
              </w:rPr>
              <w:t>2050</w:t>
            </w:r>
          </w:p>
        </w:tc>
        <w:tc>
          <w:tcPr>
            <w:tcW w:w="3529" w:type="dxa"/>
            <w:noWrap/>
            <w:vAlign w:val="center"/>
            <w:hideMark/>
          </w:tcPr>
          <w:p w14:paraId="5EF64290" w14:textId="3E893D7C" w:rsidR="000D12A3" w:rsidRPr="00DC3FB7" w:rsidRDefault="000D12A3" w:rsidP="00DC3FB7">
            <w:pPr>
              <w:cnfStyle w:val="000000100000" w:firstRow="0" w:lastRow="0" w:firstColumn="0" w:lastColumn="0" w:oddVBand="0" w:evenVBand="0" w:oddHBand="1" w:evenHBand="0" w:firstRowFirstColumn="0" w:firstRowLastColumn="0" w:lastRowFirstColumn="0" w:lastRowLastColumn="0"/>
              <w:rPr>
                <w:rFonts w:ascii="Calibri" w:eastAsia="Times New Roman" w:hAnsi="Calibri" w:cs="Calibri"/>
                <w:color w:val="000000"/>
                <w:szCs w:val="22"/>
                <w:lang w:eastAsia="en-GB"/>
              </w:rPr>
            </w:pPr>
            <w:r w:rsidRPr="00DC3FB7">
              <w:rPr>
                <w:rFonts w:ascii="Calibri" w:eastAsia="Times New Roman" w:hAnsi="Calibri" w:cs="Calibri"/>
                <w:color w:val="000000"/>
                <w:szCs w:val="22"/>
                <w:lang w:eastAsia="en-GB"/>
              </w:rPr>
              <w:t>NG_UNDC_2050</w:t>
            </w:r>
          </w:p>
        </w:tc>
      </w:tr>
      <w:tr w:rsidR="000D12A3" w:rsidRPr="00DC3FB7" w14:paraId="0C009714" w14:textId="77777777" w:rsidTr="000D12A3">
        <w:trPr>
          <w:trHeight w:val="263"/>
          <w:jc w:val="center"/>
        </w:trPr>
        <w:tc>
          <w:tcPr>
            <w:cnfStyle w:val="001000000000" w:firstRow="0" w:lastRow="0" w:firstColumn="1" w:lastColumn="0" w:oddVBand="0" w:evenVBand="0" w:oddHBand="0" w:evenHBand="0" w:firstRowFirstColumn="0" w:firstRowLastColumn="0" w:lastRowFirstColumn="0" w:lastRowLastColumn="0"/>
            <w:tcW w:w="2133" w:type="dxa"/>
            <w:vMerge/>
            <w:vAlign w:val="center"/>
            <w:hideMark/>
          </w:tcPr>
          <w:p w14:paraId="2EC8CB2C" w14:textId="77777777" w:rsidR="000D12A3" w:rsidRPr="00DC3FB7" w:rsidRDefault="000D12A3" w:rsidP="00DC3FB7">
            <w:pPr>
              <w:jc w:val="center"/>
              <w:rPr>
                <w:rFonts w:ascii="Calibri" w:eastAsia="Times New Roman" w:hAnsi="Calibri" w:cs="Calibri"/>
                <w:color w:val="000000"/>
                <w:szCs w:val="22"/>
                <w:lang w:eastAsia="en-GB"/>
              </w:rPr>
            </w:pPr>
          </w:p>
        </w:tc>
        <w:tc>
          <w:tcPr>
            <w:tcW w:w="1508" w:type="dxa"/>
            <w:noWrap/>
            <w:vAlign w:val="center"/>
            <w:hideMark/>
          </w:tcPr>
          <w:p w14:paraId="40BA1525" w14:textId="77777777" w:rsidR="000D12A3" w:rsidRPr="00DC3FB7" w:rsidRDefault="000D12A3" w:rsidP="00DC3FB7">
            <w:pPr>
              <w:jc w:val="cente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lang w:eastAsia="en-GB"/>
              </w:rPr>
            </w:pPr>
            <w:r w:rsidRPr="00DC3FB7">
              <w:rPr>
                <w:rFonts w:ascii="Calibri" w:eastAsia="Times New Roman" w:hAnsi="Calibri" w:cs="Calibri"/>
                <w:color w:val="000000"/>
                <w:szCs w:val="22"/>
                <w:lang w:eastAsia="en-GB"/>
              </w:rPr>
              <w:t>Never</w:t>
            </w:r>
          </w:p>
        </w:tc>
        <w:tc>
          <w:tcPr>
            <w:tcW w:w="3529" w:type="dxa"/>
            <w:noWrap/>
            <w:vAlign w:val="center"/>
            <w:hideMark/>
          </w:tcPr>
          <w:p w14:paraId="3DCA1125" w14:textId="21539F2E" w:rsidR="000D12A3" w:rsidRPr="00DC3FB7" w:rsidRDefault="000D12A3" w:rsidP="00DC3FB7">
            <w:pPr>
              <w:cnfStyle w:val="000000000000" w:firstRow="0" w:lastRow="0" w:firstColumn="0" w:lastColumn="0" w:oddVBand="0" w:evenVBand="0" w:oddHBand="0" w:evenHBand="0" w:firstRowFirstColumn="0" w:firstRowLastColumn="0" w:lastRowFirstColumn="0" w:lastRowLastColumn="0"/>
              <w:rPr>
                <w:rFonts w:ascii="Calibri" w:eastAsia="Times New Roman" w:hAnsi="Calibri" w:cs="Calibri"/>
                <w:color w:val="000000"/>
                <w:szCs w:val="22"/>
                <w:lang w:eastAsia="en-GB"/>
              </w:rPr>
            </w:pPr>
            <w:proofErr w:type="spellStart"/>
            <w:r w:rsidRPr="00DC3FB7">
              <w:rPr>
                <w:rFonts w:ascii="Calibri" w:eastAsia="Times New Roman" w:hAnsi="Calibri" w:cs="Calibri"/>
                <w:color w:val="000000"/>
                <w:szCs w:val="22"/>
                <w:lang w:eastAsia="en-GB"/>
              </w:rPr>
              <w:t>NG_UNDC_Never</w:t>
            </w:r>
            <w:proofErr w:type="spellEnd"/>
          </w:p>
        </w:tc>
      </w:tr>
    </w:tbl>
    <w:p w14:paraId="58DA65F8" w14:textId="04CA3E06" w:rsidR="005D4F42" w:rsidRDefault="005D4F42" w:rsidP="00283A5F">
      <w:pPr>
        <w:jc w:val="center"/>
        <w:rPr>
          <w:rFonts w:ascii="Calibri" w:eastAsia="Times New Roman" w:hAnsi="Calibri" w:cs="Calibri"/>
          <w:i/>
          <w:iCs/>
          <w:color w:val="000000"/>
          <w:sz w:val="20"/>
          <w:szCs w:val="20"/>
          <w:lang w:eastAsia="en-GB"/>
        </w:rPr>
      </w:pPr>
    </w:p>
    <w:p w14:paraId="5DBA1A2F" w14:textId="20E91B47" w:rsidR="000D12A3" w:rsidRDefault="00957F7C" w:rsidP="00957F7C">
      <w:pPr>
        <w:pStyle w:val="Heading3"/>
      </w:pPr>
      <w:r>
        <w:t>Additional Sources</w:t>
      </w:r>
    </w:p>
    <w:p w14:paraId="29C840B8" w14:textId="0267A917" w:rsidR="00957F7C" w:rsidRDefault="00957F7C" w:rsidP="00957F7C"/>
    <w:p w14:paraId="3ACB568D" w14:textId="77777777" w:rsidR="001D253E" w:rsidRPr="001D253E" w:rsidRDefault="00957F7C" w:rsidP="001D253E">
      <w:pPr>
        <w:pStyle w:val="Bibliography"/>
        <w:rPr>
          <w:rFonts w:ascii="Calibri" w:hAnsi="Calibri" w:cs="Calibri"/>
        </w:rPr>
      </w:pPr>
      <w:r>
        <w:fldChar w:fldCharType="begin"/>
      </w:r>
      <w:r w:rsidR="001D253E">
        <w:instrText xml:space="preserve"> ADDIN ZOTERO_BIBL {"uncited":[],"omitted":[],"custom":[]} CSL_BIBLIOGRAPHY </w:instrText>
      </w:r>
      <w:r>
        <w:fldChar w:fldCharType="separate"/>
      </w:r>
      <w:r w:rsidR="001D253E" w:rsidRPr="001D253E">
        <w:rPr>
          <w:rFonts w:ascii="Calibri" w:hAnsi="Calibri" w:cs="Calibri"/>
        </w:rPr>
        <w:t>Cannone, C., Allington, L., Barron, K.C., Charbonnier, F., Walker, M.Z., Halloran, C., Yeganyan, R., Tan, N., Cullen, J.M., Harrison, J., To, L.S., Howells, M., 2023. Designing a zero-order energy transition model: How to create a new Starter Data Kit. MethodsX 10, 102120. https://doi.org/10.1016/j.mex.2023.102120</w:t>
      </w:r>
    </w:p>
    <w:p w14:paraId="25C424D5" w14:textId="77777777" w:rsidR="001D253E" w:rsidRPr="001D253E" w:rsidRDefault="001D253E" w:rsidP="001D253E">
      <w:pPr>
        <w:pStyle w:val="Bibliography"/>
        <w:rPr>
          <w:rFonts w:ascii="Calibri" w:hAnsi="Calibri" w:cs="Calibri"/>
        </w:rPr>
      </w:pPr>
      <w:r w:rsidRPr="001D253E">
        <w:rPr>
          <w:rFonts w:ascii="Calibri" w:hAnsi="Calibri" w:cs="Calibri"/>
        </w:rPr>
        <w:t>Daggash, H.A., Mac Dowell, N., 2021. Delivering low-carbon electricity systems in sub-Saharan Africa: insights from Nigeria. Energy Environ. Sci. 14, 4018–4037. https://doi.org/10.1039/D1EE00746G</w:t>
      </w:r>
    </w:p>
    <w:p w14:paraId="70C5CF66" w14:textId="77777777" w:rsidR="001D253E" w:rsidRPr="001D253E" w:rsidRDefault="001D253E" w:rsidP="001D253E">
      <w:pPr>
        <w:pStyle w:val="Bibliography"/>
        <w:rPr>
          <w:rFonts w:ascii="Calibri" w:hAnsi="Calibri" w:cs="Calibri"/>
        </w:rPr>
      </w:pPr>
      <w:r w:rsidRPr="001D253E">
        <w:rPr>
          <w:rFonts w:ascii="Calibri" w:hAnsi="Calibri" w:cs="Calibri"/>
        </w:rPr>
        <w:t>Dioha, M.O., Kumar, A., 2020. Exploring the energy system impacts of Nigeria’s Nationally Determined Contributions and low-carbon transition to mid-century. Energy Policy 144, 111703. https://doi.org/10.1016/j.enpol.2020.111703</w:t>
      </w:r>
    </w:p>
    <w:p w14:paraId="6FB27BF4" w14:textId="77777777" w:rsidR="001D253E" w:rsidRPr="001D253E" w:rsidRDefault="001D253E" w:rsidP="001D253E">
      <w:pPr>
        <w:pStyle w:val="Bibliography"/>
        <w:rPr>
          <w:rFonts w:ascii="Calibri" w:hAnsi="Calibri" w:cs="Calibri"/>
        </w:rPr>
      </w:pPr>
      <w:r w:rsidRPr="001D253E">
        <w:rPr>
          <w:rFonts w:ascii="Calibri" w:hAnsi="Calibri" w:cs="Calibri"/>
        </w:rPr>
        <w:t>Federal Government of Nigeria, 2021. Nigeria’s Nationally Determined Contribution – 2021 Update. Federal Government of Nigeria, Abuja.</w:t>
      </w:r>
    </w:p>
    <w:p w14:paraId="2D4A423E" w14:textId="77777777" w:rsidR="001D253E" w:rsidRPr="001D253E" w:rsidRDefault="001D253E" w:rsidP="001D253E">
      <w:pPr>
        <w:pStyle w:val="Bibliography"/>
        <w:rPr>
          <w:rFonts w:ascii="Calibri" w:hAnsi="Calibri" w:cs="Calibri"/>
        </w:rPr>
      </w:pPr>
      <w:r w:rsidRPr="001D253E">
        <w:rPr>
          <w:rFonts w:ascii="Calibri" w:hAnsi="Calibri" w:cs="Calibri"/>
        </w:rPr>
        <w:t>Federal Government of Nigeria, 2016. Sustainable energy for all action agenda. Federal Government of Nigeria.</w:t>
      </w:r>
    </w:p>
    <w:p w14:paraId="14DC0F14" w14:textId="77777777" w:rsidR="001D253E" w:rsidRPr="001D253E" w:rsidRDefault="001D253E" w:rsidP="001D253E">
      <w:pPr>
        <w:pStyle w:val="Bibliography"/>
        <w:rPr>
          <w:rFonts w:ascii="Calibri" w:hAnsi="Calibri" w:cs="Calibri"/>
        </w:rPr>
      </w:pPr>
      <w:r w:rsidRPr="001D253E">
        <w:rPr>
          <w:rFonts w:ascii="Calibri" w:hAnsi="Calibri" w:cs="Calibri"/>
        </w:rPr>
        <w:t>IRENA, 2013. West African Power Pool: Planning and Prospects for Renewable Energy. International Renewable Energy Agency.</w:t>
      </w:r>
    </w:p>
    <w:p w14:paraId="593B41D7" w14:textId="77777777" w:rsidR="001D253E" w:rsidRPr="001D253E" w:rsidRDefault="001D253E" w:rsidP="001D253E">
      <w:pPr>
        <w:pStyle w:val="Bibliography"/>
        <w:rPr>
          <w:rFonts w:ascii="Calibri" w:hAnsi="Calibri" w:cs="Calibri"/>
        </w:rPr>
      </w:pPr>
      <w:r w:rsidRPr="001D253E">
        <w:rPr>
          <w:rFonts w:ascii="Calibri" w:hAnsi="Calibri" w:cs="Calibri"/>
        </w:rPr>
        <w:t>Nigerian Electricity Regulatory Commission, 2021. Key Operational &amp; Financial Data of NESI for Jan 2019 to Sept 2021.</w:t>
      </w:r>
    </w:p>
    <w:p w14:paraId="5159AB33" w14:textId="77777777" w:rsidR="001D253E" w:rsidRPr="001D253E" w:rsidRDefault="001D253E" w:rsidP="001D253E">
      <w:pPr>
        <w:pStyle w:val="Bibliography"/>
        <w:rPr>
          <w:rFonts w:ascii="Calibri" w:hAnsi="Calibri" w:cs="Calibri"/>
        </w:rPr>
      </w:pPr>
      <w:r w:rsidRPr="001D253E">
        <w:rPr>
          <w:rFonts w:ascii="Calibri" w:hAnsi="Calibri" w:cs="Calibri"/>
        </w:rPr>
        <w:t>Nigerian Electricity Regulatory Commission, 2018. NESI Generation statistics.</w:t>
      </w:r>
    </w:p>
    <w:p w14:paraId="5DCE8D74" w14:textId="2234E45A" w:rsidR="00957F7C" w:rsidRPr="00957F7C" w:rsidRDefault="00957F7C" w:rsidP="00957F7C">
      <w:r>
        <w:fldChar w:fldCharType="end"/>
      </w:r>
    </w:p>
    <w:sectPr w:rsidR="00957F7C" w:rsidRPr="00957F7C" w:rsidSect="00AC2D5F">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02B7188"/>
    <w:multiLevelType w:val="hybridMultilevel"/>
    <w:tmpl w:val="E370E198"/>
    <w:lvl w:ilvl="0" w:tplc="04090011">
      <w:start w:val="1"/>
      <w:numFmt w:val="decimal"/>
      <w:lvlText w:val="%1)"/>
      <w:lvlJc w:val="left"/>
      <w:pPr>
        <w:ind w:left="36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 w15:restartNumberingAfterBreak="0">
    <w:nsid w:val="1AC0647F"/>
    <w:multiLevelType w:val="hybridMultilevel"/>
    <w:tmpl w:val="66BEE51C"/>
    <w:lvl w:ilvl="0" w:tplc="E39457CA">
      <w:start w:val="10"/>
      <w:numFmt w:val="bullet"/>
      <w:lvlText w:val="-"/>
      <w:lvlJc w:val="left"/>
      <w:pPr>
        <w:ind w:left="720" w:hanging="360"/>
      </w:pPr>
      <w:rPr>
        <w:rFonts w:ascii="Calibri" w:eastAsiaTheme="minorHAnsi" w:hAnsi="Calibri" w:cs="Calibri"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CF05E56"/>
    <w:multiLevelType w:val="hybridMultilevel"/>
    <w:tmpl w:val="3214B202"/>
    <w:lvl w:ilvl="0" w:tplc="E39457CA">
      <w:start w:val="1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E7816E3"/>
    <w:multiLevelType w:val="hybridMultilevel"/>
    <w:tmpl w:val="966893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3309114D"/>
    <w:multiLevelType w:val="hybridMultilevel"/>
    <w:tmpl w:val="6802AC28"/>
    <w:lvl w:ilvl="0" w:tplc="9E048860">
      <w:start w:val="1"/>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399F4781"/>
    <w:multiLevelType w:val="hybridMultilevel"/>
    <w:tmpl w:val="7EDA1560"/>
    <w:lvl w:ilvl="0" w:tplc="04090017">
      <w:start w:val="1"/>
      <w:numFmt w:val="lowerLetter"/>
      <w:lvlText w:val="%1)"/>
      <w:lvlJc w:val="left"/>
      <w:pPr>
        <w:ind w:left="36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 w15:restartNumberingAfterBreak="0">
    <w:nsid w:val="3B0A1CF5"/>
    <w:multiLevelType w:val="hybridMultilevel"/>
    <w:tmpl w:val="533A4530"/>
    <w:lvl w:ilvl="0" w:tplc="9E048860">
      <w:start w:val="1"/>
      <w:numFmt w:val="bullet"/>
      <w:lvlText w:val="-"/>
      <w:lvlJc w:val="left"/>
      <w:pPr>
        <w:ind w:left="36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D720CB5"/>
    <w:multiLevelType w:val="hybridMultilevel"/>
    <w:tmpl w:val="3BBC196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400306D0"/>
    <w:multiLevelType w:val="hybridMultilevel"/>
    <w:tmpl w:val="383E19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FE0687E"/>
    <w:multiLevelType w:val="hybridMultilevel"/>
    <w:tmpl w:val="A524E00A"/>
    <w:lvl w:ilvl="0" w:tplc="9C18DAA6">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6A5F0BC5"/>
    <w:multiLevelType w:val="hybridMultilevel"/>
    <w:tmpl w:val="4E98B702"/>
    <w:lvl w:ilvl="0" w:tplc="E39457CA">
      <w:start w:val="10"/>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6F613D8E"/>
    <w:multiLevelType w:val="hybridMultilevel"/>
    <w:tmpl w:val="CB1466AC"/>
    <w:lvl w:ilvl="0" w:tplc="04090001">
      <w:start w:val="1"/>
      <w:numFmt w:val="bullet"/>
      <w:lvlText w:val=""/>
      <w:lvlJc w:val="left"/>
      <w:pPr>
        <w:ind w:left="36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 w15:restartNumberingAfterBreak="0">
    <w:nsid w:val="79CD0071"/>
    <w:multiLevelType w:val="hybridMultilevel"/>
    <w:tmpl w:val="2EDE849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7F407D06"/>
    <w:multiLevelType w:val="hybridMultilevel"/>
    <w:tmpl w:val="BE427DFA"/>
    <w:lvl w:ilvl="0" w:tplc="1CCE8DF0">
      <w:start w:val="5"/>
      <w:numFmt w:val="bullet"/>
      <w:lvlText w:val="-"/>
      <w:lvlJc w:val="left"/>
      <w:pPr>
        <w:ind w:left="720" w:hanging="360"/>
      </w:pPr>
      <w:rPr>
        <w:rFonts w:ascii="Calibri" w:eastAsiaTheme="minorHAnsi"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57742238">
    <w:abstractNumId w:val="13"/>
  </w:num>
  <w:num w:numId="2" w16cid:durableId="304235275">
    <w:abstractNumId w:val="8"/>
  </w:num>
  <w:num w:numId="3" w16cid:durableId="527908347">
    <w:abstractNumId w:val="12"/>
  </w:num>
  <w:num w:numId="4" w16cid:durableId="1047728819">
    <w:abstractNumId w:val="3"/>
  </w:num>
  <w:num w:numId="5" w16cid:durableId="1808669969">
    <w:abstractNumId w:val="9"/>
  </w:num>
  <w:num w:numId="6" w16cid:durableId="786047486">
    <w:abstractNumId w:val="4"/>
  </w:num>
  <w:num w:numId="7" w16cid:durableId="837110339">
    <w:abstractNumId w:val="6"/>
  </w:num>
  <w:num w:numId="8" w16cid:durableId="1127972734">
    <w:abstractNumId w:val="11"/>
  </w:num>
  <w:num w:numId="9" w16cid:durableId="1455439043">
    <w:abstractNumId w:val="5"/>
  </w:num>
  <w:num w:numId="10" w16cid:durableId="889147666">
    <w:abstractNumId w:val="0"/>
  </w:num>
  <w:num w:numId="11" w16cid:durableId="1280142716">
    <w:abstractNumId w:val="2"/>
  </w:num>
  <w:num w:numId="12" w16cid:durableId="151527832">
    <w:abstractNumId w:val="10"/>
  </w:num>
  <w:num w:numId="13" w16cid:durableId="20671122">
    <w:abstractNumId w:val="7"/>
  </w:num>
  <w:num w:numId="14" w16cid:durableId="115430061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C7387"/>
    <w:rsid w:val="00037122"/>
    <w:rsid w:val="000754B9"/>
    <w:rsid w:val="000D12A3"/>
    <w:rsid w:val="000E21E1"/>
    <w:rsid w:val="0010366E"/>
    <w:rsid w:val="00136D22"/>
    <w:rsid w:val="00160318"/>
    <w:rsid w:val="00171073"/>
    <w:rsid w:val="001C14F3"/>
    <w:rsid w:val="001C21D4"/>
    <w:rsid w:val="001C3C6B"/>
    <w:rsid w:val="001D253E"/>
    <w:rsid w:val="001D2F1A"/>
    <w:rsid w:val="00263A84"/>
    <w:rsid w:val="00283A5F"/>
    <w:rsid w:val="00290206"/>
    <w:rsid w:val="002C33A7"/>
    <w:rsid w:val="00330BB0"/>
    <w:rsid w:val="00347781"/>
    <w:rsid w:val="00347AD2"/>
    <w:rsid w:val="00353584"/>
    <w:rsid w:val="004450D3"/>
    <w:rsid w:val="00452B96"/>
    <w:rsid w:val="005416E5"/>
    <w:rsid w:val="005C36D4"/>
    <w:rsid w:val="005D4F42"/>
    <w:rsid w:val="006420E4"/>
    <w:rsid w:val="006613F2"/>
    <w:rsid w:val="0067225C"/>
    <w:rsid w:val="00683E83"/>
    <w:rsid w:val="00691F1B"/>
    <w:rsid w:val="006F3FAA"/>
    <w:rsid w:val="00720F42"/>
    <w:rsid w:val="00726D0E"/>
    <w:rsid w:val="007D3C80"/>
    <w:rsid w:val="00831645"/>
    <w:rsid w:val="0084683F"/>
    <w:rsid w:val="008D4341"/>
    <w:rsid w:val="00955CFA"/>
    <w:rsid w:val="0095711E"/>
    <w:rsid w:val="00957F7C"/>
    <w:rsid w:val="00986D50"/>
    <w:rsid w:val="009B331A"/>
    <w:rsid w:val="009C1C61"/>
    <w:rsid w:val="00A3387E"/>
    <w:rsid w:val="00A6142F"/>
    <w:rsid w:val="00A9002A"/>
    <w:rsid w:val="00AB0140"/>
    <w:rsid w:val="00AC2D5F"/>
    <w:rsid w:val="00AC7387"/>
    <w:rsid w:val="00AF2B5D"/>
    <w:rsid w:val="00B30015"/>
    <w:rsid w:val="00B74B0E"/>
    <w:rsid w:val="00B763F8"/>
    <w:rsid w:val="00BD0B77"/>
    <w:rsid w:val="00C83E0B"/>
    <w:rsid w:val="00CA2668"/>
    <w:rsid w:val="00CB7A1D"/>
    <w:rsid w:val="00D00A58"/>
    <w:rsid w:val="00D122A3"/>
    <w:rsid w:val="00D244EC"/>
    <w:rsid w:val="00DC3FB7"/>
    <w:rsid w:val="00DE6E22"/>
    <w:rsid w:val="00DF1630"/>
    <w:rsid w:val="00E23609"/>
    <w:rsid w:val="00E414CC"/>
    <w:rsid w:val="00F21ADA"/>
    <w:rsid w:val="00F36063"/>
    <w:rsid w:val="00F57802"/>
    <w:rsid w:val="00F84260"/>
    <w:rsid w:val="00FE37AB"/>
    <w:rsid w:val="00FF7D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DB3008"/>
  <w15:chartTrackingRefBased/>
  <w15:docId w15:val="{632222DF-C87E-6340-8E70-F9717353CE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416E5"/>
    <w:rPr>
      <w:sz w:val="22"/>
      <w:lang w:val="en-GB"/>
    </w:rPr>
  </w:style>
  <w:style w:type="paragraph" w:styleId="Heading1">
    <w:name w:val="heading 1"/>
    <w:basedOn w:val="Normal"/>
    <w:next w:val="Normal"/>
    <w:link w:val="Heading1Char"/>
    <w:uiPriority w:val="9"/>
    <w:qFormat/>
    <w:rsid w:val="00F57802"/>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F57802"/>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F84260"/>
    <w:pPr>
      <w:keepNext/>
      <w:keepLines/>
      <w:spacing w:before="40"/>
      <w:outlineLvl w:val="2"/>
    </w:pPr>
    <w:rPr>
      <w:rFonts w:asciiTheme="majorHAnsi" w:eastAsiaTheme="majorEastAsia" w:hAnsiTheme="majorHAnsi" w:cstheme="majorBidi"/>
      <w:color w:val="1F3763" w:themeColor="accent1" w:themeShade="7F"/>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91F1B"/>
    <w:pPr>
      <w:ind w:left="720"/>
      <w:contextualSpacing/>
    </w:pPr>
  </w:style>
  <w:style w:type="paragraph" w:styleId="Title">
    <w:name w:val="Title"/>
    <w:basedOn w:val="Normal"/>
    <w:next w:val="Normal"/>
    <w:link w:val="TitleChar"/>
    <w:uiPriority w:val="10"/>
    <w:qFormat/>
    <w:rsid w:val="00F57802"/>
    <w:pPr>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57802"/>
    <w:rPr>
      <w:rFonts w:asciiTheme="majorHAnsi" w:eastAsiaTheme="majorEastAsia" w:hAnsiTheme="majorHAnsi" w:cstheme="majorBidi"/>
      <w:spacing w:val="-10"/>
      <w:kern w:val="28"/>
      <w:sz w:val="56"/>
      <w:szCs w:val="56"/>
      <w:lang w:val="en-GB"/>
    </w:rPr>
  </w:style>
  <w:style w:type="character" w:customStyle="1" w:styleId="Heading1Char">
    <w:name w:val="Heading 1 Char"/>
    <w:basedOn w:val="DefaultParagraphFont"/>
    <w:link w:val="Heading1"/>
    <w:uiPriority w:val="9"/>
    <w:rsid w:val="00F57802"/>
    <w:rPr>
      <w:rFonts w:asciiTheme="majorHAnsi" w:eastAsiaTheme="majorEastAsia" w:hAnsiTheme="majorHAnsi" w:cstheme="majorBidi"/>
      <w:color w:val="2F5496" w:themeColor="accent1" w:themeShade="BF"/>
      <w:sz w:val="32"/>
      <w:szCs w:val="32"/>
      <w:lang w:val="en-GB"/>
    </w:rPr>
  </w:style>
  <w:style w:type="character" w:customStyle="1" w:styleId="Heading2Char">
    <w:name w:val="Heading 2 Char"/>
    <w:basedOn w:val="DefaultParagraphFont"/>
    <w:link w:val="Heading2"/>
    <w:uiPriority w:val="9"/>
    <w:rsid w:val="00F57802"/>
    <w:rPr>
      <w:rFonts w:asciiTheme="majorHAnsi" w:eastAsiaTheme="majorEastAsia" w:hAnsiTheme="majorHAnsi" w:cstheme="majorBidi"/>
      <w:color w:val="2F5496" w:themeColor="accent1" w:themeShade="BF"/>
      <w:sz w:val="26"/>
      <w:szCs w:val="26"/>
      <w:lang w:val="en-GB"/>
    </w:rPr>
  </w:style>
  <w:style w:type="character" w:styleId="CommentReference">
    <w:name w:val="annotation reference"/>
    <w:basedOn w:val="DefaultParagraphFont"/>
    <w:uiPriority w:val="99"/>
    <w:semiHidden/>
    <w:unhideWhenUsed/>
    <w:rsid w:val="00683E83"/>
    <w:rPr>
      <w:sz w:val="16"/>
      <w:szCs w:val="16"/>
    </w:rPr>
  </w:style>
  <w:style w:type="paragraph" w:styleId="CommentText">
    <w:name w:val="annotation text"/>
    <w:basedOn w:val="Normal"/>
    <w:link w:val="CommentTextChar"/>
    <w:uiPriority w:val="99"/>
    <w:semiHidden/>
    <w:unhideWhenUsed/>
    <w:rsid w:val="00683E83"/>
    <w:rPr>
      <w:sz w:val="20"/>
      <w:szCs w:val="20"/>
    </w:rPr>
  </w:style>
  <w:style w:type="character" w:customStyle="1" w:styleId="CommentTextChar">
    <w:name w:val="Comment Text Char"/>
    <w:basedOn w:val="DefaultParagraphFont"/>
    <w:link w:val="CommentText"/>
    <w:uiPriority w:val="99"/>
    <w:semiHidden/>
    <w:rsid w:val="00683E83"/>
    <w:rPr>
      <w:sz w:val="20"/>
      <w:szCs w:val="20"/>
      <w:lang w:val="en-GB"/>
    </w:rPr>
  </w:style>
  <w:style w:type="paragraph" w:styleId="CommentSubject">
    <w:name w:val="annotation subject"/>
    <w:basedOn w:val="CommentText"/>
    <w:next w:val="CommentText"/>
    <w:link w:val="CommentSubjectChar"/>
    <w:uiPriority w:val="99"/>
    <w:semiHidden/>
    <w:unhideWhenUsed/>
    <w:rsid w:val="00683E83"/>
    <w:rPr>
      <w:b/>
      <w:bCs/>
    </w:rPr>
  </w:style>
  <w:style w:type="character" w:customStyle="1" w:styleId="CommentSubjectChar">
    <w:name w:val="Comment Subject Char"/>
    <w:basedOn w:val="CommentTextChar"/>
    <w:link w:val="CommentSubject"/>
    <w:uiPriority w:val="99"/>
    <w:semiHidden/>
    <w:rsid w:val="00683E83"/>
    <w:rPr>
      <w:b/>
      <w:bCs/>
      <w:sz w:val="20"/>
      <w:szCs w:val="20"/>
      <w:lang w:val="en-GB"/>
    </w:rPr>
  </w:style>
  <w:style w:type="character" w:styleId="Hyperlink">
    <w:name w:val="Hyperlink"/>
    <w:basedOn w:val="DefaultParagraphFont"/>
    <w:uiPriority w:val="99"/>
    <w:unhideWhenUsed/>
    <w:rsid w:val="00A9002A"/>
    <w:rPr>
      <w:color w:val="0563C1" w:themeColor="hyperlink"/>
      <w:u w:val="single"/>
    </w:rPr>
  </w:style>
  <w:style w:type="character" w:styleId="UnresolvedMention">
    <w:name w:val="Unresolved Mention"/>
    <w:basedOn w:val="DefaultParagraphFont"/>
    <w:uiPriority w:val="99"/>
    <w:semiHidden/>
    <w:unhideWhenUsed/>
    <w:rsid w:val="00A9002A"/>
    <w:rPr>
      <w:color w:val="605E5C"/>
      <w:shd w:val="clear" w:color="auto" w:fill="E1DFDD"/>
    </w:rPr>
  </w:style>
  <w:style w:type="paragraph" w:styleId="Caption">
    <w:name w:val="caption"/>
    <w:basedOn w:val="Normal"/>
    <w:next w:val="Normal"/>
    <w:uiPriority w:val="35"/>
    <w:unhideWhenUsed/>
    <w:qFormat/>
    <w:rsid w:val="002C33A7"/>
    <w:pPr>
      <w:spacing w:after="200"/>
    </w:pPr>
    <w:rPr>
      <w:i/>
      <w:iCs/>
      <w:color w:val="44546A" w:themeColor="text2"/>
      <w:sz w:val="18"/>
      <w:szCs w:val="18"/>
    </w:rPr>
  </w:style>
  <w:style w:type="table" w:styleId="GridTable3-Accent5">
    <w:name w:val="Grid Table 3 Accent 5"/>
    <w:basedOn w:val="TableNormal"/>
    <w:uiPriority w:val="48"/>
    <w:rsid w:val="00452B96"/>
    <w:tblPr>
      <w:tblStyleRowBandSize w:val="1"/>
      <w:tblStyleColBandSize w:val="1"/>
      <w:tblInd w:w="0" w:type="nil"/>
      <w:tblBorders>
        <w:top w:val="single" w:sz="4" w:space="0" w:color="9CC2E5" w:themeColor="accent5" w:themeTint="99"/>
        <w:left w:val="single" w:sz="4" w:space="0" w:color="9CC2E5" w:themeColor="accent5" w:themeTint="99"/>
        <w:bottom w:val="single" w:sz="4" w:space="0" w:color="9CC2E5" w:themeColor="accent5" w:themeTint="99"/>
        <w:right w:val="single" w:sz="4" w:space="0" w:color="9CC2E5" w:themeColor="accent5" w:themeTint="99"/>
        <w:insideH w:val="single" w:sz="4" w:space="0" w:color="9CC2E5" w:themeColor="accent5" w:themeTint="99"/>
        <w:insideV w:val="single" w:sz="4" w:space="0" w:color="9CC2E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AF6" w:themeFill="accent5" w:themeFillTint="33"/>
      </w:tcPr>
    </w:tblStylePr>
    <w:tblStylePr w:type="band1Horz">
      <w:tblPr/>
      <w:tcPr>
        <w:shd w:val="clear" w:color="auto" w:fill="DEEAF6" w:themeFill="accent5" w:themeFillTint="33"/>
      </w:tcPr>
    </w:tblStylePr>
    <w:tblStylePr w:type="neCell">
      <w:tblPr/>
      <w:tcPr>
        <w:tcBorders>
          <w:bottom w:val="single" w:sz="4" w:space="0" w:color="9CC2E5" w:themeColor="accent5" w:themeTint="99"/>
        </w:tcBorders>
      </w:tcPr>
    </w:tblStylePr>
    <w:tblStylePr w:type="nwCell">
      <w:tblPr/>
      <w:tcPr>
        <w:tcBorders>
          <w:bottom w:val="single" w:sz="4" w:space="0" w:color="9CC2E5" w:themeColor="accent5" w:themeTint="99"/>
        </w:tcBorders>
      </w:tcPr>
    </w:tblStylePr>
    <w:tblStylePr w:type="seCell">
      <w:tblPr/>
      <w:tcPr>
        <w:tcBorders>
          <w:top w:val="single" w:sz="4" w:space="0" w:color="9CC2E5" w:themeColor="accent5" w:themeTint="99"/>
        </w:tcBorders>
      </w:tcPr>
    </w:tblStylePr>
    <w:tblStylePr w:type="swCell">
      <w:tblPr/>
      <w:tcPr>
        <w:tcBorders>
          <w:top w:val="single" w:sz="4" w:space="0" w:color="9CC2E5" w:themeColor="accent5" w:themeTint="99"/>
        </w:tcBorders>
      </w:tcPr>
    </w:tblStylePr>
  </w:style>
  <w:style w:type="paragraph" w:styleId="NormalWeb">
    <w:name w:val="Normal (Web)"/>
    <w:basedOn w:val="Normal"/>
    <w:uiPriority w:val="99"/>
    <w:unhideWhenUsed/>
    <w:rsid w:val="00263A84"/>
    <w:pPr>
      <w:spacing w:before="100" w:beforeAutospacing="1" w:after="100" w:afterAutospacing="1"/>
    </w:pPr>
    <w:rPr>
      <w:rFonts w:ascii="Times New Roman" w:eastAsia="Times New Roman" w:hAnsi="Times New Roman" w:cs="Times New Roman"/>
      <w:sz w:val="24"/>
      <w:lang w:eastAsia="en-GB"/>
    </w:rPr>
  </w:style>
  <w:style w:type="character" w:customStyle="1" w:styleId="Heading3Char">
    <w:name w:val="Heading 3 Char"/>
    <w:basedOn w:val="DefaultParagraphFont"/>
    <w:link w:val="Heading3"/>
    <w:uiPriority w:val="9"/>
    <w:rsid w:val="00F84260"/>
    <w:rPr>
      <w:rFonts w:asciiTheme="majorHAnsi" w:eastAsiaTheme="majorEastAsia" w:hAnsiTheme="majorHAnsi" w:cstheme="majorBidi"/>
      <w:color w:val="1F3763" w:themeColor="accent1" w:themeShade="7F"/>
      <w:lang w:val="en-GB"/>
    </w:rPr>
  </w:style>
  <w:style w:type="table" w:styleId="ListTable4-Accent1">
    <w:name w:val="List Table 4 Accent 1"/>
    <w:basedOn w:val="TableNormal"/>
    <w:uiPriority w:val="49"/>
    <w:rsid w:val="00DC3FB7"/>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tblBorders>
    </w:tblPr>
    <w:tblStylePr w:type="firstRow">
      <w:rPr>
        <w:b/>
        <w:bCs/>
        <w:color w:val="FFFFFF" w:themeColor="background1"/>
      </w:rPr>
      <w:tblPr/>
      <w:tcPr>
        <w:tcBorders>
          <w:top w:val="single" w:sz="4" w:space="0" w:color="4472C4" w:themeColor="accent1"/>
          <w:left w:val="single" w:sz="4" w:space="0" w:color="4472C4" w:themeColor="accent1"/>
          <w:bottom w:val="single" w:sz="4" w:space="0" w:color="4472C4" w:themeColor="accent1"/>
          <w:right w:val="single" w:sz="4" w:space="0" w:color="4472C4" w:themeColor="accent1"/>
          <w:insideH w:val="nil"/>
        </w:tcBorders>
        <w:shd w:val="clear" w:color="auto" w:fill="4472C4" w:themeFill="accent1"/>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table" w:styleId="GridTable6Colorful-Accent1">
    <w:name w:val="Grid Table 6 Colorful Accent 1"/>
    <w:basedOn w:val="TableNormal"/>
    <w:uiPriority w:val="51"/>
    <w:rsid w:val="00DC3FB7"/>
    <w:rPr>
      <w:color w:val="2F5496" w:themeColor="accent1" w:themeShade="BF"/>
    </w:rPr>
    <w:tblPr>
      <w:tblStyleRowBandSize w:val="1"/>
      <w:tblStyleColBandSize w:val="1"/>
      <w:tblBorders>
        <w:top w:val="single" w:sz="4" w:space="0" w:color="8EAADB" w:themeColor="accent1" w:themeTint="99"/>
        <w:left w:val="single" w:sz="4" w:space="0" w:color="8EAADB" w:themeColor="accent1" w:themeTint="99"/>
        <w:bottom w:val="single" w:sz="4" w:space="0" w:color="8EAADB" w:themeColor="accent1" w:themeTint="99"/>
        <w:right w:val="single" w:sz="4" w:space="0" w:color="8EAADB" w:themeColor="accent1" w:themeTint="99"/>
        <w:insideH w:val="single" w:sz="4" w:space="0" w:color="8EAADB" w:themeColor="accent1" w:themeTint="99"/>
        <w:insideV w:val="single" w:sz="4" w:space="0" w:color="8EAADB" w:themeColor="accent1" w:themeTint="99"/>
      </w:tblBorders>
    </w:tblPr>
    <w:tblStylePr w:type="firstRow">
      <w:rPr>
        <w:b/>
        <w:bCs/>
      </w:rPr>
      <w:tblPr/>
      <w:tcPr>
        <w:tcBorders>
          <w:bottom w:val="single" w:sz="12" w:space="0" w:color="8EAADB" w:themeColor="accent1" w:themeTint="99"/>
        </w:tcBorders>
      </w:tcPr>
    </w:tblStylePr>
    <w:tblStylePr w:type="lastRow">
      <w:rPr>
        <w:b/>
        <w:bCs/>
      </w:rPr>
      <w:tblPr/>
      <w:tcPr>
        <w:tcBorders>
          <w:top w:val="double" w:sz="4" w:space="0" w:color="8EAADB" w:themeColor="accent1" w:themeTint="99"/>
        </w:tcBorders>
      </w:tcPr>
    </w:tblStylePr>
    <w:tblStylePr w:type="firstCol">
      <w:rPr>
        <w:b/>
        <w:bCs/>
      </w:rPr>
    </w:tblStylePr>
    <w:tblStylePr w:type="lastCol">
      <w:rPr>
        <w:b/>
        <w:bCs/>
      </w:rPr>
    </w:tblStylePr>
    <w:tblStylePr w:type="band1Vert">
      <w:tblPr/>
      <w:tcPr>
        <w:shd w:val="clear" w:color="auto" w:fill="D9E2F3" w:themeFill="accent1" w:themeFillTint="33"/>
      </w:tcPr>
    </w:tblStylePr>
    <w:tblStylePr w:type="band1Horz">
      <w:tblPr/>
      <w:tcPr>
        <w:shd w:val="clear" w:color="auto" w:fill="D9E2F3" w:themeFill="accent1" w:themeFillTint="33"/>
      </w:tcPr>
    </w:tblStylePr>
  </w:style>
  <w:style w:type="paragraph" w:styleId="Bibliography">
    <w:name w:val="Bibliography"/>
    <w:basedOn w:val="Normal"/>
    <w:next w:val="Normal"/>
    <w:uiPriority w:val="37"/>
    <w:unhideWhenUsed/>
    <w:rsid w:val="00957F7C"/>
    <w:pPr>
      <w:ind w:left="720" w:hanging="7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7219379">
      <w:bodyDiv w:val="1"/>
      <w:marLeft w:val="0"/>
      <w:marRight w:val="0"/>
      <w:marTop w:val="0"/>
      <w:marBottom w:val="0"/>
      <w:divBdr>
        <w:top w:val="none" w:sz="0" w:space="0" w:color="auto"/>
        <w:left w:val="none" w:sz="0" w:space="0" w:color="auto"/>
        <w:bottom w:val="none" w:sz="0" w:space="0" w:color="auto"/>
        <w:right w:val="none" w:sz="0" w:space="0" w:color="auto"/>
      </w:divBdr>
    </w:div>
    <w:div w:id="675153841">
      <w:bodyDiv w:val="1"/>
      <w:marLeft w:val="0"/>
      <w:marRight w:val="0"/>
      <w:marTop w:val="0"/>
      <w:marBottom w:val="0"/>
      <w:divBdr>
        <w:top w:val="none" w:sz="0" w:space="0" w:color="auto"/>
        <w:left w:val="none" w:sz="0" w:space="0" w:color="auto"/>
        <w:bottom w:val="none" w:sz="0" w:space="0" w:color="auto"/>
        <w:right w:val="none" w:sz="0" w:space="0" w:color="auto"/>
      </w:divBdr>
    </w:div>
    <w:div w:id="1436637853">
      <w:bodyDiv w:val="1"/>
      <w:marLeft w:val="0"/>
      <w:marRight w:val="0"/>
      <w:marTop w:val="0"/>
      <w:marBottom w:val="0"/>
      <w:divBdr>
        <w:top w:val="none" w:sz="0" w:space="0" w:color="auto"/>
        <w:left w:val="none" w:sz="0" w:space="0" w:color="auto"/>
        <w:bottom w:val="none" w:sz="0" w:space="0" w:color="auto"/>
        <w:right w:val="none" w:sz="0" w:space="0" w:color="auto"/>
      </w:divBdr>
    </w:div>
    <w:div w:id="16838921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png"/><Relationship Id="rId5" Type="http://schemas.openxmlformats.org/officeDocument/2006/relationships/hyperlink" Target="mailto:sarah.golobish21@imperial.ac.uk"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1147</TotalTime>
  <Pages>4</Pages>
  <Words>3848</Words>
  <Characters>21938</Characters>
  <Application>Microsoft Office Word</Application>
  <DocSecurity>0</DocSecurity>
  <Lines>182</Lines>
  <Paragraphs>51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Golobish, Sarah</dc:creator>
  <cp:keywords/>
  <dc:description/>
  <cp:lastModifiedBy>Sarah Golobish</cp:lastModifiedBy>
  <cp:revision>40</cp:revision>
  <dcterms:created xsi:type="dcterms:W3CDTF">2022-08-31T14:13:00Z</dcterms:created>
  <dcterms:modified xsi:type="dcterms:W3CDTF">2023-03-30T01:33:00Z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zotero-version="6.0.23"&gt;&lt;session id="ogIdKyHp"/&gt;&lt;style id="http://www.zotero.org/styles/elsevier-harvard" hasBibliography="1" bibliographyStyleHasBeenSet="1"/&gt;&lt;prefs&gt;&lt;pref name="fieldType" value="Field"/&gt;&lt;/prefs&gt;&lt;/data&gt;</vt:lpwstr>
  </property>
</Properties>
</file>