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D4536" w14:textId="3D54F5A3" w:rsidR="00E74C3E" w:rsidRPr="006B0A28" w:rsidRDefault="00722C92" w:rsidP="006B0A28">
      <w:pPr>
        <w:pStyle w:val="Title"/>
      </w:pPr>
      <w:r>
        <w:t xml:space="preserve">Appendix C: </w:t>
      </w:r>
      <w:proofErr w:type="spellStart"/>
      <w:r w:rsidR="00E74C3E" w:rsidRPr="006B0A28">
        <w:t>FlexTool</w:t>
      </w:r>
      <w:proofErr w:type="spellEnd"/>
      <w:r w:rsidR="00E74C3E" w:rsidRPr="006B0A28">
        <w:t xml:space="preserve"> </w:t>
      </w:r>
      <w:r w:rsidR="00BE0F21" w:rsidRPr="006B0A28">
        <w:t>Modelling</w:t>
      </w:r>
      <w:r w:rsidR="00E74C3E" w:rsidRPr="006B0A28">
        <w:t xml:space="preserve"> </w:t>
      </w:r>
    </w:p>
    <w:p w14:paraId="714E4B1F" w14:textId="03AB7462" w:rsidR="001726D3" w:rsidRPr="001726D3" w:rsidRDefault="001726D3" w:rsidP="001726D3">
      <w:pPr>
        <w:spacing w:before="0" w:after="0"/>
        <w:rPr>
          <w:rFonts w:eastAsiaTheme="minorHAnsi"/>
          <w:i/>
          <w:iCs/>
          <w:sz w:val="21"/>
          <w:szCs w:val="22"/>
        </w:rPr>
      </w:pPr>
      <w:r>
        <w:rPr>
          <w:i/>
          <w:iCs/>
          <w:sz w:val="21"/>
          <w:szCs w:val="22"/>
        </w:rPr>
        <w:t>Sarah Golobish (</w:t>
      </w:r>
      <w:hyperlink r:id="rId5" w:history="1">
        <w:r>
          <w:rPr>
            <w:rStyle w:val="Hyperlink"/>
            <w:i/>
            <w:iCs/>
            <w:sz w:val="21"/>
            <w:szCs w:val="22"/>
          </w:rPr>
          <w:t>sarah.golobish21@imperial.ac.uk</w:t>
        </w:r>
      </w:hyperlink>
      <w:r>
        <w:rPr>
          <w:i/>
          <w:iCs/>
          <w:sz w:val="21"/>
          <w:szCs w:val="22"/>
        </w:rPr>
        <w:t>)</w:t>
      </w:r>
    </w:p>
    <w:p w14:paraId="1B87259B" w14:textId="77777777" w:rsidR="00E74C3E" w:rsidRPr="001D2F1A" w:rsidRDefault="00E74C3E" w:rsidP="00E74C3E">
      <w:pPr>
        <w:spacing w:line="240" w:lineRule="auto"/>
        <w:rPr>
          <w:color w:val="000000" w:themeColor="text1"/>
        </w:rPr>
      </w:pPr>
      <w:r w:rsidRPr="001D2F1A">
        <w:rPr>
          <w:color w:val="000000" w:themeColor="text1"/>
        </w:rPr>
        <w:t xml:space="preserve">This modelling explored pathways to meeting Nigerian electricity demand with particular focus on the role of improved power plant availability and energy efficiency to reduce reliance on diesel self-generation. The different constraints used which differentiate scenarios are outlined below. The key takeaways from the modelling are: </w:t>
      </w:r>
    </w:p>
    <w:p w14:paraId="2ABA7736" w14:textId="77777777" w:rsidR="00E74C3E" w:rsidRPr="001D2F1A" w:rsidRDefault="00E74C3E" w:rsidP="00E74C3E">
      <w:pPr>
        <w:pStyle w:val="ListParagraph"/>
        <w:numPr>
          <w:ilvl w:val="0"/>
          <w:numId w:val="1"/>
        </w:numPr>
        <w:rPr>
          <w:color w:val="000000" w:themeColor="text1"/>
        </w:rPr>
      </w:pPr>
      <w:r w:rsidRPr="001D2F1A">
        <w:rPr>
          <w:color w:val="000000" w:themeColor="text1"/>
        </w:rPr>
        <w:t xml:space="preserve">Improved plant availability can dramatically reduce CO2 emissions from the power sector even under a business-as-usual scenario. However, </w:t>
      </w:r>
      <w:r>
        <w:rPr>
          <w:color w:val="000000" w:themeColor="text1"/>
        </w:rPr>
        <w:t>increasing the pace of that improvement</w:t>
      </w:r>
      <w:r w:rsidRPr="001D2F1A">
        <w:rPr>
          <w:color w:val="000000" w:themeColor="text1"/>
        </w:rPr>
        <w:t xml:space="preserve"> has a smaller impact on emissions. </w:t>
      </w:r>
    </w:p>
    <w:p w14:paraId="0CC5360D" w14:textId="77777777" w:rsidR="00E74C3E" w:rsidRPr="001D2F1A" w:rsidRDefault="00E74C3E" w:rsidP="00E74C3E">
      <w:pPr>
        <w:pStyle w:val="ListParagraph"/>
        <w:numPr>
          <w:ilvl w:val="0"/>
          <w:numId w:val="1"/>
        </w:numPr>
        <w:rPr>
          <w:color w:val="000000" w:themeColor="text1"/>
        </w:rPr>
      </w:pPr>
      <w:r w:rsidRPr="001D2F1A">
        <w:rPr>
          <w:color w:val="000000" w:themeColor="text1"/>
        </w:rPr>
        <w:t xml:space="preserve">Nigeria can meet its 2030 Unconditional NDC without significant changes to its generation mix if plant availability is improved.  Near-term investments in </w:t>
      </w:r>
      <w:r>
        <w:rPr>
          <w:color w:val="000000" w:themeColor="text1"/>
        </w:rPr>
        <w:t>energy efficiency</w:t>
      </w:r>
      <w:r w:rsidRPr="001D2F1A">
        <w:rPr>
          <w:color w:val="000000" w:themeColor="text1"/>
        </w:rPr>
        <w:t xml:space="preserve"> will help to further ensure that targets are met. </w:t>
      </w:r>
    </w:p>
    <w:p w14:paraId="1D54F1B7" w14:textId="121B6BBB" w:rsidR="00E74C3E" w:rsidRDefault="00E74C3E" w:rsidP="00E74C3E">
      <w:pPr>
        <w:pStyle w:val="ListParagraph"/>
        <w:numPr>
          <w:ilvl w:val="0"/>
          <w:numId w:val="1"/>
        </w:numPr>
        <w:rPr>
          <w:color w:val="000000" w:themeColor="text1"/>
        </w:rPr>
      </w:pPr>
      <w:r w:rsidRPr="001D2F1A">
        <w:rPr>
          <w:color w:val="000000" w:themeColor="text1"/>
        </w:rPr>
        <w:t>It is not possible to meet long-term decarbonization goals without energy efficiency and plant improvement. Runs with</w:t>
      </w:r>
      <w:r>
        <w:rPr>
          <w:color w:val="000000" w:themeColor="text1"/>
        </w:rPr>
        <w:t xml:space="preserve">out plant </w:t>
      </w:r>
      <w:r w:rsidRPr="001D2F1A">
        <w:rPr>
          <w:color w:val="000000" w:themeColor="text1"/>
        </w:rPr>
        <w:t xml:space="preserve">improvement and low efficiency investment were not able to meet demand. </w:t>
      </w:r>
    </w:p>
    <w:p w14:paraId="7501ED2D" w14:textId="435E75E9" w:rsidR="00270586" w:rsidRPr="001C52E2" w:rsidRDefault="001C52E2" w:rsidP="00A6528B">
      <w:pPr>
        <w:rPr>
          <w:color w:val="000000" w:themeColor="text1"/>
        </w:rPr>
      </w:pPr>
      <w:r>
        <w:rPr>
          <w:color w:val="000000" w:themeColor="text1"/>
        </w:rPr>
        <w:t>The FlexTool portion of this modelling was used to further evaluate</w:t>
      </w:r>
      <w:r w:rsidR="002C35D1">
        <w:rPr>
          <w:color w:val="000000" w:themeColor="text1"/>
        </w:rPr>
        <w:t xml:space="preserve"> and validate</w:t>
      </w:r>
      <w:r>
        <w:rPr>
          <w:color w:val="000000" w:themeColor="text1"/>
        </w:rPr>
        <w:t xml:space="preserve"> the OSeMOSYS results</w:t>
      </w:r>
      <w:r w:rsidR="002C7BFF">
        <w:rPr>
          <w:color w:val="000000" w:themeColor="text1"/>
        </w:rPr>
        <w:t>.</w:t>
      </w:r>
    </w:p>
    <w:p w14:paraId="1CAB346F" w14:textId="4CB7EEDB" w:rsidR="00C77AB5" w:rsidRDefault="00E74C3E" w:rsidP="00270586">
      <w:pPr>
        <w:pStyle w:val="Heading2"/>
        <w:spacing w:before="0"/>
      </w:pPr>
      <w:r>
        <w:t>Modelling Assumptions</w:t>
      </w:r>
    </w:p>
    <w:p w14:paraId="0346FEE4" w14:textId="2B21DA14" w:rsidR="00C77AB5" w:rsidRDefault="00C77AB5" w:rsidP="00270586">
      <w:pPr>
        <w:spacing w:before="0" w:line="240" w:lineRule="auto"/>
        <w:rPr>
          <w:color w:val="000000" w:themeColor="text1"/>
        </w:rPr>
      </w:pPr>
      <w:r>
        <w:t xml:space="preserve">Modelling used a single-node FlexTool model with primary inputs derived from the OSeMOSYS modelling. </w:t>
      </w:r>
      <w:r>
        <w:rPr>
          <w:color w:val="000000" w:themeColor="text1"/>
        </w:rPr>
        <w:t xml:space="preserve">As FlexTool explores the flexibility of a system over a single year, the flexibility analysis presented here focuses on model year 2040. Exploring model results in 2040 exposes the impacts of a range of different availability factors </w:t>
      </w:r>
      <w:r>
        <w:rPr>
          <w:rFonts w:ascii="Calibri" w:hAnsi="Calibri" w:cs="Calibri"/>
          <w:sz w:val="22"/>
          <w:szCs w:val="22"/>
        </w:rPr>
        <w:t xml:space="preserve">– </w:t>
      </w:r>
      <w:r>
        <w:rPr>
          <w:color w:val="000000" w:themeColor="text1"/>
        </w:rPr>
        <w:t>the runs with 2030 improvement will be at 100% while the 2050 runs will be higher than the baseline but not quite at 100%, while the BAU runs will be at baseline. Under the UNDC and CNDC constraints 2040 also represents a challenging year where demand continues to grow despite emissions caps.</w:t>
      </w:r>
    </w:p>
    <w:p w14:paraId="65E5C436" w14:textId="65EC2FB8" w:rsidR="00E74C3E" w:rsidRDefault="00E74C3E" w:rsidP="00E74C3E">
      <w:pPr>
        <w:spacing w:line="240" w:lineRule="auto"/>
      </w:pPr>
      <w:r>
        <w:t xml:space="preserve">Key inputs were </w:t>
      </w:r>
      <w:r w:rsidR="002C7BFF">
        <w:t>held constant across</w:t>
      </w:r>
      <w:r>
        <w:t xml:space="preserve"> OSeMOSYS </w:t>
      </w:r>
      <w:r w:rsidR="002C7BFF">
        <w:t xml:space="preserve">and FlexTool </w:t>
      </w:r>
      <w:r>
        <w:t xml:space="preserve">modelling: </w:t>
      </w:r>
    </w:p>
    <w:p w14:paraId="16E7154D" w14:textId="17BFAABB" w:rsidR="00E74C3E" w:rsidRPr="00270586" w:rsidRDefault="00E74C3E" w:rsidP="00E74C3E">
      <w:pPr>
        <w:pStyle w:val="ListParagraph"/>
        <w:numPr>
          <w:ilvl w:val="0"/>
          <w:numId w:val="2"/>
        </w:numPr>
        <w:rPr>
          <w:sz w:val="24"/>
          <w:szCs w:val="28"/>
        </w:rPr>
      </w:pPr>
      <w:r w:rsidRPr="00270586">
        <w:rPr>
          <w:sz w:val="24"/>
          <w:szCs w:val="28"/>
        </w:rPr>
        <w:t>Reserve margin of 15%.</w:t>
      </w:r>
    </w:p>
    <w:p w14:paraId="4ECCFB64" w14:textId="48238D0D" w:rsidR="00E74C3E" w:rsidRPr="00270586" w:rsidRDefault="00E74C3E" w:rsidP="00E74C3E">
      <w:pPr>
        <w:pStyle w:val="ListParagraph"/>
        <w:numPr>
          <w:ilvl w:val="0"/>
          <w:numId w:val="2"/>
        </w:numPr>
        <w:rPr>
          <w:sz w:val="24"/>
          <w:szCs w:val="28"/>
        </w:rPr>
      </w:pPr>
      <w:r w:rsidRPr="00270586">
        <w:rPr>
          <w:sz w:val="24"/>
          <w:szCs w:val="28"/>
        </w:rPr>
        <w:t xml:space="preserve">Costs of technologies (both CAPEX and OPEX). </w:t>
      </w:r>
    </w:p>
    <w:p w14:paraId="3094D4E4" w14:textId="5AD1957C" w:rsidR="00E74C3E" w:rsidRPr="00270586" w:rsidRDefault="00270586" w:rsidP="00E74C3E">
      <w:pPr>
        <w:pStyle w:val="ListParagraph"/>
        <w:numPr>
          <w:ilvl w:val="0"/>
          <w:numId w:val="2"/>
        </w:numPr>
        <w:rPr>
          <w:sz w:val="24"/>
          <w:szCs w:val="28"/>
        </w:rPr>
      </w:pPr>
      <w:r w:rsidRPr="00270586">
        <w:rPr>
          <w:sz w:val="24"/>
          <w:szCs w:val="28"/>
        </w:rPr>
        <w:t>Efficiencies</w:t>
      </w:r>
      <w:r w:rsidR="00E74C3E" w:rsidRPr="00270586">
        <w:rPr>
          <w:sz w:val="24"/>
          <w:szCs w:val="28"/>
        </w:rPr>
        <w:t xml:space="preserve"> of technologies. </w:t>
      </w:r>
      <w:r w:rsidR="00E74C3E" w:rsidRPr="00270586">
        <w:rPr>
          <w:sz w:val="24"/>
          <w:szCs w:val="28"/>
        </w:rPr>
        <w:tab/>
      </w:r>
    </w:p>
    <w:p w14:paraId="5D6FA2E3" w14:textId="3CAC9415" w:rsidR="00E74C3E" w:rsidRPr="00270586" w:rsidRDefault="00E74C3E" w:rsidP="00E74C3E">
      <w:pPr>
        <w:pStyle w:val="ListParagraph"/>
        <w:numPr>
          <w:ilvl w:val="0"/>
          <w:numId w:val="2"/>
        </w:numPr>
        <w:rPr>
          <w:sz w:val="24"/>
          <w:szCs w:val="28"/>
        </w:rPr>
      </w:pPr>
      <w:r w:rsidRPr="00270586">
        <w:rPr>
          <w:sz w:val="24"/>
          <w:szCs w:val="28"/>
        </w:rPr>
        <w:t xml:space="preserve">Demand in scenarios without energy efficiency. </w:t>
      </w:r>
    </w:p>
    <w:p w14:paraId="43B9B635" w14:textId="6A1F23DD" w:rsidR="00E74C3E" w:rsidRPr="00270586" w:rsidRDefault="002C7BFF" w:rsidP="00E74C3E">
      <w:pPr>
        <w:rPr>
          <w:i/>
          <w:iCs/>
        </w:rPr>
      </w:pPr>
      <w:r w:rsidRPr="00270586">
        <w:rPr>
          <w:i/>
          <w:iCs/>
        </w:rPr>
        <w:t>S</w:t>
      </w:r>
      <w:r w:rsidR="00E74C3E" w:rsidRPr="00270586">
        <w:rPr>
          <w:i/>
          <w:iCs/>
        </w:rPr>
        <w:t xml:space="preserve">ee the OSeMOSYS data note for </w:t>
      </w:r>
      <w:r w:rsidRPr="00270586">
        <w:rPr>
          <w:i/>
          <w:iCs/>
        </w:rPr>
        <w:t xml:space="preserve">additional rationale behind the choice of these metrics. </w:t>
      </w:r>
    </w:p>
    <w:p w14:paraId="225F0227" w14:textId="23B5EBD2" w:rsidR="00E74C3E" w:rsidRDefault="00E74C3E" w:rsidP="006961B9">
      <w:pPr>
        <w:spacing w:line="240" w:lineRule="auto"/>
      </w:pPr>
      <w:r>
        <w:t xml:space="preserve">As the FlexTool </w:t>
      </w:r>
      <w:r w:rsidR="006961B9">
        <w:t>m</w:t>
      </w:r>
      <w:r>
        <w:t xml:space="preserve">odelling was run for the year 2040, results of the OSeMOSYS modelling were also used as </w:t>
      </w:r>
      <w:r w:rsidR="006961B9">
        <w:t>inputs. For the year 2040 OSeMOSYS outputs were used to support:</w:t>
      </w:r>
    </w:p>
    <w:p w14:paraId="15249542" w14:textId="5514DFD9" w:rsidR="006961B9" w:rsidRPr="00270586" w:rsidRDefault="006961B9" w:rsidP="006961B9">
      <w:pPr>
        <w:pStyle w:val="ListParagraph"/>
        <w:numPr>
          <w:ilvl w:val="0"/>
          <w:numId w:val="3"/>
        </w:numPr>
        <w:rPr>
          <w:sz w:val="24"/>
          <w:szCs w:val="28"/>
        </w:rPr>
      </w:pPr>
      <w:r w:rsidRPr="00270586">
        <w:rPr>
          <w:sz w:val="24"/>
          <w:szCs w:val="28"/>
        </w:rPr>
        <w:t xml:space="preserve">Demand in scenarios where investment in energy efficiency was </w:t>
      </w:r>
      <w:r w:rsidR="00C77AB5" w:rsidRPr="00270586">
        <w:rPr>
          <w:sz w:val="24"/>
          <w:szCs w:val="28"/>
        </w:rPr>
        <w:t>enabled</w:t>
      </w:r>
      <w:r w:rsidRPr="00270586">
        <w:rPr>
          <w:sz w:val="24"/>
          <w:szCs w:val="28"/>
        </w:rPr>
        <w:t xml:space="preserve"> (least cost, unconditional NDC, conditional NDC).</w:t>
      </w:r>
    </w:p>
    <w:p w14:paraId="1CDC5ED4" w14:textId="36D15256" w:rsidR="00C77AB5" w:rsidRPr="00270586" w:rsidRDefault="00BA17A8" w:rsidP="006961B9">
      <w:pPr>
        <w:pStyle w:val="ListParagraph"/>
        <w:numPr>
          <w:ilvl w:val="0"/>
          <w:numId w:val="3"/>
        </w:numPr>
        <w:rPr>
          <w:sz w:val="24"/>
          <w:szCs w:val="28"/>
        </w:rPr>
      </w:pPr>
      <w:r w:rsidRPr="00270586">
        <w:rPr>
          <w:sz w:val="24"/>
          <w:szCs w:val="28"/>
        </w:rPr>
        <w:t>Installed</w:t>
      </w:r>
      <w:r w:rsidR="00C77AB5" w:rsidRPr="00270586">
        <w:rPr>
          <w:sz w:val="24"/>
          <w:szCs w:val="28"/>
        </w:rPr>
        <w:t xml:space="preserve"> capacity of each on-grid technology in 2040.</w:t>
      </w:r>
    </w:p>
    <w:p w14:paraId="32C78F7A" w14:textId="5304788A" w:rsidR="00C77AB5" w:rsidRDefault="00E74C3E" w:rsidP="00E74C3E">
      <w:pPr>
        <w:spacing w:line="240" w:lineRule="auto"/>
      </w:pPr>
      <w:r>
        <w:t xml:space="preserve">Only the available capacity for each model run was added to FlexTool and diesel capacity was not included as FlexTool focuses on-grid generation and diesel capacity is assumed to be used for backup generation. </w:t>
      </w:r>
      <w:r w:rsidR="00C77AB5">
        <w:t xml:space="preserve">These choices aim to focus the flexibility modelling on </w:t>
      </w:r>
    </w:p>
    <w:p w14:paraId="79D00AA1" w14:textId="6ADDB04A" w:rsidR="00C77AB5" w:rsidRDefault="00C77AB5" w:rsidP="00E74C3E">
      <w:pPr>
        <w:spacing w:line="240" w:lineRule="auto"/>
        <w:rPr>
          <w:color w:val="000000" w:themeColor="text1"/>
        </w:rPr>
      </w:pPr>
      <w:r>
        <w:t xml:space="preserve">FlexTool requires additional capacity </w:t>
      </w:r>
      <w:r w:rsidR="00270586">
        <w:t>factors</w:t>
      </w:r>
      <w:r>
        <w:t xml:space="preserve"> and load profiles which were </w:t>
      </w:r>
      <w:r>
        <w:rPr>
          <w:color w:val="000000" w:themeColor="text1"/>
        </w:rPr>
        <w:t xml:space="preserve">PLEXOS-World 2015 dataset </w:t>
      </w:r>
      <w:r>
        <w:rPr>
          <w:color w:val="000000" w:themeColor="text1"/>
        </w:rPr>
        <w:fldChar w:fldCharType="begin"/>
      </w:r>
      <w:r w:rsidR="001C458E">
        <w:rPr>
          <w:color w:val="000000" w:themeColor="text1"/>
        </w:rPr>
        <w:instrText xml:space="preserve"> ADDIN ZOTERO_ITEM CSL_CITATION {"citationID":"Nj6lIPge","properties":{"formattedCitation":"(Brinkerink and Deane, 2020)","plainCitation":"(Brinkerink and Deane, 2020)","noteIndex":0},"citationItems":[{"id":71,"uris":["http://zotero.org/users/9856772/items/BB6MRPHX"],"itemData":{"id":71,"type":"document","abstract":"This dataset includes the model data of a calibrated version of PLEXOS-World based on the 2015 calendar year. It furthermore includes supplementary material to the journal article titled 'Building and Calibrating a Country-Level Detailed Global Electricity Model Based on Public Data' that describes the model development and calibration process. The detailed global electricity model is capable of simulating the dispatch of over 30,000 existing power plants spread out over 164 countries and 258 regions, all using public data. The data includes the full model in PLEXOS format and in raw data format including all its input data to be able to recreate the model in a range of other modelling tools. Next to the power plant portfolio, the openly available input data consists of among others hourly demand profiles for all globally modeled countries, plant specific capacity factor profiles for renewables and a full global set of existing cross-border transmission capacities between countries and regions. Use of the data/model is upon citation of the journal paper and dataset following the underneath CC license without further restrictions. _____________________________________________________________________________________ PLEXOS-World 2015 by Maarten Brinkerink and Paul Deane is licensed under a Creative Commons Attribution 4.0 International License.Based on a work at https://doi.org/10.1016/j.esr.2020.100592.","note":"type: dataset\nDOI: 10.7910/DVN/CBYXBY","publisher":"Harvard Dataverse","source":"DOI.org (Datacite)","title":"PLEXOS-World 2015","URL":"https://dataverse.harvard.edu/citation?persistentId=doi:10.7910/DVN/CBYXBY","author":[{"family":"Brinkerink","given":"Maarten"},{"family":"Deane","given":"Paul"}],"contributor":[{"family":"Brinkerink","given":"Maarten"}],"accessed":{"date-parts":[["2022",9,1]]},"issued":{"date-parts":[["2020"]]}}}],"schema":"https://github.com/citation-style-language/schema/raw/master/csl-citation.json"} </w:instrText>
      </w:r>
      <w:r>
        <w:rPr>
          <w:color w:val="000000" w:themeColor="text1"/>
        </w:rPr>
        <w:fldChar w:fldCharType="separate"/>
      </w:r>
      <w:r w:rsidR="00CF171F" w:rsidRPr="00CF171F">
        <w:rPr>
          <w:rFonts w:ascii="Calibri" w:hAnsi="Calibri" w:cs="Calibri"/>
        </w:rPr>
        <w:t>(Brinkerink and Deane, 2020)</w:t>
      </w:r>
      <w:r>
        <w:rPr>
          <w:color w:val="000000" w:themeColor="text1"/>
        </w:rPr>
        <w:fldChar w:fldCharType="end"/>
      </w:r>
      <w:r>
        <w:rPr>
          <w:color w:val="000000" w:themeColor="text1"/>
        </w:rPr>
        <w:t xml:space="preserve">. </w:t>
      </w:r>
    </w:p>
    <w:p w14:paraId="489ABF06" w14:textId="77777777" w:rsidR="00C77AB5" w:rsidRDefault="00C77AB5" w:rsidP="00E74C3E">
      <w:pPr>
        <w:spacing w:line="240" w:lineRule="auto"/>
      </w:pPr>
    </w:p>
    <w:p w14:paraId="2D8801C1" w14:textId="77777777" w:rsidR="00C77AB5" w:rsidRDefault="00C77AB5" w:rsidP="00E74C3E">
      <w:pPr>
        <w:spacing w:line="240" w:lineRule="auto"/>
      </w:pPr>
    </w:p>
    <w:p w14:paraId="59C11D1E" w14:textId="470192D3" w:rsidR="000C435B" w:rsidRDefault="00E74C3E" w:rsidP="00E74C3E">
      <w:pPr>
        <w:spacing w:line="240" w:lineRule="auto"/>
        <w:rPr>
          <w:color w:val="000000" w:themeColor="text1"/>
        </w:rPr>
      </w:pPr>
      <w:r>
        <w:rPr>
          <w:color w:val="000000" w:themeColor="text1"/>
        </w:rPr>
        <w:t xml:space="preserve">The value of lost load used was $10,000 USD per MWh which is consistent with the value used by </w:t>
      </w:r>
      <w:proofErr w:type="spellStart"/>
      <w:r>
        <w:rPr>
          <w:color w:val="000000" w:themeColor="text1"/>
        </w:rPr>
        <w:t>Daggash</w:t>
      </w:r>
      <w:proofErr w:type="spellEnd"/>
      <w:r>
        <w:rPr>
          <w:color w:val="000000" w:themeColor="text1"/>
        </w:rPr>
        <w:t xml:space="preserve"> and Mac Dowell </w:t>
      </w:r>
      <w:r>
        <w:rPr>
          <w:color w:val="000000" w:themeColor="text1"/>
        </w:rPr>
        <w:fldChar w:fldCharType="begin"/>
      </w:r>
      <w:r w:rsidR="001C458E">
        <w:rPr>
          <w:color w:val="000000" w:themeColor="text1"/>
        </w:rPr>
        <w:instrText xml:space="preserve"> ADDIN ZOTERO_ITEM CSL_CITATION {"citationID":"SFRuaWC2","properties":{"formattedCitation":"(2021)","plainCitation":"(2021)","noteIndex":0},"citationItems":[{"id":109,"uris":["http://zotero.org/users/9856772/items/DPVMQ68C"],"itemData":{"id":109,"type":"article-journal","abstract":"Renewable energy alone is unable to deliver universal energy access and the Paris Agreement cheaply in sub-Saharan Africa. Both fossil fuels and renewables are needed to ensure energy equity and affordability alongside climate change mitigation.\n          , \n            Sub-Saharan Africa (SSA) faces many challenges: two-thirds of the world's extreme poor population; a shrinking economy because of commodity price declines and the COVID-19 pandemic; widespread energy poverty; and climate variability that is disrupting agrarian livelihoods and stirring conflict over natural resources. Climate change threatens to exacerbate these through further disruption of the physical environment, and a transition away from the fossil fuels on which many of the region's economies depend. Through their nationally determined contributions (NDC) to the Paris Agreement, all SSA countries committed to the increased utilisation of intermittent renewable energy sources (IRES) to tackle the twin challenges of energy poverty—which limits economic development—and climate change. There is a dearth of analysis on the nature of sustainable energy transition(s) necessary to deliver these NDCs, especially given the limited financial and technical resources of SSA. Using Nigeria as a case study, this study seeks to address this gap by determining the power system transitions required to deliver NDCs alongside universal energy access in SSA by 2050; their financial and policy implications; and the barriers and opportunities that they present to sustainable development efforts. We find that Nigeria can deliver its NDCs with no added cost implications, thereby debunking the prevalent view that climate change mitigation is too costly to pursue in SSA. Furthermore, we find that the higher availability and dispatchability of fossil fuel generation makes it critical for the rapid scale-up of energy supply; thus, entirely leapfrogging carbon-intensive development will prove costly to SSA. Finally, owing to the limited cost reductions that IRES have experienced in SSA, delivering NDCs through the deployment of decentralised IRES systems proves more expensive than using conventional generation. The distributed nature of IRES however means that they can democratise energy investment and job creation, thus facilitating the equitable sharing of economic resources which is crucial to conflict prevention in the fragile socio-political landscapes that pervade the region.","container-title":"Energy &amp; Environmental Science","DOI":"10.1039/D1EE00746G","ISSN":"1754-5692, 1754-5706","issue":"7","journalAbbreviation":"Energy Environ. Sci.","language":"en","page":"4018-4037","source":"DOI.org (Crossref)","title":"Delivering low-carbon electricity systems in sub-Saharan Africa: insights from Nigeria","title-short":"Delivering low-carbon electricity systems in sub-Saharan Africa","volume":"14","author":[{"family":"Daggash","given":"Habiba Ahut"},{"family":"Mac Dowell","given":"Niall"}],"issued":{"date-parts":[["2021"]]}},"label":"page","suppress-author":true}],"schema":"https://github.com/citation-style-language/schema/raw/master/csl-citation.json"} </w:instrText>
      </w:r>
      <w:r>
        <w:rPr>
          <w:color w:val="000000" w:themeColor="text1"/>
        </w:rPr>
        <w:fldChar w:fldCharType="separate"/>
      </w:r>
      <w:r w:rsidR="00CF171F" w:rsidRPr="00CF171F">
        <w:rPr>
          <w:rFonts w:ascii="Calibri" w:hAnsi="Calibri" w:cs="Calibri"/>
        </w:rPr>
        <w:t>(2021)</w:t>
      </w:r>
      <w:r>
        <w:rPr>
          <w:color w:val="000000" w:themeColor="text1"/>
        </w:rPr>
        <w:fldChar w:fldCharType="end"/>
      </w:r>
      <w:r>
        <w:rPr>
          <w:color w:val="000000" w:themeColor="text1"/>
        </w:rPr>
        <w:t xml:space="preserve"> and typical values used in </w:t>
      </w:r>
      <w:proofErr w:type="spellStart"/>
      <w:r>
        <w:rPr>
          <w:color w:val="000000" w:themeColor="text1"/>
        </w:rPr>
        <w:t>FlexTool</w:t>
      </w:r>
      <w:proofErr w:type="spellEnd"/>
      <w:r>
        <w:rPr>
          <w:color w:val="000000" w:themeColor="text1"/>
        </w:rPr>
        <w:t xml:space="preserve"> </w:t>
      </w:r>
      <w:r>
        <w:rPr>
          <w:color w:val="000000" w:themeColor="text1"/>
        </w:rPr>
        <w:fldChar w:fldCharType="begin"/>
      </w:r>
      <w:r w:rsidR="001C458E">
        <w:rPr>
          <w:color w:val="000000" w:themeColor="text1"/>
        </w:rPr>
        <w:instrText xml:space="preserve"> ADDIN ZOTERO_ITEM CSL_CITATION {"citationID":"TF7TCuKL","properties":{"formattedCitation":"(Taibi et al., 2018)","plainCitation":"(Taibi et al., 2018)","noteIndex":0},"citationItems":[{"id":62,"uris":["http://zotero.org/users/9856772/items/CHK2V77V"],"itemData":{"id":62,"type":"book","abstract":"The report aims to explain the methodology behind the FlexTool. Section 2 presents an overview of the existing approaches for flexibility assessment, and of the value added of the FlexTool. Sections 3 and 4 give a high-level overview of the IRENA FlexTool and its different uses. In Sections 5 to 7 the methodology, input data and result of the tool are presented from a technical perspective. Finally, Section 8 offers key insights obtained from the first four countries where the FlexTool was applied.","language":"English","title":"Power system flexibility for the energy transition: Part 2, IRENA FlexTool methodology","author":[{"family":"Taibi","given":"Emanuele"},{"family":"Nikolakakis","given":"Thomas"},{"family":"Gutierrez","given":"Laura"},{"family":"Fernandez","given":"Carlos"},{"family":"Kiviluoma","given":"Juha"},{"family":"Rissanen","given":"Simo"},{"family":"Lindroos","given":"Tomi J."}],"issued":{"date-parts":[["2018",11]]}},"label":"page"}],"schema":"https://github.com/citation-style-language/schema/raw/master/csl-citation.json"} </w:instrText>
      </w:r>
      <w:r>
        <w:rPr>
          <w:color w:val="000000" w:themeColor="text1"/>
        </w:rPr>
        <w:fldChar w:fldCharType="separate"/>
      </w:r>
      <w:r w:rsidR="00CF171F" w:rsidRPr="00CF171F">
        <w:rPr>
          <w:rFonts w:ascii="Calibri" w:hAnsi="Calibri" w:cs="Calibri"/>
        </w:rPr>
        <w:t>(</w:t>
      </w:r>
      <w:proofErr w:type="spellStart"/>
      <w:r w:rsidR="00CF171F" w:rsidRPr="00CF171F">
        <w:rPr>
          <w:rFonts w:ascii="Calibri" w:hAnsi="Calibri" w:cs="Calibri"/>
        </w:rPr>
        <w:t>Taibi</w:t>
      </w:r>
      <w:proofErr w:type="spellEnd"/>
      <w:r w:rsidR="00CF171F" w:rsidRPr="00CF171F">
        <w:rPr>
          <w:rFonts w:ascii="Calibri" w:hAnsi="Calibri" w:cs="Calibri"/>
        </w:rPr>
        <w:t xml:space="preserve"> et al., 2018)</w:t>
      </w:r>
      <w:r>
        <w:rPr>
          <w:color w:val="000000" w:themeColor="text1"/>
        </w:rPr>
        <w:fldChar w:fldCharType="end"/>
      </w:r>
      <w:r>
        <w:rPr>
          <w:color w:val="000000" w:themeColor="text1"/>
        </w:rPr>
        <w:t xml:space="preserve">. </w:t>
      </w:r>
    </w:p>
    <w:p w14:paraId="7AB5BFFA" w14:textId="0DEEBF74" w:rsidR="00E74C3E" w:rsidRDefault="00E74C3E" w:rsidP="00E74C3E">
      <w:pPr>
        <w:spacing w:line="240" w:lineRule="auto"/>
        <w:rPr>
          <w:color w:val="000000" w:themeColor="text1"/>
        </w:rPr>
      </w:pPr>
      <w:r>
        <w:rPr>
          <w:color w:val="000000" w:themeColor="text1"/>
        </w:rPr>
        <w:t xml:space="preserve">Ramp rates, and other key inputs are not Nigeria-specific and </w:t>
      </w:r>
      <w:r w:rsidR="000C435B">
        <w:rPr>
          <w:color w:val="000000" w:themeColor="text1"/>
        </w:rPr>
        <w:t xml:space="preserve">are listed below. </w:t>
      </w:r>
    </w:p>
    <w:p w14:paraId="58171C65" w14:textId="1FC617EF" w:rsidR="00CC3E5A" w:rsidRPr="00CC3E5A" w:rsidRDefault="00CC3E5A" w:rsidP="00CC3E5A">
      <w:pPr>
        <w:pStyle w:val="Caption"/>
        <w:keepNext/>
        <w:rPr>
          <w:sz w:val="22"/>
          <w:szCs w:val="22"/>
        </w:rPr>
      </w:pPr>
      <w:r w:rsidRPr="00CC3E5A">
        <w:rPr>
          <w:sz w:val="22"/>
          <w:szCs w:val="22"/>
        </w:rPr>
        <w:t xml:space="preserve">Table </w:t>
      </w:r>
      <w:r w:rsidRPr="00CC3E5A">
        <w:rPr>
          <w:sz w:val="22"/>
          <w:szCs w:val="22"/>
        </w:rPr>
        <w:fldChar w:fldCharType="begin"/>
      </w:r>
      <w:r w:rsidRPr="00CC3E5A">
        <w:rPr>
          <w:sz w:val="22"/>
          <w:szCs w:val="22"/>
        </w:rPr>
        <w:instrText xml:space="preserve"> SEQ Table \* ARABIC </w:instrText>
      </w:r>
      <w:r w:rsidRPr="00CC3E5A">
        <w:rPr>
          <w:sz w:val="22"/>
          <w:szCs w:val="22"/>
        </w:rPr>
        <w:fldChar w:fldCharType="separate"/>
      </w:r>
      <w:r w:rsidR="00A6528B">
        <w:rPr>
          <w:noProof/>
          <w:sz w:val="22"/>
          <w:szCs w:val="22"/>
        </w:rPr>
        <w:t>1</w:t>
      </w:r>
      <w:r w:rsidRPr="00CC3E5A">
        <w:rPr>
          <w:sz w:val="22"/>
          <w:szCs w:val="22"/>
        </w:rPr>
        <w:fldChar w:fldCharType="end"/>
      </w:r>
      <w:r w:rsidRPr="00CC3E5A">
        <w:rPr>
          <w:sz w:val="22"/>
          <w:szCs w:val="22"/>
        </w:rPr>
        <w:t>. Key flexibility input data</w:t>
      </w:r>
    </w:p>
    <w:tbl>
      <w:tblPr>
        <w:tblStyle w:val="GridTable2-Accent5"/>
        <w:tblW w:w="5000" w:type="pct"/>
        <w:jc w:val="center"/>
        <w:tblInd w:w="0" w:type="dxa"/>
        <w:tblLook w:val="04A0" w:firstRow="1" w:lastRow="0" w:firstColumn="1" w:lastColumn="0" w:noHBand="0" w:noVBand="1"/>
      </w:tblPr>
      <w:tblGrid>
        <w:gridCol w:w="3198"/>
        <w:gridCol w:w="1145"/>
        <w:gridCol w:w="867"/>
        <w:gridCol w:w="1082"/>
        <w:gridCol w:w="1358"/>
        <w:gridCol w:w="1301"/>
        <w:gridCol w:w="1515"/>
      </w:tblGrid>
      <w:tr w:rsidR="00495D25" w14:paraId="4EF27B74" w14:textId="77777777" w:rsidTr="00CC3E5A">
        <w:trPr>
          <w:cnfStyle w:val="100000000000" w:firstRow="1" w:lastRow="0" w:firstColumn="0" w:lastColumn="0" w:oddVBand="0" w:evenVBand="0" w:oddHBand="0" w:evenHBand="0" w:firstRowFirstColumn="0" w:firstRowLastColumn="0" w:lastRowFirstColumn="0" w:lastRowLastColumn="0"/>
          <w:trHeight w:val="516"/>
          <w:jc w:val="center"/>
        </w:trPr>
        <w:tc>
          <w:tcPr>
            <w:cnfStyle w:val="001000000000" w:firstRow="0" w:lastRow="0" w:firstColumn="1" w:lastColumn="0" w:oddVBand="0" w:evenVBand="0" w:oddHBand="0" w:evenHBand="0" w:firstRowFirstColumn="0" w:firstRowLastColumn="0" w:lastRowFirstColumn="0" w:lastRowLastColumn="0"/>
            <w:tcW w:w="1528" w:type="pct"/>
            <w:tcBorders>
              <w:left w:val="nil"/>
            </w:tcBorders>
            <w:noWrap/>
            <w:vAlign w:val="center"/>
            <w:hideMark/>
          </w:tcPr>
          <w:p w14:paraId="2219E664" w14:textId="77777777" w:rsidR="00495D25" w:rsidRDefault="00495D25" w:rsidP="00495D25">
            <w:pPr>
              <w:jc w:val="center"/>
            </w:pPr>
          </w:p>
        </w:tc>
        <w:tc>
          <w:tcPr>
            <w:tcW w:w="547" w:type="pct"/>
            <w:noWrap/>
            <w:vAlign w:val="center"/>
            <w:hideMark/>
          </w:tcPr>
          <w:p w14:paraId="56A842D3" w14:textId="77777777" w:rsidR="00495D25" w:rsidRDefault="00495D25" w:rsidP="00495D25">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Min Load (%)</w:t>
            </w:r>
          </w:p>
        </w:tc>
        <w:tc>
          <w:tcPr>
            <w:tcW w:w="414" w:type="pct"/>
            <w:noWrap/>
            <w:vAlign w:val="center"/>
            <w:hideMark/>
          </w:tcPr>
          <w:p w14:paraId="101870D9" w14:textId="77777777" w:rsidR="00495D25" w:rsidRDefault="00495D25" w:rsidP="00495D25">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Ramp Up</w:t>
            </w:r>
          </w:p>
        </w:tc>
        <w:tc>
          <w:tcPr>
            <w:tcW w:w="517" w:type="pct"/>
            <w:noWrap/>
            <w:vAlign w:val="center"/>
            <w:hideMark/>
          </w:tcPr>
          <w:p w14:paraId="14ADE04B" w14:textId="77777777" w:rsidR="00495D25" w:rsidRDefault="00495D25" w:rsidP="00495D25">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Ramp Down</w:t>
            </w:r>
          </w:p>
        </w:tc>
        <w:tc>
          <w:tcPr>
            <w:tcW w:w="649" w:type="pct"/>
            <w:noWrap/>
            <w:vAlign w:val="center"/>
            <w:hideMark/>
          </w:tcPr>
          <w:p w14:paraId="6D825E35" w14:textId="77777777" w:rsidR="00495D25" w:rsidRDefault="00495D25" w:rsidP="00495D25">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Inertia Constant</w:t>
            </w:r>
          </w:p>
        </w:tc>
        <w:tc>
          <w:tcPr>
            <w:tcW w:w="622" w:type="pct"/>
            <w:noWrap/>
            <w:vAlign w:val="center"/>
            <w:hideMark/>
          </w:tcPr>
          <w:p w14:paraId="3D65039A" w14:textId="77777777" w:rsidR="00495D25" w:rsidRDefault="00495D25" w:rsidP="00495D25">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Min Uptime (h)</w:t>
            </w:r>
          </w:p>
        </w:tc>
        <w:tc>
          <w:tcPr>
            <w:tcW w:w="724" w:type="pct"/>
            <w:tcBorders>
              <w:right w:val="nil"/>
            </w:tcBorders>
            <w:noWrap/>
            <w:vAlign w:val="center"/>
            <w:hideMark/>
          </w:tcPr>
          <w:p w14:paraId="6747F798" w14:textId="77777777" w:rsidR="00495D25" w:rsidRDefault="00495D25" w:rsidP="00495D25">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Min Downtime (h)</w:t>
            </w:r>
          </w:p>
        </w:tc>
      </w:tr>
      <w:tr w:rsidR="00495D25" w14:paraId="44666F26" w14:textId="77777777" w:rsidTr="00CC3E5A">
        <w:trPr>
          <w:cnfStyle w:val="000000100000" w:firstRow="0" w:lastRow="0" w:firstColumn="0" w:lastColumn="0" w:oddVBand="0" w:evenVBand="0" w:oddHBand="1" w:evenHBand="0" w:firstRowFirstColumn="0" w:firstRowLastColumn="0" w:lastRowFirstColumn="0" w:lastRowLastColumn="0"/>
          <w:trHeight w:val="313"/>
          <w:jc w:val="center"/>
        </w:trPr>
        <w:tc>
          <w:tcPr>
            <w:cnfStyle w:val="001000000000" w:firstRow="0" w:lastRow="0" w:firstColumn="1" w:lastColumn="0" w:oddVBand="0" w:evenVBand="0" w:oddHBand="0" w:evenHBand="0" w:firstRowFirstColumn="0" w:firstRowLastColumn="0" w:lastRowFirstColumn="0" w:lastRowLastColumn="0"/>
            <w:tcW w:w="1528" w:type="pct"/>
            <w:tcBorders>
              <w:top w:val="single" w:sz="2" w:space="0" w:color="9CC2E5" w:themeColor="accent5" w:themeTint="99"/>
              <w:left w:val="nil"/>
              <w:bottom w:val="single" w:sz="2" w:space="0" w:color="9CC2E5" w:themeColor="accent5" w:themeTint="99"/>
              <w:right w:val="single" w:sz="2" w:space="0" w:color="9CC2E5" w:themeColor="accent5" w:themeTint="99"/>
            </w:tcBorders>
            <w:noWrap/>
            <w:vAlign w:val="center"/>
            <w:hideMark/>
          </w:tcPr>
          <w:p w14:paraId="4776E6EF" w14:textId="77777777" w:rsidR="00495D25" w:rsidRDefault="00495D25" w:rsidP="00495D25">
            <w:pPr>
              <w:spacing w:before="0"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Biomass Power Plant</w:t>
            </w:r>
          </w:p>
        </w:tc>
        <w:tc>
          <w:tcPr>
            <w:tcW w:w="54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378637D7"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0.25</w:t>
            </w:r>
            <w:r>
              <w:rPr>
                <w:rFonts w:ascii="Calibri" w:hAnsi="Calibri" w:cs="Calibri"/>
                <w:color w:val="000000"/>
                <w:sz w:val="22"/>
                <w:szCs w:val="22"/>
                <w:vertAlign w:val="superscript"/>
              </w:rPr>
              <w:t>2</w:t>
            </w:r>
          </w:p>
        </w:tc>
        <w:tc>
          <w:tcPr>
            <w:tcW w:w="414"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331904DA"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0.0054</w:t>
            </w:r>
            <w:r>
              <w:rPr>
                <w:rFonts w:ascii="Calibri" w:hAnsi="Calibri" w:cs="Calibri"/>
                <w:color w:val="000000"/>
                <w:sz w:val="22"/>
                <w:szCs w:val="22"/>
                <w:vertAlign w:val="superscript"/>
              </w:rPr>
              <w:t>2</w:t>
            </w:r>
          </w:p>
        </w:tc>
        <w:tc>
          <w:tcPr>
            <w:tcW w:w="51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61DBFF8D"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0.0054</w:t>
            </w:r>
            <w:r>
              <w:rPr>
                <w:rFonts w:ascii="Calibri" w:hAnsi="Calibri" w:cs="Calibri"/>
                <w:color w:val="000000"/>
                <w:sz w:val="22"/>
                <w:szCs w:val="22"/>
                <w:vertAlign w:val="superscript"/>
              </w:rPr>
              <w:t>2</w:t>
            </w:r>
          </w:p>
        </w:tc>
        <w:tc>
          <w:tcPr>
            <w:tcW w:w="649"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4FE7B4B0"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3</w:t>
            </w:r>
            <w:r>
              <w:rPr>
                <w:rFonts w:ascii="Calibri" w:hAnsi="Calibri" w:cs="Calibri"/>
                <w:color w:val="000000"/>
                <w:sz w:val="22"/>
                <w:szCs w:val="22"/>
                <w:vertAlign w:val="superscript"/>
              </w:rPr>
              <w:t>2</w:t>
            </w:r>
          </w:p>
        </w:tc>
        <w:tc>
          <w:tcPr>
            <w:tcW w:w="622"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070BB66F"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w:t>
            </w:r>
          </w:p>
        </w:tc>
        <w:tc>
          <w:tcPr>
            <w:tcW w:w="724" w:type="pct"/>
            <w:tcBorders>
              <w:top w:val="single" w:sz="2" w:space="0" w:color="9CC2E5" w:themeColor="accent5" w:themeTint="99"/>
              <w:left w:val="single" w:sz="2" w:space="0" w:color="9CC2E5" w:themeColor="accent5" w:themeTint="99"/>
              <w:bottom w:val="single" w:sz="2" w:space="0" w:color="9CC2E5" w:themeColor="accent5" w:themeTint="99"/>
              <w:right w:val="nil"/>
            </w:tcBorders>
            <w:noWrap/>
            <w:vAlign w:val="center"/>
            <w:hideMark/>
          </w:tcPr>
          <w:p w14:paraId="6762626A"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 xml:space="preserve">0 </w:t>
            </w:r>
            <w:r>
              <w:rPr>
                <w:rFonts w:ascii="Calibri" w:hAnsi="Calibri" w:cs="Calibri"/>
                <w:color w:val="000000"/>
                <w:sz w:val="22"/>
                <w:szCs w:val="22"/>
                <w:vertAlign w:val="superscript"/>
              </w:rPr>
              <w:t>2</w:t>
            </w:r>
          </w:p>
        </w:tc>
      </w:tr>
      <w:tr w:rsidR="00495D25" w14:paraId="1750498E" w14:textId="77777777" w:rsidTr="00CC3E5A">
        <w:trPr>
          <w:trHeight w:val="313"/>
          <w:jc w:val="center"/>
        </w:trPr>
        <w:tc>
          <w:tcPr>
            <w:cnfStyle w:val="001000000000" w:firstRow="0" w:lastRow="0" w:firstColumn="1" w:lastColumn="0" w:oddVBand="0" w:evenVBand="0" w:oddHBand="0" w:evenHBand="0" w:firstRowFirstColumn="0" w:firstRowLastColumn="0" w:lastRowFirstColumn="0" w:lastRowLastColumn="0"/>
            <w:tcW w:w="1528" w:type="pct"/>
            <w:tcBorders>
              <w:top w:val="single" w:sz="2" w:space="0" w:color="9CC2E5" w:themeColor="accent5" w:themeTint="99"/>
              <w:left w:val="nil"/>
              <w:bottom w:val="single" w:sz="2" w:space="0" w:color="9CC2E5" w:themeColor="accent5" w:themeTint="99"/>
              <w:right w:val="single" w:sz="2" w:space="0" w:color="9CC2E5" w:themeColor="accent5" w:themeTint="99"/>
            </w:tcBorders>
            <w:noWrap/>
            <w:vAlign w:val="center"/>
            <w:hideMark/>
          </w:tcPr>
          <w:p w14:paraId="28C2DB33" w14:textId="77777777" w:rsidR="00495D25" w:rsidRDefault="00495D25" w:rsidP="00495D25">
            <w:pPr>
              <w:spacing w:before="0"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Coal Power Plant</w:t>
            </w:r>
          </w:p>
        </w:tc>
        <w:tc>
          <w:tcPr>
            <w:tcW w:w="54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565FF790"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0.3</w:t>
            </w:r>
            <w:r>
              <w:rPr>
                <w:rFonts w:ascii="Calibri" w:eastAsia="Times New Roman" w:hAnsi="Calibri" w:cs="Calibri"/>
                <w:color w:val="000000"/>
                <w:sz w:val="22"/>
                <w:szCs w:val="22"/>
                <w:vertAlign w:val="superscript"/>
              </w:rPr>
              <w:t>3</w:t>
            </w:r>
          </w:p>
        </w:tc>
        <w:tc>
          <w:tcPr>
            <w:tcW w:w="414"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3AA92674"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0.07</w:t>
            </w:r>
            <w:r>
              <w:rPr>
                <w:rFonts w:ascii="Calibri" w:eastAsia="Times New Roman" w:hAnsi="Calibri" w:cs="Calibri"/>
                <w:color w:val="000000"/>
                <w:sz w:val="22"/>
                <w:szCs w:val="22"/>
                <w:vertAlign w:val="superscript"/>
              </w:rPr>
              <w:t>3</w:t>
            </w:r>
          </w:p>
        </w:tc>
        <w:tc>
          <w:tcPr>
            <w:tcW w:w="51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06351380"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0.07</w:t>
            </w:r>
            <w:r>
              <w:rPr>
                <w:rFonts w:ascii="Calibri" w:eastAsia="Times New Roman" w:hAnsi="Calibri" w:cs="Calibri"/>
                <w:color w:val="000000"/>
                <w:sz w:val="22"/>
                <w:szCs w:val="22"/>
                <w:vertAlign w:val="superscript"/>
              </w:rPr>
              <w:t>3</w:t>
            </w:r>
          </w:p>
        </w:tc>
        <w:tc>
          <w:tcPr>
            <w:tcW w:w="649"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3D39C36E"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 xml:space="preserve">2.63 </w:t>
            </w:r>
            <w:r>
              <w:rPr>
                <w:rFonts w:ascii="Calibri" w:hAnsi="Calibri" w:cs="Calibri"/>
                <w:color w:val="000000"/>
                <w:sz w:val="22"/>
                <w:szCs w:val="22"/>
                <w:vertAlign w:val="superscript"/>
              </w:rPr>
              <w:t>2</w:t>
            </w:r>
          </w:p>
        </w:tc>
        <w:tc>
          <w:tcPr>
            <w:tcW w:w="622"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6C0B3A0F"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3</w:t>
            </w:r>
          </w:p>
        </w:tc>
        <w:tc>
          <w:tcPr>
            <w:tcW w:w="724" w:type="pct"/>
            <w:tcBorders>
              <w:top w:val="single" w:sz="2" w:space="0" w:color="9CC2E5" w:themeColor="accent5" w:themeTint="99"/>
              <w:left w:val="single" w:sz="2" w:space="0" w:color="9CC2E5" w:themeColor="accent5" w:themeTint="99"/>
              <w:bottom w:val="single" w:sz="2" w:space="0" w:color="9CC2E5" w:themeColor="accent5" w:themeTint="99"/>
              <w:right w:val="nil"/>
            </w:tcBorders>
            <w:noWrap/>
            <w:vAlign w:val="center"/>
            <w:hideMark/>
          </w:tcPr>
          <w:p w14:paraId="05BF4F42"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 xml:space="preserve">3 </w:t>
            </w:r>
            <w:r>
              <w:rPr>
                <w:rFonts w:ascii="Calibri" w:eastAsia="Times New Roman" w:hAnsi="Calibri" w:cs="Calibri"/>
                <w:color w:val="000000"/>
                <w:sz w:val="22"/>
                <w:szCs w:val="22"/>
                <w:vertAlign w:val="superscript"/>
              </w:rPr>
              <w:t>3</w:t>
            </w:r>
          </w:p>
        </w:tc>
      </w:tr>
      <w:tr w:rsidR="00495D25" w14:paraId="68BB0BB4" w14:textId="77777777" w:rsidTr="00CC3E5A">
        <w:trPr>
          <w:cnfStyle w:val="000000100000" w:firstRow="0" w:lastRow="0" w:firstColumn="0" w:lastColumn="0" w:oddVBand="0" w:evenVBand="0" w:oddHBand="1" w:evenHBand="0" w:firstRowFirstColumn="0" w:firstRowLastColumn="0" w:lastRowFirstColumn="0" w:lastRowLastColumn="0"/>
          <w:trHeight w:val="313"/>
          <w:jc w:val="center"/>
        </w:trPr>
        <w:tc>
          <w:tcPr>
            <w:cnfStyle w:val="001000000000" w:firstRow="0" w:lastRow="0" w:firstColumn="1" w:lastColumn="0" w:oddVBand="0" w:evenVBand="0" w:oddHBand="0" w:evenHBand="0" w:firstRowFirstColumn="0" w:firstRowLastColumn="0" w:lastRowFirstColumn="0" w:lastRowLastColumn="0"/>
            <w:tcW w:w="1528" w:type="pct"/>
            <w:tcBorders>
              <w:top w:val="single" w:sz="2" w:space="0" w:color="9CC2E5" w:themeColor="accent5" w:themeTint="99"/>
              <w:left w:val="nil"/>
              <w:bottom w:val="single" w:sz="2" w:space="0" w:color="9CC2E5" w:themeColor="accent5" w:themeTint="99"/>
              <w:right w:val="single" w:sz="2" w:space="0" w:color="9CC2E5" w:themeColor="accent5" w:themeTint="99"/>
            </w:tcBorders>
            <w:noWrap/>
            <w:vAlign w:val="center"/>
            <w:hideMark/>
          </w:tcPr>
          <w:p w14:paraId="7E22975C" w14:textId="77777777" w:rsidR="00495D25" w:rsidRDefault="00495D25" w:rsidP="00495D25">
            <w:pPr>
              <w:spacing w:before="0"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Gas Power Plant (CCGT)</w:t>
            </w:r>
          </w:p>
        </w:tc>
        <w:tc>
          <w:tcPr>
            <w:tcW w:w="54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1015AF44"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0.2</w:t>
            </w:r>
            <w:r>
              <w:rPr>
                <w:rFonts w:ascii="Calibri" w:eastAsia="Times New Roman" w:hAnsi="Calibri" w:cs="Calibri"/>
                <w:color w:val="000000"/>
                <w:sz w:val="22"/>
                <w:szCs w:val="22"/>
                <w:vertAlign w:val="superscript"/>
              </w:rPr>
              <w:t>3</w:t>
            </w:r>
          </w:p>
        </w:tc>
        <w:tc>
          <w:tcPr>
            <w:tcW w:w="414"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2AF18D82"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0.08</w:t>
            </w:r>
            <w:r>
              <w:rPr>
                <w:rFonts w:ascii="Calibri" w:eastAsia="Times New Roman" w:hAnsi="Calibri" w:cs="Calibri"/>
                <w:color w:val="000000"/>
                <w:sz w:val="22"/>
                <w:szCs w:val="22"/>
                <w:vertAlign w:val="superscript"/>
              </w:rPr>
              <w:t>3</w:t>
            </w:r>
          </w:p>
        </w:tc>
        <w:tc>
          <w:tcPr>
            <w:tcW w:w="51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0FCE8AD9"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0.08</w:t>
            </w:r>
            <w:r>
              <w:rPr>
                <w:rFonts w:ascii="Calibri" w:eastAsia="Times New Roman" w:hAnsi="Calibri" w:cs="Calibri"/>
                <w:color w:val="000000"/>
                <w:sz w:val="22"/>
                <w:szCs w:val="22"/>
                <w:vertAlign w:val="superscript"/>
              </w:rPr>
              <w:t>3</w:t>
            </w:r>
          </w:p>
        </w:tc>
        <w:tc>
          <w:tcPr>
            <w:tcW w:w="649"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01B1596A"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 xml:space="preserve">4.69 </w:t>
            </w:r>
            <w:r>
              <w:rPr>
                <w:rFonts w:ascii="Calibri" w:hAnsi="Calibri" w:cs="Calibri"/>
                <w:color w:val="000000"/>
                <w:sz w:val="22"/>
                <w:szCs w:val="22"/>
                <w:vertAlign w:val="superscript"/>
              </w:rPr>
              <w:t>2</w:t>
            </w:r>
          </w:p>
        </w:tc>
        <w:tc>
          <w:tcPr>
            <w:tcW w:w="622"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0BBFDBED"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2</w:t>
            </w:r>
          </w:p>
        </w:tc>
        <w:tc>
          <w:tcPr>
            <w:tcW w:w="724" w:type="pct"/>
            <w:tcBorders>
              <w:top w:val="single" w:sz="2" w:space="0" w:color="9CC2E5" w:themeColor="accent5" w:themeTint="99"/>
              <w:left w:val="single" w:sz="2" w:space="0" w:color="9CC2E5" w:themeColor="accent5" w:themeTint="99"/>
              <w:bottom w:val="single" w:sz="2" w:space="0" w:color="9CC2E5" w:themeColor="accent5" w:themeTint="99"/>
              <w:right w:val="nil"/>
            </w:tcBorders>
            <w:noWrap/>
            <w:vAlign w:val="center"/>
            <w:hideMark/>
          </w:tcPr>
          <w:p w14:paraId="5A64D137"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 xml:space="preserve">2 </w:t>
            </w:r>
            <w:r>
              <w:rPr>
                <w:rFonts w:ascii="Calibri" w:eastAsia="Times New Roman" w:hAnsi="Calibri" w:cs="Calibri"/>
                <w:color w:val="000000"/>
                <w:sz w:val="22"/>
                <w:szCs w:val="22"/>
                <w:vertAlign w:val="superscript"/>
              </w:rPr>
              <w:t>3</w:t>
            </w:r>
          </w:p>
        </w:tc>
      </w:tr>
      <w:tr w:rsidR="00495D25" w14:paraId="64EFF431" w14:textId="77777777" w:rsidTr="00CC3E5A">
        <w:trPr>
          <w:trHeight w:val="313"/>
          <w:jc w:val="center"/>
        </w:trPr>
        <w:tc>
          <w:tcPr>
            <w:cnfStyle w:val="001000000000" w:firstRow="0" w:lastRow="0" w:firstColumn="1" w:lastColumn="0" w:oddVBand="0" w:evenVBand="0" w:oddHBand="0" w:evenHBand="0" w:firstRowFirstColumn="0" w:firstRowLastColumn="0" w:lastRowFirstColumn="0" w:lastRowLastColumn="0"/>
            <w:tcW w:w="1528" w:type="pct"/>
            <w:tcBorders>
              <w:top w:val="single" w:sz="2" w:space="0" w:color="9CC2E5" w:themeColor="accent5" w:themeTint="99"/>
              <w:left w:val="nil"/>
              <w:bottom w:val="single" w:sz="2" w:space="0" w:color="9CC2E5" w:themeColor="accent5" w:themeTint="99"/>
              <w:right w:val="single" w:sz="2" w:space="0" w:color="9CC2E5" w:themeColor="accent5" w:themeTint="99"/>
            </w:tcBorders>
            <w:noWrap/>
            <w:vAlign w:val="center"/>
            <w:hideMark/>
          </w:tcPr>
          <w:p w14:paraId="6ABCD60C" w14:textId="77777777" w:rsidR="00495D25" w:rsidRDefault="00495D25" w:rsidP="00495D25">
            <w:pPr>
              <w:spacing w:before="0"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Gas Power Plant (SCGT)</w:t>
            </w:r>
          </w:p>
        </w:tc>
        <w:tc>
          <w:tcPr>
            <w:tcW w:w="54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696C8C82"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0.15</w:t>
            </w:r>
            <w:r>
              <w:rPr>
                <w:rFonts w:ascii="Calibri" w:eastAsia="Times New Roman" w:hAnsi="Calibri" w:cs="Calibri"/>
                <w:color w:val="000000"/>
                <w:sz w:val="22"/>
                <w:szCs w:val="22"/>
                <w:vertAlign w:val="superscript"/>
              </w:rPr>
              <w:t>3</w:t>
            </w:r>
          </w:p>
        </w:tc>
        <w:tc>
          <w:tcPr>
            <w:tcW w:w="414"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045744A0"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0.2</w:t>
            </w:r>
            <w:r>
              <w:rPr>
                <w:rFonts w:ascii="Calibri" w:eastAsia="Times New Roman" w:hAnsi="Calibri" w:cs="Calibri"/>
                <w:color w:val="000000"/>
                <w:sz w:val="22"/>
                <w:szCs w:val="22"/>
                <w:vertAlign w:val="superscript"/>
              </w:rPr>
              <w:t>3</w:t>
            </w:r>
          </w:p>
        </w:tc>
        <w:tc>
          <w:tcPr>
            <w:tcW w:w="51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22F06918"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0.2</w:t>
            </w:r>
            <w:r>
              <w:rPr>
                <w:rFonts w:ascii="Calibri" w:eastAsia="Times New Roman" w:hAnsi="Calibri" w:cs="Calibri"/>
                <w:color w:val="000000"/>
                <w:sz w:val="22"/>
                <w:szCs w:val="22"/>
                <w:vertAlign w:val="superscript"/>
              </w:rPr>
              <w:t>3</w:t>
            </w:r>
          </w:p>
        </w:tc>
        <w:tc>
          <w:tcPr>
            <w:tcW w:w="649"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7BFC95AE"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4.98</w:t>
            </w:r>
            <w:r>
              <w:rPr>
                <w:rFonts w:ascii="Calibri" w:hAnsi="Calibri" w:cs="Calibri"/>
                <w:color w:val="000000"/>
                <w:sz w:val="22"/>
                <w:szCs w:val="22"/>
                <w:vertAlign w:val="superscript"/>
              </w:rPr>
              <w:t>2</w:t>
            </w:r>
          </w:p>
        </w:tc>
        <w:tc>
          <w:tcPr>
            <w:tcW w:w="622"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24073DDB"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0.16</w:t>
            </w:r>
          </w:p>
        </w:tc>
        <w:tc>
          <w:tcPr>
            <w:tcW w:w="724" w:type="pct"/>
            <w:tcBorders>
              <w:top w:val="single" w:sz="2" w:space="0" w:color="9CC2E5" w:themeColor="accent5" w:themeTint="99"/>
              <w:left w:val="single" w:sz="2" w:space="0" w:color="9CC2E5" w:themeColor="accent5" w:themeTint="99"/>
              <w:bottom w:val="single" w:sz="2" w:space="0" w:color="9CC2E5" w:themeColor="accent5" w:themeTint="99"/>
              <w:right w:val="nil"/>
            </w:tcBorders>
            <w:noWrap/>
            <w:vAlign w:val="center"/>
            <w:hideMark/>
          </w:tcPr>
          <w:p w14:paraId="44DCC7F6"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 xml:space="preserve">0.16 </w:t>
            </w:r>
            <w:r>
              <w:rPr>
                <w:rFonts w:ascii="Calibri" w:eastAsia="Times New Roman" w:hAnsi="Calibri" w:cs="Calibri"/>
                <w:color w:val="000000"/>
                <w:sz w:val="22"/>
                <w:szCs w:val="22"/>
                <w:vertAlign w:val="superscript"/>
              </w:rPr>
              <w:t>3</w:t>
            </w:r>
          </w:p>
        </w:tc>
      </w:tr>
      <w:tr w:rsidR="00495D25" w14:paraId="4E6A0390" w14:textId="77777777" w:rsidTr="00CC3E5A">
        <w:trPr>
          <w:cnfStyle w:val="000000100000" w:firstRow="0" w:lastRow="0" w:firstColumn="0" w:lastColumn="0" w:oddVBand="0" w:evenVBand="0" w:oddHBand="1" w:evenHBand="0" w:firstRowFirstColumn="0" w:firstRowLastColumn="0" w:lastRowFirstColumn="0" w:lastRowLastColumn="0"/>
          <w:trHeight w:val="313"/>
          <w:jc w:val="center"/>
        </w:trPr>
        <w:tc>
          <w:tcPr>
            <w:cnfStyle w:val="001000000000" w:firstRow="0" w:lastRow="0" w:firstColumn="1" w:lastColumn="0" w:oddVBand="0" w:evenVBand="0" w:oddHBand="0" w:evenHBand="0" w:firstRowFirstColumn="0" w:firstRowLastColumn="0" w:lastRowFirstColumn="0" w:lastRowLastColumn="0"/>
            <w:tcW w:w="1528" w:type="pct"/>
            <w:tcBorders>
              <w:top w:val="single" w:sz="2" w:space="0" w:color="9CC2E5" w:themeColor="accent5" w:themeTint="99"/>
              <w:left w:val="nil"/>
              <w:bottom w:val="single" w:sz="2" w:space="0" w:color="9CC2E5" w:themeColor="accent5" w:themeTint="99"/>
              <w:right w:val="single" w:sz="2" w:space="0" w:color="9CC2E5" w:themeColor="accent5" w:themeTint="99"/>
            </w:tcBorders>
            <w:noWrap/>
            <w:vAlign w:val="center"/>
            <w:hideMark/>
          </w:tcPr>
          <w:p w14:paraId="6477F51C" w14:textId="77777777" w:rsidR="00495D25" w:rsidRDefault="00495D25" w:rsidP="00495D25">
            <w:pPr>
              <w:spacing w:before="0"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Solar PV (Utility)</w:t>
            </w:r>
          </w:p>
        </w:tc>
        <w:tc>
          <w:tcPr>
            <w:tcW w:w="54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69030FEE" w14:textId="77777777" w:rsidR="00495D25" w:rsidRDefault="00495D25" w:rsidP="00495D2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p>
        </w:tc>
        <w:tc>
          <w:tcPr>
            <w:tcW w:w="414"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358718B8"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1</w:t>
            </w:r>
          </w:p>
        </w:tc>
        <w:tc>
          <w:tcPr>
            <w:tcW w:w="51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1ACC1CF8"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1</w:t>
            </w:r>
          </w:p>
        </w:tc>
        <w:tc>
          <w:tcPr>
            <w:tcW w:w="649"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23800C92"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vertAlign w:val="superscript"/>
              </w:rPr>
            </w:pPr>
            <w:r>
              <w:rPr>
                <w:rFonts w:ascii="Calibri" w:eastAsia="Times New Roman" w:hAnsi="Calibri" w:cs="Calibri"/>
                <w:color w:val="000000"/>
                <w:sz w:val="22"/>
                <w:szCs w:val="22"/>
              </w:rPr>
              <w:t>0</w:t>
            </w:r>
            <w:r>
              <w:rPr>
                <w:rFonts w:ascii="Calibri" w:hAnsi="Calibri" w:cs="Calibri"/>
                <w:color w:val="000000"/>
                <w:sz w:val="22"/>
                <w:szCs w:val="22"/>
                <w:vertAlign w:val="superscript"/>
              </w:rPr>
              <w:t>2</w:t>
            </w:r>
          </w:p>
        </w:tc>
        <w:tc>
          <w:tcPr>
            <w:tcW w:w="622"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026EF28B" w14:textId="77777777" w:rsidR="00495D25" w:rsidRDefault="00495D25" w:rsidP="00495D2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vertAlign w:val="superscript"/>
              </w:rPr>
            </w:pPr>
          </w:p>
        </w:tc>
        <w:tc>
          <w:tcPr>
            <w:tcW w:w="724" w:type="pct"/>
            <w:tcBorders>
              <w:top w:val="single" w:sz="2" w:space="0" w:color="9CC2E5" w:themeColor="accent5" w:themeTint="99"/>
              <w:left w:val="single" w:sz="2" w:space="0" w:color="9CC2E5" w:themeColor="accent5" w:themeTint="99"/>
              <w:bottom w:val="single" w:sz="2" w:space="0" w:color="9CC2E5" w:themeColor="accent5" w:themeTint="99"/>
              <w:right w:val="nil"/>
            </w:tcBorders>
            <w:noWrap/>
            <w:vAlign w:val="center"/>
            <w:hideMark/>
          </w:tcPr>
          <w:p w14:paraId="755B6621"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eastAsia="en-GB"/>
              </w:rPr>
            </w:pPr>
          </w:p>
        </w:tc>
      </w:tr>
      <w:tr w:rsidR="00495D25" w14:paraId="4617AC75" w14:textId="77777777" w:rsidTr="00CC3E5A">
        <w:trPr>
          <w:trHeight w:val="313"/>
          <w:jc w:val="center"/>
        </w:trPr>
        <w:tc>
          <w:tcPr>
            <w:cnfStyle w:val="001000000000" w:firstRow="0" w:lastRow="0" w:firstColumn="1" w:lastColumn="0" w:oddVBand="0" w:evenVBand="0" w:oddHBand="0" w:evenHBand="0" w:firstRowFirstColumn="0" w:firstRowLastColumn="0" w:lastRowFirstColumn="0" w:lastRowLastColumn="0"/>
            <w:tcW w:w="1528" w:type="pct"/>
            <w:tcBorders>
              <w:top w:val="single" w:sz="2" w:space="0" w:color="9CC2E5" w:themeColor="accent5" w:themeTint="99"/>
              <w:left w:val="nil"/>
              <w:bottom w:val="single" w:sz="2" w:space="0" w:color="9CC2E5" w:themeColor="accent5" w:themeTint="99"/>
              <w:right w:val="single" w:sz="2" w:space="0" w:color="9CC2E5" w:themeColor="accent5" w:themeTint="99"/>
            </w:tcBorders>
            <w:noWrap/>
            <w:vAlign w:val="center"/>
            <w:hideMark/>
          </w:tcPr>
          <w:p w14:paraId="54179ABB" w14:textId="77777777" w:rsidR="00495D25" w:rsidRDefault="00495D25" w:rsidP="00495D25">
            <w:pPr>
              <w:spacing w:before="0"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Large Hydropower Plant (Dam) (&gt;100MW)</w:t>
            </w:r>
          </w:p>
        </w:tc>
        <w:tc>
          <w:tcPr>
            <w:tcW w:w="54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2897D599"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0.05</w:t>
            </w:r>
            <w:r>
              <w:rPr>
                <w:rFonts w:ascii="Calibri" w:eastAsia="Times New Roman" w:hAnsi="Calibri" w:cs="Calibri"/>
                <w:color w:val="000000"/>
                <w:sz w:val="22"/>
                <w:szCs w:val="22"/>
                <w:vertAlign w:val="superscript"/>
              </w:rPr>
              <w:t>3</w:t>
            </w:r>
          </w:p>
        </w:tc>
        <w:tc>
          <w:tcPr>
            <w:tcW w:w="414"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63EA0401"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0.15</w:t>
            </w:r>
            <w:r>
              <w:rPr>
                <w:rFonts w:ascii="Calibri" w:eastAsia="Times New Roman" w:hAnsi="Calibri" w:cs="Calibri"/>
                <w:color w:val="000000"/>
                <w:sz w:val="22"/>
                <w:szCs w:val="22"/>
                <w:vertAlign w:val="superscript"/>
              </w:rPr>
              <w:t>3</w:t>
            </w:r>
          </w:p>
        </w:tc>
        <w:tc>
          <w:tcPr>
            <w:tcW w:w="51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23A887C3"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0.15</w:t>
            </w:r>
            <w:r>
              <w:rPr>
                <w:rFonts w:ascii="Calibri" w:eastAsia="Times New Roman" w:hAnsi="Calibri" w:cs="Calibri"/>
                <w:color w:val="000000"/>
                <w:sz w:val="22"/>
                <w:szCs w:val="22"/>
                <w:vertAlign w:val="superscript"/>
              </w:rPr>
              <w:t>3</w:t>
            </w:r>
          </w:p>
        </w:tc>
        <w:tc>
          <w:tcPr>
            <w:tcW w:w="649"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136CFED0" w14:textId="77777777" w:rsidR="00495D25" w:rsidRDefault="00495D25" w:rsidP="00495D2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p>
        </w:tc>
        <w:tc>
          <w:tcPr>
            <w:tcW w:w="622"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5778232A"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1</w:t>
            </w:r>
          </w:p>
        </w:tc>
        <w:tc>
          <w:tcPr>
            <w:tcW w:w="724" w:type="pct"/>
            <w:tcBorders>
              <w:top w:val="single" w:sz="2" w:space="0" w:color="9CC2E5" w:themeColor="accent5" w:themeTint="99"/>
              <w:left w:val="single" w:sz="2" w:space="0" w:color="9CC2E5" w:themeColor="accent5" w:themeTint="99"/>
              <w:bottom w:val="single" w:sz="2" w:space="0" w:color="9CC2E5" w:themeColor="accent5" w:themeTint="99"/>
              <w:right w:val="nil"/>
            </w:tcBorders>
            <w:noWrap/>
            <w:vAlign w:val="center"/>
            <w:hideMark/>
          </w:tcPr>
          <w:p w14:paraId="36E9E58A"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1</w:t>
            </w:r>
            <w:r>
              <w:rPr>
                <w:rFonts w:ascii="Calibri" w:eastAsia="Times New Roman" w:hAnsi="Calibri" w:cs="Calibri"/>
                <w:color w:val="000000"/>
                <w:sz w:val="22"/>
                <w:szCs w:val="22"/>
                <w:vertAlign w:val="superscript"/>
              </w:rPr>
              <w:t>3</w:t>
            </w:r>
          </w:p>
        </w:tc>
      </w:tr>
      <w:tr w:rsidR="00495D25" w14:paraId="17FF48CA" w14:textId="77777777" w:rsidTr="00CC3E5A">
        <w:trPr>
          <w:cnfStyle w:val="000000100000" w:firstRow="0" w:lastRow="0" w:firstColumn="0" w:lastColumn="0" w:oddVBand="0" w:evenVBand="0" w:oddHBand="1" w:evenHBand="0" w:firstRowFirstColumn="0" w:firstRowLastColumn="0" w:lastRowFirstColumn="0" w:lastRowLastColumn="0"/>
          <w:trHeight w:val="313"/>
          <w:jc w:val="center"/>
        </w:trPr>
        <w:tc>
          <w:tcPr>
            <w:cnfStyle w:val="001000000000" w:firstRow="0" w:lastRow="0" w:firstColumn="1" w:lastColumn="0" w:oddVBand="0" w:evenVBand="0" w:oddHBand="0" w:evenHBand="0" w:firstRowFirstColumn="0" w:firstRowLastColumn="0" w:lastRowFirstColumn="0" w:lastRowLastColumn="0"/>
            <w:tcW w:w="1528" w:type="pct"/>
            <w:tcBorders>
              <w:top w:val="single" w:sz="2" w:space="0" w:color="9CC2E5" w:themeColor="accent5" w:themeTint="99"/>
              <w:left w:val="nil"/>
              <w:bottom w:val="single" w:sz="2" w:space="0" w:color="9CC2E5" w:themeColor="accent5" w:themeTint="99"/>
              <w:right w:val="single" w:sz="2" w:space="0" w:color="9CC2E5" w:themeColor="accent5" w:themeTint="99"/>
            </w:tcBorders>
            <w:noWrap/>
            <w:vAlign w:val="center"/>
            <w:hideMark/>
          </w:tcPr>
          <w:p w14:paraId="153FEFBB" w14:textId="77777777" w:rsidR="00495D25" w:rsidRDefault="00495D25" w:rsidP="00495D25">
            <w:pPr>
              <w:spacing w:before="0"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Onshore Wind</w:t>
            </w:r>
          </w:p>
        </w:tc>
        <w:tc>
          <w:tcPr>
            <w:tcW w:w="54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50DC89A3" w14:textId="77777777" w:rsidR="00495D25" w:rsidRDefault="00495D25" w:rsidP="00495D2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p>
        </w:tc>
        <w:tc>
          <w:tcPr>
            <w:tcW w:w="414"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37990E9A"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1</w:t>
            </w:r>
          </w:p>
        </w:tc>
        <w:tc>
          <w:tcPr>
            <w:tcW w:w="51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05D2025D"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1</w:t>
            </w:r>
          </w:p>
        </w:tc>
        <w:tc>
          <w:tcPr>
            <w:tcW w:w="649"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64B16A26"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w:t>
            </w:r>
            <w:r>
              <w:rPr>
                <w:rFonts w:ascii="Calibri" w:hAnsi="Calibri" w:cs="Calibri"/>
                <w:color w:val="000000"/>
                <w:sz w:val="22"/>
                <w:szCs w:val="22"/>
                <w:vertAlign w:val="superscript"/>
              </w:rPr>
              <w:t>2</w:t>
            </w:r>
          </w:p>
        </w:tc>
        <w:tc>
          <w:tcPr>
            <w:tcW w:w="622"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05420EC6" w14:textId="77777777" w:rsidR="00495D25" w:rsidRDefault="00495D25" w:rsidP="00495D2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p>
        </w:tc>
        <w:tc>
          <w:tcPr>
            <w:tcW w:w="724" w:type="pct"/>
            <w:tcBorders>
              <w:top w:val="single" w:sz="2" w:space="0" w:color="9CC2E5" w:themeColor="accent5" w:themeTint="99"/>
              <w:left w:val="single" w:sz="2" w:space="0" w:color="9CC2E5" w:themeColor="accent5" w:themeTint="99"/>
              <w:bottom w:val="single" w:sz="2" w:space="0" w:color="9CC2E5" w:themeColor="accent5" w:themeTint="99"/>
              <w:right w:val="nil"/>
            </w:tcBorders>
            <w:noWrap/>
            <w:vAlign w:val="center"/>
            <w:hideMark/>
          </w:tcPr>
          <w:p w14:paraId="523D62AC"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eastAsia="en-GB"/>
              </w:rPr>
            </w:pPr>
          </w:p>
        </w:tc>
      </w:tr>
      <w:tr w:rsidR="00495D25" w14:paraId="10A8B99C" w14:textId="77777777" w:rsidTr="00CC3E5A">
        <w:trPr>
          <w:trHeight w:val="313"/>
          <w:jc w:val="center"/>
        </w:trPr>
        <w:tc>
          <w:tcPr>
            <w:cnfStyle w:val="001000000000" w:firstRow="0" w:lastRow="0" w:firstColumn="1" w:lastColumn="0" w:oddVBand="0" w:evenVBand="0" w:oddHBand="0" w:evenHBand="0" w:firstRowFirstColumn="0" w:firstRowLastColumn="0" w:lastRowFirstColumn="0" w:lastRowLastColumn="0"/>
            <w:tcW w:w="1528" w:type="pct"/>
            <w:tcBorders>
              <w:top w:val="single" w:sz="2" w:space="0" w:color="9CC2E5" w:themeColor="accent5" w:themeTint="99"/>
              <w:left w:val="nil"/>
              <w:bottom w:val="single" w:sz="2" w:space="0" w:color="9CC2E5" w:themeColor="accent5" w:themeTint="99"/>
              <w:right w:val="single" w:sz="2" w:space="0" w:color="9CC2E5" w:themeColor="accent5" w:themeTint="99"/>
            </w:tcBorders>
            <w:noWrap/>
            <w:vAlign w:val="center"/>
            <w:hideMark/>
          </w:tcPr>
          <w:p w14:paraId="37981ADD" w14:textId="77777777" w:rsidR="00495D25" w:rsidRDefault="00495D25" w:rsidP="00495D25">
            <w:pPr>
              <w:spacing w:before="0"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Offshore Wind</w:t>
            </w:r>
          </w:p>
        </w:tc>
        <w:tc>
          <w:tcPr>
            <w:tcW w:w="54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614B73F0" w14:textId="77777777" w:rsidR="00495D25" w:rsidRDefault="00495D25" w:rsidP="00495D2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p>
        </w:tc>
        <w:tc>
          <w:tcPr>
            <w:tcW w:w="414"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26ABAE5B"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1</w:t>
            </w:r>
          </w:p>
        </w:tc>
        <w:tc>
          <w:tcPr>
            <w:tcW w:w="51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234CAFAE"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1</w:t>
            </w:r>
          </w:p>
        </w:tc>
        <w:tc>
          <w:tcPr>
            <w:tcW w:w="649"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4FFC58C9"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w:t>
            </w:r>
            <w:r>
              <w:rPr>
                <w:rFonts w:ascii="Calibri" w:hAnsi="Calibri" w:cs="Calibri"/>
                <w:color w:val="000000"/>
                <w:sz w:val="22"/>
                <w:szCs w:val="22"/>
                <w:vertAlign w:val="superscript"/>
              </w:rPr>
              <w:t>2</w:t>
            </w:r>
          </w:p>
        </w:tc>
        <w:tc>
          <w:tcPr>
            <w:tcW w:w="622"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1EE7082A" w14:textId="77777777" w:rsidR="00495D25" w:rsidRDefault="00495D25" w:rsidP="00495D2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p>
        </w:tc>
        <w:tc>
          <w:tcPr>
            <w:tcW w:w="724" w:type="pct"/>
            <w:tcBorders>
              <w:top w:val="single" w:sz="2" w:space="0" w:color="9CC2E5" w:themeColor="accent5" w:themeTint="99"/>
              <w:left w:val="single" w:sz="2" w:space="0" w:color="9CC2E5" w:themeColor="accent5" w:themeTint="99"/>
              <w:bottom w:val="single" w:sz="2" w:space="0" w:color="9CC2E5" w:themeColor="accent5" w:themeTint="99"/>
              <w:right w:val="nil"/>
            </w:tcBorders>
            <w:noWrap/>
            <w:vAlign w:val="center"/>
            <w:hideMark/>
          </w:tcPr>
          <w:p w14:paraId="2030F160"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eastAsia="en-GB"/>
              </w:rPr>
            </w:pPr>
          </w:p>
        </w:tc>
      </w:tr>
      <w:tr w:rsidR="00495D25" w14:paraId="2C9EECDA" w14:textId="77777777" w:rsidTr="00CC3E5A">
        <w:trPr>
          <w:cnfStyle w:val="000000100000" w:firstRow="0" w:lastRow="0" w:firstColumn="0" w:lastColumn="0" w:oddVBand="0" w:evenVBand="0" w:oddHBand="1" w:evenHBand="0" w:firstRowFirstColumn="0" w:firstRowLastColumn="0" w:lastRowFirstColumn="0" w:lastRowLastColumn="0"/>
          <w:trHeight w:val="313"/>
          <w:jc w:val="center"/>
        </w:trPr>
        <w:tc>
          <w:tcPr>
            <w:cnfStyle w:val="001000000000" w:firstRow="0" w:lastRow="0" w:firstColumn="1" w:lastColumn="0" w:oddVBand="0" w:evenVBand="0" w:oddHBand="0" w:evenHBand="0" w:firstRowFirstColumn="0" w:firstRowLastColumn="0" w:lastRowFirstColumn="0" w:lastRowLastColumn="0"/>
            <w:tcW w:w="1528" w:type="pct"/>
            <w:tcBorders>
              <w:top w:val="single" w:sz="2" w:space="0" w:color="9CC2E5" w:themeColor="accent5" w:themeTint="99"/>
              <w:left w:val="nil"/>
              <w:bottom w:val="single" w:sz="2" w:space="0" w:color="9CC2E5" w:themeColor="accent5" w:themeTint="99"/>
              <w:right w:val="single" w:sz="2" w:space="0" w:color="9CC2E5" w:themeColor="accent5" w:themeTint="99"/>
            </w:tcBorders>
            <w:noWrap/>
            <w:vAlign w:val="center"/>
            <w:hideMark/>
          </w:tcPr>
          <w:p w14:paraId="33E53EF5" w14:textId="77777777" w:rsidR="00495D25" w:rsidRDefault="00495D25" w:rsidP="00495D25">
            <w:pPr>
              <w:spacing w:before="0"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Nuclear Power Plant</w:t>
            </w:r>
          </w:p>
        </w:tc>
        <w:tc>
          <w:tcPr>
            <w:tcW w:w="54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7CAD1A10"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 xml:space="preserve">0.5 </w:t>
            </w:r>
            <w:r>
              <w:rPr>
                <w:rFonts w:ascii="Calibri" w:hAnsi="Calibri" w:cs="Calibri"/>
                <w:color w:val="000000"/>
                <w:sz w:val="22"/>
                <w:szCs w:val="22"/>
                <w:vertAlign w:val="superscript"/>
              </w:rPr>
              <w:t>1</w:t>
            </w:r>
            <w:r>
              <w:rPr>
                <w:rFonts w:ascii="Calibri" w:eastAsia="Times New Roman" w:hAnsi="Calibri" w:cs="Calibri"/>
                <w:color w:val="000000"/>
                <w:sz w:val="22"/>
                <w:szCs w:val="22"/>
                <w:vertAlign w:val="superscript"/>
              </w:rPr>
              <w:t>,</w:t>
            </w:r>
            <w:r>
              <w:rPr>
                <w:rFonts w:ascii="Calibri" w:hAnsi="Calibri" w:cs="Calibri"/>
                <w:color w:val="000000"/>
                <w:sz w:val="22"/>
                <w:szCs w:val="22"/>
                <w:vertAlign w:val="superscript"/>
              </w:rPr>
              <w:t>3</w:t>
            </w:r>
          </w:p>
        </w:tc>
        <w:tc>
          <w:tcPr>
            <w:tcW w:w="414"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17CDC895"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0.005</w:t>
            </w:r>
            <w:r>
              <w:rPr>
                <w:rFonts w:ascii="Calibri" w:hAnsi="Calibri" w:cs="Calibri"/>
                <w:color w:val="000000"/>
                <w:sz w:val="22"/>
                <w:szCs w:val="22"/>
                <w:vertAlign w:val="superscript"/>
              </w:rPr>
              <w:t>1</w:t>
            </w:r>
            <w:r>
              <w:rPr>
                <w:rFonts w:ascii="Calibri" w:eastAsia="Times New Roman" w:hAnsi="Calibri" w:cs="Calibri"/>
                <w:color w:val="000000"/>
                <w:sz w:val="22"/>
                <w:szCs w:val="22"/>
                <w:vertAlign w:val="superscript"/>
              </w:rPr>
              <w:t>,</w:t>
            </w:r>
            <w:r>
              <w:rPr>
                <w:rFonts w:ascii="Calibri" w:hAnsi="Calibri" w:cs="Calibri"/>
                <w:color w:val="000000"/>
                <w:sz w:val="22"/>
                <w:szCs w:val="22"/>
                <w:vertAlign w:val="superscript"/>
              </w:rPr>
              <w:t>3</w:t>
            </w:r>
          </w:p>
        </w:tc>
        <w:tc>
          <w:tcPr>
            <w:tcW w:w="51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4C94BDD7"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0.005</w:t>
            </w:r>
            <w:r>
              <w:rPr>
                <w:rFonts w:ascii="Calibri" w:hAnsi="Calibri" w:cs="Calibri"/>
                <w:color w:val="000000"/>
                <w:sz w:val="22"/>
                <w:szCs w:val="22"/>
                <w:vertAlign w:val="superscript"/>
              </w:rPr>
              <w:t>1</w:t>
            </w:r>
            <w:r>
              <w:rPr>
                <w:rFonts w:ascii="Calibri" w:eastAsia="Times New Roman" w:hAnsi="Calibri" w:cs="Calibri"/>
                <w:color w:val="000000"/>
                <w:sz w:val="22"/>
                <w:szCs w:val="22"/>
                <w:vertAlign w:val="superscript"/>
              </w:rPr>
              <w:t>,</w:t>
            </w:r>
            <w:r>
              <w:rPr>
                <w:rFonts w:ascii="Calibri" w:hAnsi="Calibri" w:cs="Calibri"/>
                <w:color w:val="000000"/>
                <w:sz w:val="22"/>
                <w:szCs w:val="22"/>
                <w:vertAlign w:val="superscript"/>
              </w:rPr>
              <w:t>3</w:t>
            </w:r>
          </w:p>
        </w:tc>
        <w:tc>
          <w:tcPr>
            <w:tcW w:w="649"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0143C66A"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4.07</w:t>
            </w:r>
            <w:r>
              <w:rPr>
                <w:rFonts w:ascii="Calibri" w:hAnsi="Calibri" w:cs="Calibri"/>
                <w:color w:val="000000"/>
                <w:sz w:val="22"/>
                <w:szCs w:val="22"/>
              </w:rPr>
              <w:t xml:space="preserve"> </w:t>
            </w:r>
            <w:r>
              <w:rPr>
                <w:rFonts w:ascii="Calibri" w:hAnsi="Calibri" w:cs="Calibri"/>
                <w:color w:val="000000"/>
                <w:sz w:val="22"/>
                <w:szCs w:val="22"/>
                <w:vertAlign w:val="superscript"/>
              </w:rPr>
              <w:t>1</w:t>
            </w:r>
          </w:p>
        </w:tc>
        <w:tc>
          <w:tcPr>
            <w:tcW w:w="622"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201F73CD"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10</w:t>
            </w:r>
          </w:p>
        </w:tc>
        <w:tc>
          <w:tcPr>
            <w:tcW w:w="724" w:type="pct"/>
            <w:tcBorders>
              <w:top w:val="single" w:sz="2" w:space="0" w:color="9CC2E5" w:themeColor="accent5" w:themeTint="99"/>
              <w:left w:val="single" w:sz="2" w:space="0" w:color="9CC2E5" w:themeColor="accent5" w:themeTint="99"/>
              <w:bottom w:val="single" w:sz="2" w:space="0" w:color="9CC2E5" w:themeColor="accent5" w:themeTint="99"/>
              <w:right w:val="nil"/>
            </w:tcBorders>
            <w:noWrap/>
            <w:vAlign w:val="center"/>
            <w:hideMark/>
          </w:tcPr>
          <w:p w14:paraId="71AA4827"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 xml:space="preserve">10 </w:t>
            </w:r>
            <w:r>
              <w:rPr>
                <w:rFonts w:ascii="Calibri" w:hAnsi="Calibri" w:cs="Calibri"/>
                <w:color w:val="000000"/>
                <w:sz w:val="22"/>
                <w:szCs w:val="22"/>
                <w:vertAlign w:val="superscript"/>
              </w:rPr>
              <w:t>1</w:t>
            </w:r>
          </w:p>
        </w:tc>
      </w:tr>
      <w:tr w:rsidR="00495D25" w14:paraId="2E70D539" w14:textId="77777777" w:rsidTr="00CC3E5A">
        <w:trPr>
          <w:trHeight w:val="313"/>
          <w:jc w:val="center"/>
        </w:trPr>
        <w:tc>
          <w:tcPr>
            <w:cnfStyle w:val="001000000000" w:firstRow="0" w:lastRow="0" w:firstColumn="1" w:lastColumn="0" w:oddVBand="0" w:evenVBand="0" w:oddHBand="0" w:evenHBand="0" w:firstRowFirstColumn="0" w:firstRowLastColumn="0" w:lastRowFirstColumn="0" w:lastRowLastColumn="0"/>
            <w:tcW w:w="1528" w:type="pct"/>
            <w:tcBorders>
              <w:top w:val="single" w:sz="2" w:space="0" w:color="9CC2E5" w:themeColor="accent5" w:themeTint="99"/>
              <w:left w:val="nil"/>
              <w:bottom w:val="single" w:sz="2" w:space="0" w:color="9CC2E5" w:themeColor="accent5" w:themeTint="99"/>
              <w:right w:val="single" w:sz="2" w:space="0" w:color="9CC2E5" w:themeColor="accent5" w:themeTint="99"/>
            </w:tcBorders>
            <w:noWrap/>
            <w:vAlign w:val="center"/>
            <w:hideMark/>
          </w:tcPr>
          <w:p w14:paraId="7F385402" w14:textId="77777777" w:rsidR="007B5955" w:rsidRDefault="00495D25" w:rsidP="00495D25">
            <w:pPr>
              <w:spacing w:before="0" w:after="0" w:line="240" w:lineRule="auto"/>
              <w:jc w:val="right"/>
              <w:rPr>
                <w:rFonts w:ascii="Calibri" w:eastAsia="Times New Roman" w:hAnsi="Calibri" w:cs="Calibri"/>
                <w:b w:val="0"/>
                <w:bCs w:val="0"/>
                <w:color w:val="000000"/>
                <w:sz w:val="22"/>
                <w:szCs w:val="22"/>
              </w:rPr>
            </w:pPr>
            <w:r>
              <w:rPr>
                <w:rFonts w:ascii="Calibri" w:eastAsia="Times New Roman" w:hAnsi="Calibri" w:cs="Calibri"/>
                <w:color w:val="000000"/>
                <w:sz w:val="22"/>
                <w:szCs w:val="22"/>
              </w:rPr>
              <w:t xml:space="preserve">Utility-scale PV </w:t>
            </w:r>
          </w:p>
          <w:p w14:paraId="67F13FFC" w14:textId="4D02CB26" w:rsidR="00495D25" w:rsidRDefault="00495D25" w:rsidP="00495D25">
            <w:pPr>
              <w:spacing w:before="0"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 xml:space="preserve">with </w:t>
            </w:r>
            <w:proofErr w:type="gramStart"/>
            <w:r>
              <w:rPr>
                <w:rFonts w:ascii="Calibri" w:eastAsia="Times New Roman" w:hAnsi="Calibri" w:cs="Calibri"/>
                <w:color w:val="000000"/>
                <w:sz w:val="22"/>
                <w:szCs w:val="22"/>
              </w:rPr>
              <w:t>2 hour</w:t>
            </w:r>
            <w:proofErr w:type="gramEnd"/>
            <w:r>
              <w:rPr>
                <w:rFonts w:ascii="Calibri" w:eastAsia="Times New Roman" w:hAnsi="Calibri" w:cs="Calibri"/>
                <w:color w:val="000000"/>
                <w:sz w:val="22"/>
                <w:szCs w:val="22"/>
              </w:rPr>
              <w:t xml:space="preserve"> storage</w:t>
            </w:r>
          </w:p>
        </w:tc>
        <w:tc>
          <w:tcPr>
            <w:tcW w:w="54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2D3089C1" w14:textId="77777777" w:rsidR="00495D25" w:rsidRDefault="00495D25" w:rsidP="00495D2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p>
        </w:tc>
        <w:tc>
          <w:tcPr>
            <w:tcW w:w="414"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3A217779"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1</w:t>
            </w:r>
          </w:p>
        </w:tc>
        <w:tc>
          <w:tcPr>
            <w:tcW w:w="51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30F125F0"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1</w:t>
            </w:r>
          </w:p>
        </w:tc>
        <w:tc>
          <w:tcPr>
            <w:tcW w:w="649"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2E493EE2"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w:t>
            </w:r>
            <w:r>
              <w:rPr>
                <w:rFonts w:ascii="Calibri" w:hAnsi="Calibri" w:cs="Calibri"/>
                <w:color w:val="000000"/>
                <w:sz w:val="22"/>
                <w:szCs w:val="22"/>
                <w:vertAlign w:val="superscript"/>
              </w:rPr>
              <w:t>2</w:t>
            </w:r>
          </w:p>
        </w:tc>
        <w:tc>
          <w:tcPr>
            <w:tcW w:w="622"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4AFE1DA5" w14:textId="77777777" w:rsidR="00495D25" w:rsidRDefault="00495D25" w:rsidP="00495D2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p>
        </w:tc>
        <w:tc>
          <w:tcPr>
            <w:tcW w:w="724" w:type="pct"/>
            <w:tcBorders>
              <w:top w:val="single" w:sz="2" w:space="0" w:color="9CC2E5" w:themeColor="accent5" w:themeTint="99"/>
              <w:left w:val="single" w:sz="2" w:space="0" w:color="9CC2E5" w:themeColor="accent5" w:themeTint="99"/>
              <w:bottom w:val="single" w:sz="2" w:space="0" w:color="9CC2E5" w:themeColor="accent5" w:themeTint="99"/>
              <w:right w:val="nil"/>
            </w:tcBorders>
            <w:noWrap/>
            <w:vAlign w:val="center"/>
            <w:hideMark/>
          </w:tcPr>
          <w:p w14:paraId="11C42FF7" w14:textId="77777777" w:rsidR="00495D25" w:rsidRDefault="00495D25"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sz w:val="20"/>
                <w:szCs w:val="20"/>
                <w:lang w:eastAsia="en-GB"/>
              </w:rPr>
            </w:pPr>
          </w:p>
        </w:tc>
      </w:tr>
      <w:tr w:rsidR="00495D25" w14:paraId="025B9C0B" w14:textId="77777777" w:rsidTr="00CC3E5A">
        <w:trPr>
          <w:cnfStyle w:val="000000100000" w:firstRow="0" w:lastRow="0" w:firstColumn="0" w:lastColumn="0" w:oddVBand="0" w:evenVBand="0" w:oddHBand="1" w:evenHBand="0" w:firstRowFirstColumn="0" w:firstRowLastColumn="0" w:lastRowFirstColumn="0" w:lastRowLastColumn="0"/>
          <w:trHeight w:val="313"/>
          <w:jc w:val="center"/>
        </w:trPr>
        <w:tc>
          <w:tcPr>
            <w:cnfStyle w:val="001000000000" w:firstRow="0" w:lastRow="0" w:firstColumn="1" w:lastColumn="0" w:oddVBand="0" w:evenVBand="0" w:oddHBand="0" w:evenHBand="0" w:firstRowFirstColumn="0" w:firstRowLastColumn="0" w:lastRowFirstColumn="0" w:lastRowLastColumn="0"/>
            <w:tcW w:w="1528" w:type="pct"/>
            <w:tcBorders>
              <w:top w:val="single" w:sz="2" w:space="0" w:color="9CC2E5" w:themeColor="accent5" w:themeTint="99"/>
              <w:left w:val="nil"/>
              <w:bottom w:val="single" w:sz="2" w:space="0" w:color="9CC2E5" w:themeColor="accent5" w:themeTint="99"/>
              <w:right w:val="single" w:sz="2" w:space="0" w:color="9CC2E5" w:themeColor="accent5" w:themeTint="99"/>
            </w:tcBorders>
            <w:noWrap/>
            <w:vAlign w:val="center"/>
            <w:hideMark/>
          </w:tcPr>
          <w:p w14:paraId="63D066C0" w14:textId="77777777" w:rsidR="007B5955" w:rsidRDefault="00495D25" w:rsidP="00495D25">
            <w:pPr>
              <w:spacing w:before="0" w:after="0" w:line="240" w:lineRule="auto"/>
              <w:jc w:val="right"/>
              <w:rPr>
                <w:rFonts w:ascii="Calibri" w:eastAsia="Times New Roman" w:hAnsi="Calibri" w:cs="Calibri"/>
                <w:b w:val="0"/>
                <w:bCs w:val="0"/>
                <w:color w:val="000000"/>
                <w:sz w:val="22"/>
                <w:szCs w:val="22"/>
              </w:rPr>
            </w:pPr>
            <w:r>
              <w:rPr>
                <w:rFonts w:ascii="Calibri" w:eastAsia="Times New Roman" w:hAnsi="Calibri" w:cs="Calibri"/>
                <w:color w:val="000000"/>
                <w:sz w:val="22"/>
                <w:szCs w:val="22"/>
              </w:rPr>
              <w:t xml:space="preserve">Onshore Wind power </w:t>
            </w:r>
          </w:p>
          <w:p w14:paraId="39B0B1EA" w14:textId="00915E04" w:rsidR="00495D25" w:rsidRDefault="00495D25" w:rsidP="00495D25">
            <w:pPr>
              <w:spacing w:before="0"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plant with storage</w:t>
            </w:r>
          </w:p>
        </w:tc>
        <w:tc>
          <w:tcPr>
            <w:tcW w:w="54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4AA63F6A" w14:textId="77777777" w:rsidR="00495D25" w:rsidRDefault="00495D25" w:rsidP="00495D2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p>
        </w:tc>
        <w:tc>
          <w:tcPr>
            <w:tcW w:w="414"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66DBA471"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1</w:t>
            </w:r>
          </w:p>
        </w:tc>
        <w:tc>
          <w:tcPr>
            <w:tcW w:w="517"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13406236"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1</w:t>
            </w:r>
          </w:p>
        </w:tc>
        <w:tc>
          <w:tcPr>
            <w:tcW w:w="649"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28047F52"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0</w:t>
            </w:r>
            <w:r>
              <w:rPr>
                <w:rFonts w:ascii="Calibri" w:hAnsi="Calibri" w:cs="Calibri"/>
                <w:color w:val="000000"/>
                <w:sz w:val="22"/>
                <w:szCs w:val="22"/>
                <w:vertAlign w:val="superscript"/>
              </w:rPr>
              <w:t>2</w:t>
            </w:r>
          </w:p>
        </w:tc>
        <w:tc>
          <w:tcPr>
            <w:tcW w:w="622" w:type="pct"/>
            <w:tcBorders>
              <w:top w:val="single" w:sz="2" w:space="0" w:color="9CC2E5" w:themeColor="accent5" w:themeTint="99"/>
              <w:left w:val="single" w:sz="2" w:space="0" w:color="9CC2E5" w:themeColor="accent5" w:themeTint="99"/>
              <w:bottom w:val="single" w:sz="2" w:space="0" w:color="9CC2E5" w:themeColor="accent5" w:themeTint="99"/>
              <w:right w:val="single" w:sz="2" w:space="0" w:color="9CC2E5" w:themeColor="accent5" w:themeTint="99"/>
            </w:tcBorders>
            <w:noWrap/>
            <w:vAlign w:val="center"/>
            <w:hideMark/>
          </w:tcPr>
          <w:p w14:paraId="4F952E20" w14:textId="77777777" w:rsidR="00495D25" w:rsidRDefault="00495D25" w:rsidP="00495D2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p>
        </w:tc>
        <w:tc>
          <w:tcPr>
            <w:tcW w:w="724" w:type="pct"/>
            <w:tcBorders>
              <w:top w:val="single" w:sz="2" w:space="0" w:color="9CC2E5" w:themeColor="accent5" w:themeTint="99"/>
              <w:left w:val="single" w:sz="2" w:space="0" w:color="9CC2E5" w:themeColor="accent5" w:themeTint="99"/>
              <w:bottom w:val="single" w:sz="2" w:space="0" w:color="9CC2E5" w:themeColor="accent5" w:themeTint="99"/>
              <w:right w:val="nil"/>
            </w:tcBorders>
            <w:noWrap/>
            <w:vAlign w:val="center"/>
            <w:hideMark/>
          </w:tcPr>
          <w:p w14:paraId="29176A74" w14:textId="77777777" w:rsidR="00495D25" w:rsidRDefault="00495D25"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z w:val="20"/>
                <w:szCs w:val="20"/>
                <w:lang w:eastAsia="en-GB"/>
              </w:rPr>
            </w:pPr>
          </w:p>
        </w:tc>
      </w:tr>
    </w:tbl>
    <w:p w14:paraId="3962D31D" w14:textId="77777777" w:rsidR="00495D25" w:rsidRDefault="00495D25" w:rsidP="00495D25">
      <w:pPr>
        <w:spacing w:before="0" w:after="0" w:line="240" w:lineRule="auto"/>
        <w:rPr>
          <w:sz w:val="20"/>
          <w:szCs w:val="20"/>
        </w:rPr>
      </w:pPr>
    </w:p>
    <w:p w14:paraId="0F7DF271" w14:textId="70DBC007" w:rsidR="00495D25" w:rsidRPr="00495D25" w:rsidRDefault="00495D25" w:rsidP="00495D25">
      <w:pPr>
        <w:spacing w:before="0" w:after="0" w:line="240" w:lineRule="auto"/>
        <w:rPr>
          <w:sz w:val="20"/>
          <w:szCs w:val="20"/>
        </w:rPr>
      </w:pPr>
      <w:r w:rsidRPr="00495D25">
        <w:rPr>
          <w:sz w:val="20"/>
          <w:szCs w:val="20"/>
        </w:rPr>
        <w:t>Sources:</w:t>
      </w:r>
    </w:p>
    <w:p w14:paraId="6DCAA57A" w14:textId="77777777" w:rsidR="00495D25" w:rsidRPr="00495D25" w:rsidRDefault="00495D25" w:rsidP="00495D25">
      <w:pPr>
        <w:pStyle w:val="ListParagraph"/>
        <w:numPr>
          <w:ilvl w:val="0"/>
          <w:numId w:val="5"/>
        </w:numPr>
        <w:rPr>
          <w:sz w:val="18"/>
          <w:szCs w:val="20"/>
        </w:rPr>
      </w:pPr>
      <w:r w:rsidRPr="00495D25">
        <w:rPr>
          <w:sz w:val="18"/>
          <w:szCs w:val="20"/>
        </w:rPr>
        <w:t xml:space="preserve">Deloitte (2019) </w:t>
      </w:r>
      <w:r w:rsidRPr="00495D25">
        <w:rPr>
          <w:i/>
          <w:iCs/>
          <w:sz w:val="18"/>
          <w:szCs w:val="20"/>
        </w:rPr>
        <w:t>Assessing the flexibility of coal-fired power plants for the integration of renewable energy in Germany</w:t>
      </w:r>
      <w:r w:rsidRPr="00495D25">
        <w:rPr>
          <w:sz w:val="18"/>
          <w:szCs w:val="20"/>
        </w:rPr>
        <w:t xml:space="preserve">. </w:t>
      </w:r>
      <w:hyperlink r:id="rId6" w:history="1">
        <w:r w:rsidRPr="00495D25">
          <w:rPr>
            <w:rStyle w:val="Hyperlink"/>
            <w:color w:val="0000FF"/>
            <w:sz w:val="18"/>
            <w:szCs w:val="20"/>
          </w:rPr>
          <w:t>https://www2.deloitte.com/content/dam/Deloitte/fr/Documents/financial-advisory/economicadvisory/deloitte_assessing-flexibility-coal-fired-power-plants.pdf</w:t>
        </w:r>
      </w:hyperlink>
      <w:r w:rsidRPr="00495D25">
        <w:rPr>
          <w:sz w:val="18"/>
          <w:szCs w:val="20"/>
        </w:rPr>
        <w:t>.</w:t>
      </w:r>
    </w:p>
    <w:p w14:paraId="123B34A8" w14:textId="77777777" w:rsidR="00495D25" w:rsidRPr="00495D25" w:rsidRDefault="00495D25" w:rsidP="00495D25">
      <w:pPr>
        <w:pStyle w:val="ListParagraph"/>
        <w:numPr>
          <w:ilvl w:val="0"/>
          <w:numId w:val="5"/>
        </w:numPr>
        <w:rPr>
          <w:sz w:val="18"/>
          <w:szCs w:val="20"/>
        </w:rPr>
      </w:pPr>
      <w:r w:rsidRPr="00495D25">
        <w:rPr>
          <w:sz w:val="18"/>
          <w:szCs w:val="20"/>
        </w:rPr>
        <w:t xml:space="preserve">Gonzalez-Salazar, M.A. (2018) Review of the operational flexibility and emissions of gas- and coal-fired power plants in a future with growing renewables. </w:t>
      </w:r>
      <w:r w:rsidRPr="00495D25">
        <w:rPr>
          <w:i/>
          <w:iCs/>
          <w:sz w:val="18"/>
          <w:szCs w:val="20"/>
        </w:rPr>
        <w:t>Renewable and Sustainable Energy Reviews</w:t>
      </w:r>
      <w:r w:rsidRPr="00495D25">
        <w:rPr>
          <w:sz w:val="18"/>
          <w:szCs w:val="20"/>
        </w:rPr>
        <w:t>. 17.</w:t>
      </w:r>
    </w:p>
    <w:p w14:paraId="1B338249" w14:textId="416DEC4F" w:rsidR="00495D25" w:rsidRDefault="00495D25" w:rsidP="00E74C3E">
      <w:pPr>
        <w:pStyle w:val="ListParagraph"/>
        <w:numPr>
          <w:ilvl w:val="0"/>
          <w:numId w:val="5"/>
        </w:numPr>
        <w:rPr>
          <w:sz w:val="18"/>
          <w:szCs w:val="20"/>
        </w:rPr>
      </w:pPr>
      <w:r w:rsidRPr="00495D25">
        <w:rPr>
          <w:sz w:val="18"/>
          <w:szCs w:val="20"/>
        </w:rPr>
        <w:t xml:space="preserve">Ramirez-Meyers, K., Neal Mann, W., </w:t>
      </w:r>
      <w:proofErr w:type="spellStart"/>
      <w:r w:rsidRPr="00495D25">
        <w:rPr>
          <w:sz w:val="18"/>
          <w:szCs w:val="20"/>
        </w:rPr>
        <w:t>Deetjen</w:t>
      </w:r>
      <w:proofErr w:type="spellEnd"/>
      <w:r w:rsidRPr="00495D25">
        <w:rPr>
          <w:sz w:val="18"/>
          <w:szCs w:val="20"/>
        </w:rPr>
        <w:t xml:space="preserve">, T.A., Johnson, S.C., Rhodes, J.D. &amp; Webber, M.E. (2021) How different power plant types contribute to electric grid reliability, resilience, and vulnerability: a comparative analytical framework. </w:t>
      </w:r>
      <w:r w:rsidRPr="00495D25">
        <w:rPr>
          <w:i/>
          <w:iCs/>
          <w:sz w:val="18"/>
          <w:szCs w:val="20"/>
        </w:rPr>
        <w:t>Progress in Energy</w:t>
      </w:r>
      <w:r w:rsidRPr="00495D25">
        <w:rPr>
          <w:sz w:val="18"/>
          <w:szCs w:val="20"/>
        </w:rPr>
        <w:t>. 3 (3), 033001. doi:</w:t>
      </w:r>
      <w:hyperlink r:id="rId7" w:history="1">
        <w:r w:rsidRPr="00495D25">
          <w:rPr>
            <w:rStyle w:val="Hyperlink"/>
            <w:color w:val="0000FF"/>
            <w:sz w:val="18"/>
            <w:szCs w:val="20"/>
          </w:rPr>
          <w:t>10.1088/2516-1083/abf636</w:t>
        </w:r>
      </w:hyperlink>
      <w:r w:rsidRPr="00495D25">
        <w:rPr>
          <w:sz w:val="18"/>
          <w:szCs w:val="20"/>
        </w:rPr>
        <w:t>.</w:t>
      </w:r>
    </w:p>
    <w:p w14:paraId="310F5FA7" w14:textId="77777777" w:rsidR="00CC3E5A" w:rsidRPr="00CC3E5A" w:rsidRDefault="00CC3E5A" w:rsidP="00CC3E5A">
      <w:pPr>
        <w:pStyle w:val="ListParagraph"/>
        <w:rPr>
          <w:sz w:val="18"/>
          <w:szCs w:val="20"/>
        </w:rPr>
      </w:pPr>
    </w:p>
    <w:p w14:paraId="037D613C" w14:textId="55BECDE9" w:rsidR="00CC3E5A" w:rsidRPr="00CC3E5A" w:rsidRDefault="00CC3E5A" w:rsidP="00CC3E5A">
      <w:pPr>
        <w:pStyle w:val="Caption"/>
        <w:keepNext/>
        <w:rPr>
          <w:sz w:val="22"/>
          <w:szCs w:val="22"/>
        </w:rPr>
      </w:pPr>
      <w:r w:rsidRPr="00CC3E5A">
        <w:rPr>
          <w:sz w:val="22"/>
          <w:szCs w:val="22"/>
        </w:rPr>
        <w:t xml:space="preserve">Table </w:t>
      </w:r>
      <w:r w:rsidRPr="00CC3E5A">
        <w:rPr>
          <w:sz w:val="22"/>
          <w:szCs w:val="22"/>
        </w:rPr>
        <w:fldChar w:fldCharType="begin"/>
      </w:r>
      <w:r w:rsidRPr="00CC3E5A">
        <w:rPr>
          <w:sz w:val="22"/>
          <w:szCs w:val="22"/>
        </w:rPr>
        <w:instrText xml:space="preserve"> SEQ Table \* ARABIC </w:instrText>
      </w:r>
      <w:r w:rsidRPr="00CC3E5A">
        <w:rPr>
          <w:sz w:val="22"/>
          <w:szCs w:val="22"/>
        </w:rPr>
        <w:fldChar w:fldCharType="separate"/>
      </w:r>
      <w:r w:rsidR="00A6528B">
        <w:rPr>
          <w:noProof/>
          <w:sz w:val="22"/>
          <w:szCs w:val="22"/>
        </w:rPr>
        <w:t>2</w:t>
      </w:r>
      <w:r w:rsidRPr="00CC3E5A">
        <w:rPr>
          <w:sz w:val="22"/>
          <w:szCs w:val="22"/>
        </w:rPr>
        <w:fldChar w:fldCharType="end"/>
      </w:r>
      <w:r w:rsidRPr="00CC3E5A">
        <w:rPr>
          <w:sz w:val="22"/>
          <w:szCs w:val="22"/>
        </w:rPr>
        <w:t>. Flexibility modelling penalties</w:t>
      </w:r>
    </w:p>
    <w:tbl>
      <w:tblPr>
        <w:tblStyle w:val="GridTable2-Accent1"/>
        <w:tblW w:w="6120" w:type="dxa"/>
        <w:jc w:val="center"/>
        <w:tblInd w:w="0" w:type="dxa"/>
        <w:tblLook w:val="04A0" w:firstRow="1" w:lastRow="0" w:firstColumn="1" w:lastColumn="0" w:noHBand="0" w:noVBand="1"/>
      </w:tblPr>
      <w:tblGrid>
        <w:gridCol w:w="3360"/>
        <w:gridCol w:w="2760"/>
      </w:tblGrid>
      <w:tr w:rsidR="007A2643" w14:paraId="2757A13F" w14:textId="77777777" w:rsidTr="002C35D1">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3360" w:type="dxa"/>
            <w:tcBorders>
              <w:left w:val="nil"/>
            </w:tcBorders>
            <w:noWrap/>
            <w:hideMark/>
          </w:tcPr>
          <w:p w14:paraId="7EB7BC6A" w14:textId="77777777" w:rsidR="007A2643" w:rsidRDefault="007A2643">
            <w:pPr>
              <w:spacing w:before="0" w:after="0" w:line="240" w:lineRule="auto"/>
              <w:rPr>
                <w:rFonts w:ascii="Calibri" w:eastAsia="Times New Roman" w:hAnsi="Calibri" w:cs="Calibri"/>
                <w:color w:val="000000"/>
                <w:sz w:val="22"/>
                <w:szCs w:val="22"/>
              </w:rPr>
            </w:pPr>
            <w:r>
              <w:rPr>
                <w:rFonts w:ascii="Calibri" w:eastAsia="Times New Roman" w:hAnsi="Calibri" w:cs="Calibri"/>
                <w:color w:val="000000"/>
                <w:sz w:val="22"/>
                <w:szCs w:val="22"/>
              </w:rPr>
              <w:t>Parameter</w:t>
            </w:r>
          </w:p>
        </w:tc>
        <w:tc>
          <w:tcPr>
            <w:tcW w:w="2760" w:type="dxa"/>
            <w:tcBorders>
              <w:right w:val="nil"/>
            </w:tcBorders>
            <w:noWrap/>
            <w:hideMark/>
          </w:tcPr>
          <w:p w14:paraId="69C435FA" w14:textId="77777777" w:rsidR="007A2643" w:rsidRDefault="007A2643">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Value</w:t>
            </w:r>
          </w:p>
        </w:tc>
      </w:tr>
      <w:tr w:rsidR="007A2643" w14:paraId="2CFB4614" w14:textId="77777777" w:rsidTr="002C35D1">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3360" w:type="dxa"/>
            <w:tcBorders>
              <w:top w:val="single" w:sz="2" w:space="0" w:color="8EAADB" w:themeColor="accent1" w:themeTint="99"/>
              <w:left w:val="nil"/>
              <w:bottom w:val="single" w:sz="2" w:space="0" w:color="8EAADB" w:themeColor="accent1" w:themeTint="99"/>
              <w:right w:val="single" w:sz="2" w:space="0" w:color="8EAADB" w:themeColor="accent1" w:themeTint="99"/>
            </w:tcBorders>
            <w:noWrap/>
            <w:hideMark/>
          </w:tcPr>
          <w:p w14:paraId="67D1B72A" w14:textId="77777777" w:rsidR="007A2643" w:rsidRDefault="007A2643">
            <w:pPr>
              <w:spacing w:before="0" w:after="0" w:line="240" w:lineRule="auto"/>
              <w:rPr>
                <w:rFonts w:ascii="Calibri" w:eastAsia="Times New Roman" w:hAnsi="Calibri" w:cs="Calibri"/>
                <w:color w:val="000000"/>
                <w:sz w:val="22"/>
                <w:szCs w:val="22"/>
              </w:rPr>
            </w:pPr>
            <w:r>
              <w:rPr>
                <w:rFonts w:ascii="Calibri" w:eastAsia="Times New Roman" w:hAnsi="Calibri" w:cs="Calibri"/>
                <w:color w:val="000000"/>
                <w:sz w:val="22"/>
                <w:szCs w:val="22"/>
              </w:rPr>
              <w:t xml:space="preserve">CO2 cost </w:t>
            </w:r>
          </w:p>
        </w:tc>
        <w:tc>
          <w:tcPr>
            <w:tcW w:w="2760" w:type="dxa"/>
            <w:tcBorders>
              <w:top w:val="single" w:sz="2" w:space="0" w:color="8EAADB" w:themeColor="accent1" w:themeTint="99"/>
              <w:left w:val="single" w:sz="2" w:space="0" w:color="8EAADB" w:themeColor="accent1" w:themeTint="99"/>
              <w:bottom w:val="single" w:sz="2" w:space="0" w:color="8EAADB" w:themeColor="accent1" w:themeTint="99"/>
              <w:right w:val="nil"/>
            </w:tcBorders>
            <w:noWrap/>
            <w:hideMark/>
          </w:tcPr>
          <w:p w14:paraId="736CB8D2" w14:textId="77777777" w:rsidR="007A2643" w:rsidRDefault="007A264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2 USD/</w:t>
            </w:r>
            <w:proofErr w:type="spellStart"/>
            <w:r>
              <w:rPr>
                <w:rFonts w:ascii="Calibri" w:eastAsia="Times New Roman" w:hAnsi="Calibri" w:cs="Calibri"/>
                <w:color w:val="000000"/>
                <w:sz w:val="22"/>
                <w:szCs w:val="22"/>
              </w:rPr>
              <w:t>Tonne</w:t>
            </w:r>
            <w:proofErr w:type="spellEnd"/>
            <w:r>
              <w:rPr>
                <w:rFonts w:ascii="Calibri" w:eastAsia="Times New Roman" w:hAnsi="Calibri" w:cs="Calibri"/>
                <w:color w:val="000000"/>
                <w:sz w:val="22"/>
                <w:szCs w:val="22"/>
                <w:vertAlign w:val="superscript"/>
              </w:rPr>
              <w:t xml:space="preserve"> 1</w:t>
            </w:r>
          </w:p>
        </w:tc>
      </w:tr>
      <w:tr w:rsidR="007A2643" w14:paraId="0362B1E1" w14:textId="77777777" w:rsidTr="002C35D1">
        <w:trPr>
          <w:trHeight w:val="300"/>
          <w:jc w:val="center"/>
        </w:trPr>
        <w:tc>
          <w:tcPr>
            <w:cnfStyle w:val="001000000000" w:firstRow="0" w:lastRow="0" w:firstColumn="1" w:lastColumn="0" w:oddVBand="0" w:evenVBand="0" w:oddHBand="0" w:evenHBand="0" w:firstRowFirstColumn="0" w:firstRowLastColumn="0" w:lastRowFirstColumn="0" w:lastRowLastColumn="0"/>
            <w:tcW w:w="3360" w:type="dxa"/>
            <w:tcBorders>
              <w:top w:val="single" w:sz="2" w:space="0" w:color="8EAADB" w:themeColor="accent1" w:themeTint="99"/>
              <w:left w:val="nil"/>
              <w:bottom w:val="single" w:sz="2" w:space="0" w:color="8EAADB" w:themeColor="accent1" w:themeTint="99"/>
              <w:right w:val="single" w:sz="2" w:space="0" w:color="8EAADB" w:themeColor="accent1" w:themeTint="99"/>
            </w:tcBorders>
            <w:noWrap/>
            <w:hideMark/>
          </w:tcPr>
          <w:p w14:paraId="3EBC356C" w14:textId="77777777" w:rsidR="007A2643" w:rsidRDefault="007A2643">
            <w:pPr>
              <w:spacing w:before="0" w:after="0" w:line="240" w:lineRule="auto"/>
              <w:rPr>
                <w:rFonts w:ascii="Calibri" w:eastAsia="Times New Roman" w:hAnsi="Calibri" w:cs="Calibri"/>
                <w:color w:val="000000"/>
                <w:sz w:val="22"/>
                <w:szCs w:val="22"/>
              </w:rPr>
            </w:pPr>
            <w:r>
              <w:rPr>
                <w:rFonts w:ascii="Calibri" w:eastAsia="Times New Roman" w:hAnsi="Calibri" w:cs="Calibri"/>
                <w:color w:val="000000"/>
                <w:sz w:val="22"/>
                <w:szCs w:val="22"/>
              </w:rPr>
              <w:t xml:space="preserve">Loss of load penalty </w:t>
            </w:r>
          </w:p>
        </w:tc>
        <w:tc>
          <w:tcPr>
            <w:tcW w:w="2760" w:type="dxa"/>
            <w:tcBorders>
              <w:top w:val="single" w:sz="2" w:space="0" w:color="8EAADB" w:themeColor="accent1" w:themeTint="99"/>
              <w:left w:val="single" w:sz="2" w:space="0" w:color="8EAADB" w:themeColor="accent1" w:themeTint="99"/>
              <w:bottom w:val="single" w:sz="2" w:space="0" w:color="8EAADB" w:themeColor="accent1" w:themeTint="99"/>
              <w:right w:val="nil"/>
            </w:tcBorders>
            <w:noWrap/>
            <w:hideMark/>
          </w:tcPr>
          <w:p w14:paraId="555A4700" w14:textId="77777777" w:rsidR="007A2643" w:rsidRDefault="007A2643">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10,000 USD/MWh</w:t>
            </w:r>
            <w:r>
              <w:rPr>
                <w:rFonts w:ascii="Calibri" w:eastAsia="Times New Roman" w:hAnsi="Calibri" w:cs="Calibri"/>
                <w:color w:val="000000"/>
                <w:sz w:val="22"/>
                <w:szCs w:val="22"/>
                <w:vertAlign w:val="superscript"/>
              </w:rPr>
              <w:t>2</w:t>
            </w:r>
          </w:p>
        </w:tc>
      </w:tr>
      <w:tr w:rsidR="007A2643" w14:paraId="26F5EF28" w14:textId="77777777" w:rsidTr="002C35D1">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3360" w:type="dxa"/>
            <w:tcBorders>
              <w:top w:val="single" w:sz="2" w:space="0" w:color="8EAADB" w:themeColor="accent1" w:themeTint="99"/>
              <w:left w:val="nil"/>
              <w:bottom w:val="single" w:sz="2" w:space="0" w:color="8EAADB" w:themeColor="accent1" w:themeTint="99"/>
              <w:right w:val="single" w:sz="2" w:space="0" w:color="8EAADB" w:themeColor="accent1" w:themeTint="99"/>
            </w:tcBorders>
            <w:noWrap/>
            <w:hideMark/>
          </w:tcPr>
          <w:p w14:paraId="7C4EC745" w14:textId="77777777" w:rsidR="007A2643" w:rsidRDefault="007A2643">
            <w:pPr>
              <w:spacing w:before="0" w:after="0" w:line="240" w:lineRule="auto"/>
              <w:rPr>
                <w:rFonts w:ascii="Calibri" w:eastAsia="Times New Roman" w:hAnsi="Calibri" w:cs="Calibri"/>
                <w:color w:val="000000"/>
                <w:sz w:val="22"/>
                <w:szCs w:val="22"/>
              </w:rPr>
            </w:pPr>
            <w:r>
              <w:rPr>
                <w:rFonts w:ascii="Calibri" w:eastAsia="Times New Roman" w:hAnsi="Calibri" w:cs="Calibri"/>
                <w:color w:val="000000"/>
                <w:sz w:val="22"/>
                <w:szCs w:val="22"/>
              </w:rPr>
              <w:t xml:space="preserve">Loss of reserves penalty </w:t>
            </w:r>
          </w:p>
        </w:tc>
        <w:tc>
          <w:tcPr>
            <w:tcW w:w="2760" w:type="dxa"/>
            <w:tcBorders>
              <w:top w:val="single" w:sz="2" w:space="0" w:color="8EAADB" w:themeColor="accent1" w:themeTint="99"/>
              <w:left w:val="single" w:sz="2" w:space="0" w:color="8EAADB" w:themeColor="accent1" w:themeTint="99"/>
              <w:bottom w:val="single" w:sz="2" w:space="0" w:color="8EAADB" w:themeColor="accent1" w:themeTint="99"/>
              <w:right w:val="nil"/>
            </w:tcBorders>
            <w:noWrap/>
            <w:hideMark/>
          </w:tcPr>
          <w:p w14:paraId="753FADA8" w14:textId="77777777" w:rsidR="007A2643" w:rsidRDefault="007A264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2,000 USD/MWh</w:t>
            </w:r>
            <w:r>
              <w:rPr>
                <w:rFonts w:ascii="Calibri" w:eastAsia="Times New Roman" w:hAnsi="Calibri" w:cs="Calibri"/>
                <w:color w:val="000000"/>
                <w:sz w:val="22"/>
                <w:szCs w:val="22"/>
                <w:vertAlign w:val="superscript"/>
              </w:rPr>
              <w:t>1</w:t>
            </w:r>
          </w:p>
        </w:tc>
      </w:tr>
      <w:tr w:rsidR="007A2643" w14:paraId="37C42636" w14:textId="77777777" w:rsidTr="002C35D1">
        <w:trPr>
          <w:trHeight w:val="300"/>
          <w:jc w:val="center"/>
        </w:trPr>
        <w:tc>
          <w:tcPr>
            <w:cnfStyle w:val="001000000000" w:firstRow="0" w:lastRow="0" w:firstColumn="1" w:lastColumn="0" w:oddVBand="0" w:evenVBand="0" w:oddHBand="0" w:evenHBand="0" w:firstRowFirstColumn="0" w:firstRowLastColumn="0" w:lastRowFirstColumn="0" w:lastRowLastColumn="0"/>
            <w:tcW w:w="3360" w:type="dxa"/>
            <w:tcBorders>
              <w:top w:val="single" w:sz="2" w:space="0" w:color="8EAADB" w:themeColor="accent1" w:themeTint="99"/>
              <w:left w:val="nil"/>
              <w:bottom w:val="single" w:sz="2" w:space="0" w:color="8EAADB" w:themeColor="accent1" w:themeTint="99"/>
              <w:right w:val="single" w:sz="2" w:space="0" w:color="8EAADB" w:themeColor="accent1" w:themeTint="99"/>
            </w:tcBorders>
            <w:noWrap/>
            <w:hideMark/>
          </w:tcPr>
          <w:p w14:paraId="43E4A560" w14:textId="77777777" w:rsidR="007A2643" w:rsidRDefault="007A2643">
            <w:pPr>
              <w:spacing w:before="0" w:after="0" w:line="240" w:lineRule="auto"/>
              <w:rPr>
                <w:rFonts w:ascii="Calibri" w:eastAsia="Times New Roman" w:hAnsi="Calibri" w:cs="Calibri"/>
                <w:color w:val="000000"/>
                <w:sz w:val="22"/>
                <w:szCs w:val="22"/>
              </w:rPr>
            </w:pPr>
            <w:r>
              <w:rPr>
                <w:rFonts w:ascii="Calibri" w:eastAsia="Times New Roman" w:hAnsi="Calibri" w:cs="Calibri"/>
                <w:color w:val="000000"/>
                <w:sz w:val="22"/>
                <w:szCs w:val="22"/>
              </w:rPr>
              <w:t>Lack of inertia penalty</w:t>
            </w:r>
          </w:p>
        </w:tc>
        <w:tc>
          <w:tcPr>
            <w:tcW w:w="2760" w:type="dxa"/>
            <w:tcBorders>
              <w:top w:val="single" w:sz="2" w:space="0" w:color="8EAADB" w:themeColor="accent1" w:themeTint="99"/>
              <w:left w:val="single" w:sz="2" w:space="0" w:color="8EAADB" w:themeColor="accent1" w:themeTint="99"/>
              <w:bottom w:val="single" w:sz="2" w:space="0" w:color="8EAADB" w:themeColor="accent1" w:themeTint="99"/>
              <w:right w:val="nil"/>
            </w:tcBorders>
            <w:noWrap/>
            <w:hideMark/>
          </w:tcPr>
          <w:p w14:paraId="35A93788" w14:textId="77777777" w:rsidR="007A2643" w:rsidRDefault="007A2643">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3,000 USD/MWh</w:t>
            </w:r>
            <w:r>
              <w:rPr>
                <w:rFonts w:ascii="Calibri" w:eastAsia="Times New Roman" w:hAnsi="Calibri" w:cs="Calibri"/>
                <w:color w:val="000000"/>
                <w:sz w:val="22"/>
                <w:szCs w:val="22"/>
                <w:vertAlign w:val="superscript"/>
              </w:rPr>
              <w:t>1</w:t>
            </w:r>
          </w:p>
        </w:tc>
      </w:tr>
      <w:tr w:rsidR="007A2643" w14:paraId="1F857784" w14:textId="77777777" w:rsidTr="002C35D1">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3360" w:type="dxa"/>
            <w:tcBorders>
              <w:top w:val="single" w:sz="2" w:space="0" w:color="8EAADB" w:themeColor="accent1" w:themeTint="99"/>
              <w:left w:val="nil"/>
              <w:bottom w:val="single" w:sz="2" w:space="0" w:color="8EAADB" w:themeColor="accent1" w:themeTint="99"/>
              <w:right w:val="single" w:sz="2" w:space="0" w:color="8EAADB" w:themeColor="accent1" w:themeTint="99"/>
            </w:tcBorders>
            <w:noWrap/>
            <w:hideMark/>
          </w:tcPr>
          <w:p w14:paraId="7AFABC3B" w14:textId="77777777" w:rsidR="007A2643" w:rsidRDefault="007A2643">
            <w:pPr>
              <w:spacing w:before="0" w:after="0" w:line="240" w:lineRule="auto"/>
              <w:rPr>
                <w:rFonts w:ascii="Calibri" w:eastAsia="Times New Roman" w:hAnsi="Calibri" w:cs="Calibri"/>
                <w:color w:val="000000"/>
                <w:sz w:val="22"/>
                <w:szCs w:val="22"/>
              </w:rPr>
            </w:pPr>
            <w:r>
              <w:rPr>
                <w:rFonts w:ascii="Calibri" w:eastAsia="Times New Roman" w:hAnsi="Calibri" w:cs="Calibri"/>
                <w:color w:val="000000"/>
                <w:sz w:val="22"/>
                <w:szCs w:val="22"/>
              </w:rPr>
              <w:t>Curtailment penalty</w:t>
            </w:r>
          </w:p>
        </w:tc>
        <w:tc>
          <w:tcPr>
            <w:tcW w:w="2760" w:type="dxa"/>
            <w:tcBorders>
              <w:top w:val="single" w:sz="2" w:space="0" w:color="8EAADB" w:themeColor="accent1" w:themeTint="99"/>
              <w:left w:val="single" w:sz="2" w:space="0" w:color="8EAADB" w:themeColor="accent1" w:themeTint="99"/>
              <w:bottom w:val="single" w:sz="2" w:space="0" w:color="8EAADB" w:themeColor="accent1" w:themeTint="99"/>
              <w:right w:val="nil"/>
            </w:tcBorders>
            <w:noWrap/>
            <w:hideMark/>
          </w:tcPr>
          <w:p w14:paraId="001422BE" w14:textId="77777777" w:rsidR="007A2643" w:rsidRDefault="007A264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8 USD/MWh</w:t>
            </w:r>
            <w:r>
              <w:rPr>
                <w:rFonts w:ascii="Calibri" w:eastAsia="Times New Roman" w:hAnsi="Calibri" w:cs="Calibri"/>
                <w:color w:val="000000"/>
                <w:sz w:val="22"/>
                <w:szCs w:val="22"/>
                <w:vertAlign w:val="superscript"/>
              </w:rPr>
              <w:t>1</w:t>
            </w:r>
          </w:p>
        </w:tc>
      </w:tr>
      <w:tr w:rsidR="007A2643" w14:paraId="0EC95C03" w14:textId="77777777" w:rsidTr="002C35D1">
        <w:trPr>
          <w:trHeight w:val="300"/>
          <w:jc w:val="center"/>
        </w:trPr>
        <w:tc>
          <w:tcPr>
            <w:cnfStyle w:val="001000000000" w:firstRow="0" w:lastRow="0" w:firstColumn="1" w:lastColumn="0" w:oddVBand="0" w:evenVBand="0" w:oddHBand="0" w:evenHBand="0" w:firstRowFirstColumn="0" w:firstRowLastColumn="0" w:lastRowFirstColumn="0" w:lastRowLastColumn="0"/>
            <w:tcW w:w="3360" w:type="dxa"/>
            <w:tcBorders>
              <w:top w:val="single" w:sz="2" w:space="0" w:color="8EAADB" w:themeColor="accent1" w:themeTint="99"/>
              <w:left w:val="nil"/>
              <w:bottom w:val="single" w:sz="2" w:space="0" w:color="8EAADB" w:themeColor="accent1" w:themeTint="99"/>
              <w:right w:val="single" w:sz="2" w:space="0" w:color="8EAADB" w:themeColor="accent1" w:themeTint="99"/>
            </w:tcBorders>
            <w:noWrap/>
            <w:hideMark/>
          </w:tcPr>
          <w:p w14:paraId="5E46C809" w14:textId="77777777" w:rsidR="007A2643" w:rsidRDefault="007A2643">
            <w:pPr>
              <w:spacing w:before="0" w:after="0" w:line="240" w:lineRule="auto"/>
              <w:rPr>
                <w:rFonts w:ascii="Calibri" w:eastAsia="Times New Roman" w:hAnsi="Calibri" w:cs="Calibri"/>
                <w:color w:val="000000"/>
                <w:sz w:val="22"/>
                <w:szCs w:val="22"/>
              </w:rPr>
            </w:pPr>
            <w:r>
              <w:rPr>
                <w:rFonts w:ascii="Calibri" w:eastAsia="Times New Roman" w:hAnsi="Calibri" w:cs="Calibri"/>
                <w:color w:val="000000"/>
                <w:sz w:val="22"/>
                <w:szCs w:val="22"/>
              </w:rPr>
              <w:t>Lack of capacity penalty</w:t>
            </w:r>
          </w:p>
        </w:tc>
        <w:tc>
          <w:tcPr>
            <w:tcW w:w="2760" w:type="dxa"/>
            <w:tcBorders>
              <w:top w:val="single" w:sz="2" w:space="0" w:color="8EAADB" w:themeColor="accent1" w:themeTint="99"/>
              <w:left w:val="single" w:sz="2" w:space="0" w:color="8EAADB" w:themeColor="accent1" w:themeTint="99"/>
              <w:bottom w:val="single" w:sz="2" w:space="0" w:color="8EAADB" w:themeColor="accent1" w:themeTint="99"/>
              <w:right w:val="nil"/>
            </w:tcBorders>
            <w:noWrap/>
            <w:hideMark/>
          </w:tcPr>
          <w:p w14:paraId="5C74FAE0" w14:textId="77777777" w:rsidR="007A2643" w:rsidRDefault="007A2643">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500</w:t>
            </w:r>
            <w:r>
              <w:rPr>
                <w:rFonts w:ascii="Calibri" w:eastAsia="Times New Roman" w:hAnsi="Calibri" w:cs="Calibri"/>
                <w:color w:val="000000"/>
                <w:sz w:val="22"/>
                <w:szCs w:val="22"/>
                <w:vertAlign w:val="superscript"/>
              </w:rPr>
              <w:t>1</w:t>
            </w:r>
          </w:p>
        </w:tc>
      </w:tr>
      <w:tr w:rsidR="007A2643" w14:paraId="2BC82903" w14:textId="77777777" w:rsidTr="002C35D1">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3360" w:type="dxa"/>
            <w:tcBorders>
              <w:top w:val="single" w:sz="2" w:space="0" w:color="8EAADB" w:themeColor="accent1" w:themeTint="99"/>
              <w:left w:val="nil"/>
              <w:bottom w:val="single" w:sz="2" w:space="0" w:color="8EAADB" w:themeColor="accent1" w:themeTint="99"/>
              <w:right w:val="single" w:sz="2" w:space="0" w:color="8EAADB" w:themeColor="accent1" w:themeTint="99"/>
            </w:tcBorders>
            <w:noWrap/>
            <w:hideMark/>
          </w:tcPr>
          <w:p w14:paraId="5DDBA37F" w14:textId="77777777" w:rsidR="007A2643" w:rsidRDefault="007A2643">
            <w:pPr>
              <w:spacing w:before="0" w:after="0" w:line="240" w:lineRule="auto"/>
              <w:rPr>
                <w:rFonts w:ascii="Calibri" w:eastAsia="Times New Roman" w:hAnsi="Calibri" w:cs="Calibri"/>
                <w:color w:val="000000"/>
                <w:sz w:val="22"/>
                <w:szCs w:val="22"/>
              </w:rPr>
            </w:pPr>
            <w:r>
              <w:rPr>
                <w:rFonts w:ascii="Calibri" w:eastAsia="Times New Roman" w:hAnsi="Calibri" w:cs="Calibri"/>
                <w:color w:val="000000"/>
                <w:sz w:val="22"/>
                <w:szCs w:val="22"/>
              </w:rPr>
              <w:t xml:space="preserve">Time modelled  </w:t>
            </w:r>
          </w:p>
        </w:tc>
        <w:tc>
          <w:tcPr>
            <w:tcW w:w="2760" w:type="dxa"/>
            <w:tcBorders>
              <w:top w:val="single" w:sz="2" w:space="0" w:color="8EAADB" w:themeColor="accent1" w:themeTint="99"/>
              <w:left w:val="single" w:sz="2" w:space="0" w:color="8EAADB" w:themeColor="accent1" w:themeTint="99"/>
              <w:bottom w:val="single" w:sz="2" w:space="0" w:color="8EAADB" w:themeColor="accent1" w:themeTint="99"/>
              <w:right w:val="nil"/>
            </w:tcBorders>
            <w:noWrap/>
            <w:hideMark/>
          </w:tcPr>
          <w:p w14:paraId="4E1C391F" w14:textId="77777777" w:rsidR="007A2643" w:rsidRDefault="007A264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rPr>
            </w:pPr>
            <w:r>
              <w:rPr>
                <w:rFonts w:ascii="Calibri" w:eastAsia="Times New Roman" w:hAnsi="Calibri" w:cs="Calibri"/>
                <w:color w:val="000000"/>
                <w:sz w:val="22"/>
                <w:szCs w:val="22"/>
              </w:rPr>
              <w:t>1.000 year</w:t>
            </w:r>
          </w:p>
        </w:tc>
      </w:tr>
    </w:tbl>
    <w:p w14:paraId="252D6F79" w14:textId="77777777" w:rsidR="007A2643" w:rsidRPr="002C35D1" w:rsidRDefault="007A2643" w:rsidP="007A2643">
      <w:pPr>
        <w:spacing w:after="0"/>
        <w:rPr>
          <w:sz w:val="18"/>
          <w:szCs w:val="18"/>
        </w:rPr>
      </w:pPr>
      <w:r w:rsidRPr="002C35D1">
        <w:rPr>
          <w:sz w:val="18"/>
          <w:szCs w:val="18"/>
        </w:rPr>
        <w:t xml:space="preserve">Sources: </w:t>
      </w:r>
    </w:p>
    <w:p w14:paraId="5B1A3219" w14:textId="77777777" w:rsidR="007A2643" w:rsidRPr="002C35D1" w:rsidRDefault="007A2643" w:rsidP="007A2643">
      <w:pPr>
        <w:pStyle w:val="ListParagraph"/>
        <w:numPr>
          <w:ilvl w:val="0"/>
          <w:numId w:val="4"/>
        </w:numPr>
        <w:rPr>
          <w:sz w:val="18"/>
          <w:szCs w:val="18"/>
        </w:rPr>
      </w:pPr>
      <w:r w:rsidRPr="002C35D1">
        <w:rPr>
          <w:sz w:val="18"/>
          <w:szCs w:val="18"/>
        </w:rPr>
        <w:t>Assumption, one tenth of default value to adjust for national context.</w:t>
      </w:r>
    </w:p>
    <w:p w14:paraId="1700CB51" w14:textId="77777777" w:rsidR="007A2643" w:rsidRPr="002C35D1" w:rsidRDefault="007A2643" w:rsidP="007A2643">
      <w:pPr>
        <w:pStyle w:val="ListParagraph"/>
        <w:numPr>
          <w:ilvl w:val="0"/>
          <w:numId w:val="4"/>
        </w:numPr>
        <w:rPr>
          <w:sz w:val="18"/>
          <w:szCs w:val="18"/>
        </w:rPr>
      </w:pPr>
      <w:proofErr w:type="spellStart"/>
      <w:r w:rsidRPr="002C35D1">
        <w:rPr>
          <w:sz w:val="18"/>
          <w:szCs w:val="18"/>
          <w:lang w:val="en-US"/>
        </w:rPr>
        <w:t>Daggash</w:t>
      </w:r>
      <w:proofErr w:type="spellEnd"/>
      <w:r w:rsidRPr="002C35D1">
        <w:rPr>
          <w:sz w:val="18"/>
          <w:szCs w:val="18"/>
          <w:lang w:val="en-US"/>
        </w:rPr>
        <w:t xml:space="preserve">, H.A. &amp; Mac Dowell, N. (2021) Delivering low-carbon electricity systems in sub-Saharan Africa: insights from Nigeria. </w:t>
      </w:r>
      <w:r w:rsidRPr="002C35D1">
        <w:rPr>
          <w:i/>
          <w:iCs/>
          <w:sz w:val="18"/>
          <w:szCs w:val="18"/>
          <w:lang w:val="en-US"/>
        </w:rPr>
        <w:t>Energy &amp; Environmental Science</w:t>
      </w:r>
      <w:r w:rsidRPr="002C35D1">
        <w:rPr>
          <w:sz w:val="18"/>
          <w:szCs w:val="18"/>
          <w:lang w:val="en-US"/>
        </w:rPr>
        <w:t>. 14 (7), 4018–4037. doi:</w:t>
      </w:r>
      <w:hyperlink r:id="rId8" w:history="1">
        <w:r w:rsidRPr="002C35D1">
          <w:rPr>
            <w:rStyle w:val="Hyperlink"/>
            <w:sz w:val="18"/>
            <w:szCs w:val="18"/>
            <w:lang w:val="en-US"/>
          </w:rPr>
          <w:t>10.1039/D1EE00746G</w:t>
        </w:r>
      </w:hyperlink>
      <w:r w:rsidRPr="002C35D1">
        <w:rPr>
          <w:sz w:val="18"/>
          <w:szCs w:val="18"/>
          <w:lang w:val="en-US"/>
        </w:rPr>
        <w:t>.</w:t>
      </w:r>
    </w:p>
    <w:p w14:paraId="67093C4A" w14:textId="362EB635" w:rsidR="007A2643" w:rsidRPr="00E153A1" w:rsidRDefault="007A2643" w:rsidP="00E74C3E">
      <w:pPr>
        <w:pStyle w:val="ListParagraph"/>
        <w:numPr>
          <w:ilvl w:val="0"/>
          <w:numId w:val="4"/>
        </w:numPr>
        <w:rPr>
          <w:sz w:val="21"/>
          <w:szCs w:val="21"/>
          <w:lang w:val="en-US"/>
        </w:rPr>
      </w:pPr>
      <w:r w:rsidRPr="002C35D1">
        <w:rPr>
          <w:sz w:val="18"/>
          <w:szCs w:val="18"/>
        </w:rPr>
        <w:t xml:space="preserve">Qi Ye, Lu Jiaqi, &amp; Zhu </w:t>
      </w:r>
      <w:proofErr w:type="spellStart"/>
      <w:r w:rsidRPr="002C35D1">
        <w:rPr>
          <w:sz w:val="18"/>
          <w:szCs w:val="18"/>
        </w:rPr>
        <w:t>Mengye</w:t>
      </w:r>
      <w:proofErr w:type="spellEnd"/>
      <w:r w:rsidRPr="002C35D1">
        <w:rPr>
          <w:sz w:val="18"/>
          <w:szCs w:val="18"/>
        </w:rPr>
        <w:t xml:space="preserve"> (n.d.) </w:t>
      </w:r>
      <w:r w:rsidRPr="002C35D1">
        <w:rPr>
          <w:i/>
          <w:iCs/>
          <w:sz w:val="18"/>
          <w:szCs w:val="18"/>
        </w:rPr>
        <w:t>Wind Curtailment in China and Lessons from the United States</w:t>
      </w:r>
      <w:r w:rsidRPr="002C35D1">
        <w:rPr>
          <w:sz w:val="18"/>
          <w:szCs w:val="18"/>
        </w:rPr>
        <w:t xml:space="preserve">. </w:t>
      </w:r>
      <w:hyperlink r:id="rId9" w:history="1">
        <w:r w:rsidRPr="002C35D1">
          <w:rPr>
            <w:rStyle w:val="Hyperlink"/>
            <w:sz w:val="18"/>
            <w:szCs w:val="18"/>
          </w:rPr>
          <w:t>https://www.brookings.edu/wp-content/uploads/2018/03/wind-curtailment-in-china-and-lessons-from-the-united-states1.pdf</w:t>
        </w:r>
      </w:hyperlink>
      <w:r w:rsidRPr="002C35D1">
        <w:rPr>
          <w:sz w:val="18"/>
          <w:szCs w:val="18"/>
        </w:rPr>
        <w:t>.</w:t>
      </w:r>
    </w:p>
    <w:p w14:paraId="5CE927CB" w14:textId="2336E9CD" w:rsidR="005D7AD4" w:rsidRDefault="000C435B" w:rsidP="00E153A1">
      <w:pPr>
        <w:pStyle w:val="Heading2"/>
      </w:pPr>
      <w:r>
        <w:lastRenderedPageBreak/>
        <w:t>Scenarios</w:t>
      </w:r>
    </w:p>
    <w:p w14:paraId="12ADF5B7" w14:textId="4430CA6F" w:rsidR="001C52E2" w:rsidRDefault="00C77AB5" w:rsidP="00270586">
      <w:pPr>
        <w:spacing w:before="0" w:line="240" w:lineRule="auto"/>
      </w:pPr>
      <w:r w:rsidRPr="001C52E2">
        <w:t xml:space="preserve">The scenarios explored in the FlexTool modelling </w:t>
      </w:r>
      <w:r w:rsidR="001C52E2">
        <w:t>mirror</w:t>
      </w:r>
      <w:r w:rsidRPr="001C52E2">
        <w:t xml:space="preserve"> the </w:t>
      </w:r>
      <w:r w:rsidR="00270586" w:rsidRPr="001C52E2">
        <w:t>scenarios</w:t>
      </w:r>
      <w:r w:rsidRPr="001C52E2">
        <w:t xml:space="preserve"> used in the OSeMOSYS modelling</w:t>
      </w:r>
      <w:r w:rsidR="000C435B" w:rsidRPr="001C52E2">
        <w:t xml:space="preserve">. </w:t>
      </w:r>
      <w:r w:rsidR="001C52E2" w:rsidRPr="00A6528B">
        <w:t xml:space="preserve">Table </w:t>
      </w:r>
      <w:r w:rsidR="00A6528B" w:rsidRPr="00A6528B">
        <w:t>3</w:t>
      </w:r>
      <w:r w:rsidR="001C52E2">
        <w:t xml:space="preserve"> provides an outline of what was modelled in O</w:t>
      </w:r>
      <w:r w:rsidR="00270586">
        <w:t>Se</w:t>
      </w:r>
      <w:r w:rsidR="001C52E2">
        <w:t xml:space="preserve">MOSYS but further detail on the constraints used in each scenario can also be found in the OSeMOSYS scenario brief. </w:t>
      </w:r>
    </w:p>
    <w:p w14:paraId="4326E1EC" w14:textId="413B8D6B" w:rsidR="00A6528B" w:rsidRPr="00A6528B" w:rsidRDefault="00A6528B" w:rsidP="00A6528B">
      <w:pPr>
        <w:pStyle w:val="Caption"/>
        <w:keepNext/>
        <w:rPr>
          <w:sz w:val="22"/>
          <w:szCs w:val="22"/>
        </w:rPr>
      </w:pPr>
      <w:r w:rsidRPr="00A6528B">
        <w:rPr>
          <w:sz w:val="22"/>
          <w:szCs w:val="22"/>
        </w:rPr>
        <w:t xml:space="preserve">Table </w:t>
      </w:r>
      <w:r w:rsidRPr="00A6528B">
        <w:rPr>
          <w:sz w:val="22"/>
          <w:szCs w:val="22"/>
        </w:rPr>
        <w:fldChar w:fldCharType="begin"/>
      </w:r>
      <w:r w:rsidRPr="00A6528B">
        <w:rPr>
          <w:sz w:val="22"/>
          <w:szCs w:val="22"/>
        </w:rPr>
        <w:instrText xml:space="preserve"> SEQ Table \* ARABIC </w:instrText>
      </w:r>
      <w:r w:rsidRPr="00A6528B">
        <w:rPr>
          <w:sz w:val="22"/>
          <w:szCs w:val="22"/>
        </w:rPr>
        <w:fldChar w:fldCharType="separate"/>
      </w:r>
      <w:r>
        <w:rPr>
          <w:noProof/>
          <w:sz w:val="22"/>
          <w:szCs w:val="22"/>
        </w:rPr>
        <w:t>3</w:t>
      </w:r>
      <w:r w:rsidRPr="00A6528B">
        <w:rPr>
          <w:sz w:val="22"/>
          <w:szCs w:val="22"/>
        </w:rPr>
        <w:fldChar w:fldCharType="end"/>
      </w:r>
      <w:r w:rsidRPr="00A6528B">
        <w:rPr>
          <w:sz w:val="22"/>
          <w:szCs w:val="22"/>
        </w:rPr>
        <w:t>. Scenario overview</w:t>
      </w:r>
    </w:p>
    <w:tbl>
      <w:tblPr>
        <w:tblStyle w:val="GridTable7Colorful-Accent5"/>
        <w:tblW w:w="0" w:type="auto"/>
        <w:tblInd w:w="10" w:type="dxa"/>
        <w:tblLook w:val="04A0" w:firstRow="1" w:lastRow="0" w:firstColumn="1" w:lastColumn="0" w:noHBand="0" w:noVBand="1"/>
      </w:tblPr>
      <w:tblGrid>
        <w:gridCol w:w="1579"/>
        <w:gridCol w:w="7776"/>
      </w:tblGrid>
      <w:tr w:rsidR="001C52E2" w14:paraId="68C45247" w14:textId="77777777" w:rsidTr="00A6528B">
        <w:trPr>
          <w:cnfStyle w:val="100000000000" w:firstRow="1" w:lastRow="0" w:firstColumn="0" w:lastColumn="0" w:oddVBand="0" w:evenVBand="0" w:oddHBand="0" w:evenHBand="0" w:firstRowFirstColumn="0" w:firstRowLastColumn="0" w:lastRowFirstColumn="0" w:lastRowLastColumn="0"/>
          <w:trHeight w:val="432"/>
        </w:trPr>
        <w:tc>
          <w:tcPr>
            <w:cnfStyle w:val="001000000100" w:firstRow="0" w:lastRow="0" w:firstColumn="1" w:lastColumn="0" w:oddVBand="0" w:evenVBand="0" w:oddHBand="0" w:evenHBand="0" w:firstRowFirstColumn="1" w:firstRowLastColumn="0" w:lastRowFirstColumn="0" w:lastRowLastColumn="0"/>
            <w:tcW w:w="1579" w:type="dxa"/>
            <w:vAlign w:val="center"/>
            <w:hideMark/>
          </w:tcPr>
          <w:p w14:paraId="31EE18BA" w14:textId="77777777" w:rsidR="001C52E2" w:rsidRDefault="001C52E2">
            <w:pPr>
              <w:spacing w:before="0" w:after="0" w:line="240" w:lineRule="auto"/>
              <w:jc w:val="center"/>
              <w:rPr>
                <w:color w:val="000000" w:themeColor="text1"/>
              </w:rPr>
            </w:pPr>
            <w:r>
              <w:rPr>
                <w:color w:val="000000" w:themeColor="text1"/>
              </w:rPr>
              <w:t>Scenario</w:t>
            </w:r>
          </w:p>
        </w:tc>
        <w:tc>
          <w:tcPr>
            <w:tcW w:w="7776" w:type="dxa"/>
            <w:tcBorders>
              <w:bottom w:val="single" w:sz="4" w:space="0" w:color="9CC2E5" w:themeColor="accent5" w:themeTint="99"/>
            </w:tcBorders>
            <w:vAlign w:val="center"/>
            <w:hideMark/>
          </w:tcPr>
          <w:p w14:paraId="1637765C" w14:textId="77777777" w:rsidR="001C52E2" w:rsidRDefault="001C52E2">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color w:val="000000" w:themeColor="text1"/>
              </w:rPr>
            </w:pPr>
            <w:r>
              <w:rPr>
                <w:color w:val="000000" w:themeColor="text1"/>
              </w:rPr>
              <w:t xml:space="preserve">Description and Constraints </w:t>
            </w:r>
          </w:p>
        </w:tc>
      </w:tr>
      <w:tr w:rsidR="001C52E2" w14:paraId="0150AAC7" w14:textId="77777777" w:rsidTr="00A652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9" w:type="dxa"/>
            <w:tcBorders>
              <w:right w:val="single" w:sz="4" w:space="0" w:color="9CC2E5" w:themeColor="accent5" w:themeTint="99"/>
            </w:tcBorders>
            <w:hideMark/>
          </w:tcPr>
          <w:p w14:paraId="4E956A19" w14:textId="77777777" w:rsidR="001C52E2" w:rsidRDefault="001C52E2">
            <w:pPr>
              <w:spacing w:before="0" w:after="0" w:line="240" w:lineRule="auto"/>
              <w:rPr>
                <w:color w:val="000000" w:themeColor="text1"/>
              </w:rPr>
            </w:pPr>
            <w:r>
              <w:rPr>
                <w:color w:val="000000" w:themeColor="text1"/>
              </w:rPr>
              <w:t>BAU</w:t>
            </w:r>
          </w:p>
        </w:tc>
        <w:tc>
          <w:tcPr>
            <w:tcW w:w="7776"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vAlign w:val="center"/>
            <w:hideMark/>
          </w:tcPr>
          <w:p w14:paraId="55142808" w14:textId="77777777" w:rsidR="001C52E2" w:rsidRDefault="001C52E2">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On-grid investment is constrained to only natural gas and hydropower. No investment in EE.</w:t>
            </w:r>
          </w:p>
        </w:tc>
      </w:tr>
      <w:tr w:rsidR="001C52E2" w14:paraId="28068272" w14:textId="77777777" w:rsidTr="00A6528B">
        <w:tc>
          <w:tcPr>
            <w:cnfStyle w:val="001000000000" w:firstRow="0" w:lastRow="0" w:firstColumn="1" w:lastColumn="0" w:oddVBand="0" w:evenVBand="0" w:oddHBand="0" w:evenHBand="0" w:firstRowFirstColumn="0" w:firstRowLastColumn="0" w:lastRowFirstColumn="0" w:lastRowLastColumn="0"/>
            <w:tcW w:w="1579" w:type="dxa"/>
            <w:tcBorders>
              <w:right w:val="single" w:sz="4" w:space="0" w:color="9CC2E5" w:themeColor="accent5" w:themeTint="99"/>
            </w:tcBorders>
            <w:hideMark/>
          </w:tcPr>
          <w:p w14:paraId="0EB44F0A" w14:textId="77777777" w:rsidR="001C52E2" w:rsidRDefault="001C52E2">
            <w:pPr>
              <w:spacing w:before="0" w:after="0" w:line="240" w:lineRule="auto"/>
              <w:rPr>
                <w:color w:val="000000" w:themeColor="text1"/>
              </w:rPr>
            </w:pPr>
            <w:r>
              <w:rPr>
                <w:color w:val="000000" w:themeColor="text1"/>
              </w:rPr>
              <w:t xml:space="preserve">Least Cost </w:t>
            </w:r>
          </w:p>
        </w:tc>
        <w:tc>
          <w:tcPr>
            <w:tcW w:w="7776"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hideMark/>
          </w:tcPr>
          <w:p w14:paraId="3648F5B2" w14:textId="77777777" w:rsidR="001C52E2" w:rsidRDefault="001C52E2">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 xml:space="preserve">Minimal constraints to find least-cost solution. No investment in nuclear power. Gradual investment in EE. </w:t>
            </w:r>
          </w:p>
        </w:tc>
      </w:tr>
      <w:tr w:rsidR="001C52E2" w14:paraId="1DBB4E7D" w14:textId="77777777" w:rsidTr="00A652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9" w:type="dxa"/>
            <w:tcBorders>
              <w:right w:val="single" w:sz="4" w:space="0" w:color="9CC2E5" w:themeColor="accent5" w:themeTint="99"/>
            </w:tcBorders>
            <w:hideMark/>
          </w:tcPr>
          <w:p w14:paraId="1CC72A3B" w14:textId="77777777" w:rsidR="001C52E2" w:rsidRDefault="001C52E2">
            <w:pPr>
              <w:spacing w:before="0" w:after="0" w:line="240" w:lineRule="auto"/>
              <w:rPr>
                <w:color w:val="000000" w:themeColor="text1"/>
              </w:rPr>
            </w:pPr>
            <w:r>
              <w:rPr>
                <w:color w:val="000000" w:themeColor="text1"/>
              </w:rPr>
              <w:t>Unconditional NDC</w:t>
            </w:r>
          </w:p>
        </w:tc>
        <w:tc>
          <w:tcPr>
            <w:tcW w:w="7776"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hideMark/>
          </w:tcPr>
          <w:p w14:paraId="1FABD29B" w14:textId="77777777" w:rsidR="001C52E2" w:rsidRDefault="001C52E2">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Emissions capped at 20% below BAU emissions in 2030 (85.3 MT) from 2030 onwards.  Gradual investment in EE.</w:t>
            </w:r>
          </w:p>
        </w:tc>
      </w:tr>
      <w:tr w:rsidR="001C52E2" w14:paraId="7C6847F6" w14:textId="77777777" w:rsidTr="00A6528B">
        <w:tc>
          <w:tcPr>
            <w:cnfStyle w:val="001000000000" w:firstRow="0" w:lastRow="0" w:firstColumn="1" w:lastColumn="0" w:oddVBand="0" w:evenVBand="0" w:oddHBand="0" w:evenHBand="0" w:firstRowFirstColumn="0" w:firstRowLastColumn="0" w:lastRowFirstColumn="0" w:lastRowLastColumn="0"/>
            <w:tcW w:w="1579" w:type="dxa"/>
            <w:tcBorders>
              <w:right w:val="single" w:sz="4" w:space="0" w:color="9CC2E5" w:themeColor="accent5" w:themeTint="99"/>
            </w:tcBorders>
            <w:hideMark/>
          </w:tcPr>
          <w:p w14:paraId="35BEE482" w14:textId="77777777" w:rsidR="001C52E2" w:rsidRDefault="001C52E2">
            <w:pPr>
              <w:spacing w:before="0" w:after="0" w:line="240" w:lineRule="auto"/>
              <w:rPr>
                <w:color w:val="000000" w:themeColor="text1"/>
              </w:rPr>
            </w:pPr>
            <w:r>
              <w:rPr>
                <w:color w:val="000000" w:themeColor="text1"/>
              </w:rPr>
              <w:t>Conditional NDC</w:t>
            </w:r>
          </w:p>
        </w:tc>
        <w:tc>
          <w:tcPr>
            <w:tcW w:w="7776"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hideMark/>
          </w:tcPr>
          <w:p w14:paraId="7751138F" w14:textId="77777777" w:rsidR="001C52E2" w:rsidRDefault="001C52E2">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Emissions capped at 47% below BAU emissions in 2030 (56.5 MT) from 2030 onwards.  All SCGT are phased out by 2030. 13 GW off-Grid renewables, 3.5 GW of small hydro, and 12GW of new large hydro capacity added by 2030. Improved T&amp;D losses by 2030. Gradual investment in EE.</w:t>
            </w:r>
          </w:p>
        </w:tc>
      </w:tr>
    </w:tbl>
    <w:p w14:paraId="4637271B" w14:textId="1D76DF17" w:rsidR="00C77AB5" w:rsidRDefault="001C52E2" w:rsidP="00E153A1">
      <w:pPr>
        <w:spacing w:line="240" w:lineRule="auto"/>
      </w:pPr>
      <w:r>
        <w:t xml:space="preserve">As in the OSeMOSYS modelling, each of the above </w:t>
      </w:r>
      <w:r w:rsidR="001421FB">
        <w:t xml:space="preserve">was run with three different scenarios for plant availability – improvement to 2030, 2050 and no improvement. For each of these runs availability reaches default availability in the target year. </w:t>
      </w:r>
      <w:r w:rsidR="00BA17A8">
        <w:t>The availability used for the model runs (</w:t>
      </w:r>
      <w:r w:rsidR="00270586">
        <w:t>in year</w:t>
      </w:r>
      <w:r w:rsidR="00BA17A8">
        <w:t xml:space="preserve"> 2040) are given in </w:t>
      </w:r>
      <w:r w:rsidR="00A6528B">
        <w:t xml:space="preserve">Table 4 </w:t>
      </w:r>
      <w:r w:rsidR="00BA17A8">
        <w:t xml:space="preserve">below. </w:t>
      </w:r>
    </w:p>
    <w:p w14:paraId="52A2B3AF" w14:textId="5E92585C" w:rsidR="00A6528B" w:rsidRPr="00A6528B" w:rsidRDefault="00A6528B" w:rsidP="00A6528B">
      <w:pPr>
        <w:pStyle w:val="Caption"/>
        <w:keepNext/>
        <w:rPr>
          <w:sz w:val="22"/>
          <w:szCs w:val="22"/>
        </w:rPr>
      </w:pPr>
      <w:r w:rsidRPr="00A6528B">
        <w:rPr>
          <w:sz w:val="22"/>
          <w:szCs w:val="22"/>
        </w:rPr>
        <w:t xml:space="preserve">Table </w:t>
      </w:r>
      <w:r w:rsidRPr="00A6528B">
        <w:rPr>
          <w:sz w:val="22"/>
          <w:szCs w:val="22"/>
        </w:rPr>
        <w:fldChar w:fldCharType="begin"/>
      </w:r>
      <w:r w:rsidRPr="00A6528B">
        <w:rPr>
          <w:sz w:val="22"/>
          <w:szCs w:val="22"/>
        </w:rPr>
        <w:instrText xml:space="preserve"> SEQ Table \* ARABIC </w:instrText>
      </w:r>
      <w:r w:rsidRPr="00A6528B">
        <w:rPr>
          <w:sz w:val="22"/>
          <w:szCs w:val="22"/>
        </w:rPr>
        <w:fldChar w:fldCharType="separate"/>
      </w:r>
      <w:r w:rsidRPr="00A6528B">
        <w:rPr>
          <w:noProof/>
          <w:sz w:val="22"/>
          <w:szCs w:val="22"/>
        </w:rPr>
        <w:t>4</w:t>
      </w:r>
      <w:r w:rsidRPr="00A6528B">
        <w:rPr>
          <w:sz w:val="22"/>
          <w:szCs w:val="22"/>
        </w:rPr>
        <w:fldChar w:fldCharType="end"/>
      </w:r>
      <w:r w:rsidRPr="00A6528B">
        <w:rPr>
          <w:sz w:val="22"/>
          <w:szCs w:val="22"/>
        </w:rPr>
        <w:t xml:space="preserve">. Availability factor by technology in 2040 used in FlexTool </w:t>
      </w:r>
      <w:proofErr w:type="gramStart"/>
      <w:r w:rsidRPr="00A6528B">
        <w:rPr>
          <w:sz w:val="22"/>
          <w:szCs w:val="22"/>
        </w:rPr>
        <w:t>modelling</w:t>
      </w:r>
      <w:proofErr w:type="gramEnd"/>
    </w:p>
    <w:tbl>
      <w:tblPr>
        <w:tblStyle w:val="GridTable7Colorful-Accent5"/>
        <w:tblW w:w="8080" w:type="dxa"/>
        <w:jc w:val="center"/>
        <w:tblInd w:w="0" w:type="dxa"/>
        <w:tblLook w:val="04A0" w:firstRow="1" w:lastRow="0" w:firstColumn="1" w:lastColumn="0" w:noHBand="0" w:noVBand="1"/>
      </w:tblPr>
      <w:tblGrid>
        <w:gridCol w:w="2268"/>
        <w:gridCol w:w="1985"/>
        <w:gridCol w:w="1984"/>
        <w:gridCol w:w="1843"/>
      </w:tblGrid>
      <w:tr w:rsidR="00BA17A8" w:rsidRPr="00BA17A8" w14:paraId="6201C6C4" w14:textId="77777777" w:rsidTr="00495D25">
        <w:trPr>
          <w:cnfStyle w:val="100000000000" w:firstRow="1" w:lastRow="0" w:firstColumn="0" w:lastColumn="0" w:oddVBand="0" w:evenVBand="0" w:oddHBand="0" w:evenHBand="0" w:firstRowFirstColumn="0" w:firstRowLastColumn="0" w:lastRowFirstColumn="0" w:lastRowLastColumn="0"/>
          <w:trHeight w:val="278"/>
          <w:jc w:val="center"/>
        </w:trPr>
        <w:tc>
          <w:tcPr>
            <w:cnfStyle w:val="001000000100" w:firstRow="0" w:lastRow="0" w:firstColumn="1" w:lastColumn="0" w:oddVBand="0" w:evenVBand="0" w:oddHBand="0" w:evenHBand="0" w:firstRowFirstColumn="1" w:firstRowLastColumn="0" w:lastRowFirstColumn="0" w:lastRowLastColumn="0"/>
            <w:tcW w:w="2268" w:type="dxa"/>
            <w:noWrap/>
            <w:hideMark/>
          </w:tcPr>
          <w:p w14:paraId="32629CDC" w14:textId="77777777" w:rsidR="00BA17A8" w:rsidRPr="00BA17A8" w:rsidRDefault="00BA17A8" w:rsidP="00BA17A8">
            <w:pPr>
              <w:spacing w:before="0" w:after="0" w:line="240" w:lineRule="auto"/>
              <w:rPr>
                <w:rFonts w:ascii="Times New Roman" w:eastAsia="Times New Roman" w:hAnsi="Times New Roman" w:cs="Times New Roman"/>
                <w:sz w:val="20"/>
                <w:szCs w:val="20"/>
                <w:lang w:eastAsia="en-GB"/>
              </w:rPr>
            </w:pPr>
          </w:p>
        </w:tc>
        <w:tc>
          <w:tcPr>
            <w:tcW w:w="1985" w:type="dxa"/>
            <w:noWrap/>
            <w:hideMark/>
          </w:tcPr>
          <w:p w14:paraId="0C28773F" w14:textId="4390B380" w:rsidR="00BA17A8" w:rsidRPr="00BA17A8" w:rsidRDefault="00BA17A8" w:rsidP="00BA17A8">
            <w:pPr>
              <w:spacing w:before="0" w:after="0" w:line="24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 xml:space="preserve">2030 </w:t>
            </w:r>
            <w:r w:rsidR="00E153A1">
              <w:rPr>
                <w:rFonts w:ascii="Calibri" w:eastAsia="Times New Roman" w:hAnsi="Calibri" w:cs="Calibri"/>
                <w:color w:val="000000"/>
                <w:sz w:val="22"/>
                <w:szCs w:val="22"/>
                <w:lang w:eastAsia="en-GB"/>
              </w:rPr>
              <w:t>I</w:t>
            </w:r>
            <w:r w:rsidRPr="00BA17A8">
              <w:rPr>
                <w:rFonts w:ascii="Calibri" w:eastAsia="Times New Roman" w:hAnsi="Calibri" w:cs="Calibri"/>
                <w:color w:val="000000"/>
                <w:sz w:val="22"/>
                <w:szCs w:val="22"/>
                <w:lang w:eastAsia="en-GB"/>
              </w:rPr>
              <w:t>mprovement</w:t>
            </w:r>
          </w:p>
        </w:tc>
        <w:tc>
          <w:tcPr>
            <w:tcW w:w="1984" w:type="dxa"/>
            <w:noWrap/>
            <w:hideMark/>
          </w:tcPr>
          <w:p w14:paraId="07735EC4" w14:textId="2670BA1B" w:rsidR="00BA17A8" w:rsidRPr="00BA17A8" w:rsidRDefault="00BA17A8" w:rsidP="00BA17A8">
            <w:pPr>
              <w:spacing w:before="0" w:after="0" w:line="24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 xml:space="preserve">2050 </w:t>
            </w:r>
            <w:r w:rsidR="00E153A1">
              <w:rPr>
                <w:rFonts w:ascii="Calibri" w:eastAsia="Times New Roman" w:hAnsi="Calibri" w:cs="Calibri"/>
                <w:color w:val="000000"/>
                <w:sz w:val="22"/>
                <w:szCs w:val="22"/>
                <w:lang w:eastAsia="en-GB"/>
              </w:rPr>
              <w:t>I</w:t>
            </w:r>
            <w:r w:rsidRPr="00495D25">
              <w:rPr>
                <w:rFonts w:ascii="Calibri" w:eastAsia="Times New Roman" w:hAnsi="Calibri" w:cs="Calibri"/>
                <w:color w:val="000000"/>
                <w:sz w:val="22"/>
                <w:szCs w:val="22"/>
                <w:lang w:eastAsia="en-GB"/>
              </w:rPr>
              <w:t>mprovement</w:t>
            </w:r>
          </w:p>
        </w:tc>
        <w:tc>
          <w:tcPr>
            <w:tcW w:w="1843" w:type="dxa"/>
            <w:noWrap/>
            <w:hideMark/>
          </w:tcPr>
          <w:p w14:paraId="7007457D" w14:textId="1BAE5FEF" w:rsidR="00BA17A8" w:rsidRPr="00BA17A8" w:rsidRDefault="00E153A1" w:rsidP="00BA17A8">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 xml:space="preserve">No Improvement </w:t>
            </w:r>
          </w:p>
        </w:tc>
      </w:tr>
      <w:tr w:rsidR="00BA17A8" w:rsidRPr="00BA17A8" w14:paraId="52782305" w14:textId="77777777" w:rsidTr="00495D25">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9333EDE" w14:textId="77777777" w:rsidR="00BA17A8" w:rsidRPr="00BA17A8" w:rsidRDefault="00BA17A8" w:rsidP="00BA17A8">
            <w:pPr>
              <w:spacing w:before="0" w:after="0" w:line="240" w:lineRule="auto"/>
              <w:rPr>
                <w:rFonts w:ascii="Calibri" w:eastAsia="Times New Roman" w:hAnsi="Calibri" w:cs="Calibri"/>
                <w:b/>
                <w:bCs/>
                <w:color w:val="000000"/>
                <w:sz w:val="22"/>
                <w:szCs w:val="22"/>
                <w:lang w:eastAsia="en-GB"/>
              </w:rPr>
            </w:pPr>
            <w:r w:rsidRPr="00BA17A8">
              <w:rPr>
                <w:rFonts w:ascii="Calibri" w:eastAsia="Times New Roman" w:hAnsi="Calibri" w:cs="Calibri"/>
                <w:b/>
                <w:bCs/>
                <w:color w:val="000000"/>
                <w:sz w:val="22"/>
                <w:szCs w:val="22"/>
                <w:lang w:eastAsia="en-GB"/>
              </w:rPr>
              <w:t>PWRNGS001 (CCGT)</w:t>
            </w:r>
          </w:p>
        </w:tc>
        <w:tc>
          <w:tcPr>
            <w:tcW w:w="1985" w:type="dxa"/>
            <w:noWrap/>
            <w:hideMark/>
          </w:tcPr>
          <w:p w14:paraId="3DFFB98B" w14:textId="6342C1AC" w:rsidR="00BA17A8" w:rsidRPr="00BA17A8" w:rsidRDefault="00BA17A8"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1</w:t>
            </w:r>
            <w:r w:rsidR="00270586">
              <w:rPr>
                <w:rFonts w:ascii="Calibri" w:eastAsia="Times New Roman" w:hAnsi="Calibri" w:cs="Calibri"/>
                <w:color w:val="000000"/>
                <w:sz w:val="22"/>
                <w:szCs w:val="22"/>
                <w:lang w:eastAsia="en-GB"/>
              </w:rPr>
              <w:t>00%</w:t>
            </w:r>
          </w:p>
        </w:tc>
        <w:tc>
          <w:tcPr>
            <w:tcW w:w="1984" w:type="dxa"/>
            <w:noWrap/>
            <w:hideMark/>
          </w:tcPr>
          <w:p w14:paraId="167DDCBF" w14:textId="2E1FB224" w:rsidR="00BA17A8" w:rsidRPr="00BA17A8" w:rsidRDefault="00BA17A8"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78</w:t>
            </w:r>
            <w:r w:rsidR="00270586">
              <w:rPr>
                <w:rFonts w:ascii="Calibri" w:eastAsia="Times New Roman" w:hAnsi="Calibri" w:cs="Calibri"/>
                <w:color w:val="000000"/>
                <w:sz w:val="22"/>
                <w:szCs w:val="22"/>
                <w:lang w:eastAsia="en-GB"/>
              </w:rPr>
              <w:t>.</w:t>
            </w:r>
            <w:r w:rsidRPr="00BA17A8">
              <w:rPr>
                <w:rFonts w:ascii="Calibri" w:eastAsia="Times New Roman" w:hAnsi="Calibri" w:cs="Calibri"/>
                <w:color w:val="000000"/>
                <w:sz w:val="22"/>
                <w:szCs w:val="22"/>
                <w:lang w:eastAsia="en-GB"/>
              </w:rPr>
              <w:t>39</w:t>
            </w:r>
            <w:r w:rsidR="00270586">
              <w:rPr>
                <w:rFonts w:ascii="Calibri" w:eastAsia="Times New Roman" w:hAnsi="Calibri" w:cs="Calibri"/>
                <w:color w:val="000000"/>
                <w:sz w:val="22"/>
                <w:szCs w:val="22"/>
                <w:lang w:eastAsia="en-GB"/>
              </w:rPr>
              <w:t>%</w:t>
            </w:r>
          </w:p>
        </w:tc>
        <w:tc>
          <w:tcPr>
            <w:tcW w:w="1843" w:type="dxa"/>
            <w:noWrap/>
            <w:hideMark/>
          </w:tcPr>
          <w:p w14:paraId="758A374B" w14:textId="0771BAAE" w:rsidR="00BA17A8" w:rsidRPr="00BA17A8" w:rsidRDefault="00BA17A8"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39</w:t>
            </w:r>
            <w:r w:rsidR="00270586">
              <w:rPr>
                <w:rFonts w:ascii="Calibri" w:eastAsia="Times New Roman" w:hAnsi="Calibri" w:cs="Calibri"/>
                <w:color w:val="000000"/>
                <w:sz w:val="22"/>
                <w:szCs w:val="22"/>
                <w:lang w:eastAsia="en-GB"/>
              </w:rPr>
              <w:t>.</w:t>
            </w:r>
            <w:r w:rsidRPr="00BA17A8">
              <w:rPr>
                <w:rFonts w:ascii="Calibri" w:eastAsia="Times New Roman" w:hAnsi="Calibri" w:cs="Calibri"/>
                <w:color w:val="000000"/>
                <w:sz w:val="22"/>
                <w:szCs w:val="22"/>
                <w:lang w:eastAsia="en-GB"/>
              </w:rPr>
              <w:t>5</w:t>
            </w:r>
            <w:r w:rsidR="00270586">
              <w:rPr>
                <w:rFonts w:ascii="Calibri" w:eastAsia="Times New Roman" w:hAnsi="Calibri" w:cs="Calibri"/>
                <w:color w:val="000000"/>
                <w:sz w:val="22"/>
                <w:szCs w:val="22"/>
                <w:lang w:eastAsia="en-GB"/>
              </w:rPr>
              <w:t>%</w:t>
            </w:r>
          </w:p>
        </w:tc>
      </w:tr>
      <w:tr w:rsidR="00495D25" w:rsidRPr="00BA17A8" w14:paraId="35A8DA97" w14:textId="77777777" w:rsidTr="00495D25">
        <w:trPr>
          <w:trHeight w:val="278"/>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5E44A82" w14:textId="77777777" w:rsidR="00BA17A8" w:rsidRPr="00BA17A8" w:rsidRDefault="00BA17A8" w:rsidP="00BA17A8">
            <w:pPr>
              <w:spacing w:before="0" w:after="0" w:line="240" w:lineRule="auto"/>
              <w:rPr>
                <w:rFonts w:ascii="Calibri" w:eastAsia="Times New Roman" w:hAnsi="Calibri" w:cs="Calibri"/>
                <w:b/>
                <w:bCs/>
                <w:color w:val="000000"/>
                <w:sz w:val="22"/>
                <w:szCs w:val="22"/>
                <w:lang w:eastAsia="en-GB"/>
              </w:rPr>
            </w:pPr>
            <w:r w:rsidRPr="00BA17A8">
              <w:rPr>
                <w:rFonts w:ascii="Calibri" w:eastAsia="Times New Roman" w:hAnsi="Calibri" w:cs="Calibri"/>
                <w:b/>
                <w:bCs/>
                <w:color w:val="000000"/>
                <w:sz w:val="22"/>
                <w:szCs w:val="22"/>
                <w:lang w:eastAsia="en-GB"/>
              </w:rPr>
              <w:t>PWRNGS002 (OCGT)</w:t>
            </w:r>
          </w:p>
        </w:tc>
        <w:tc>
          <w:tcPr>
            <w:tcW w:w="1985" w:type="dxa"/>
            <w:noWrap/>
            <w:hideMark/>
          </w:tcPr>
          <w:p w14:paraId="020B5950" w14:textId="003CA194" w:rsidR="00BA17A8" w:rsidRPr="00BA17A8" w:rsidRDefault="00215DF3" w:rsidP="00215DF3">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1</w:t>
            </w:r>
            <w:r>
              <w:rPr>
                <w:rFonts w:ascii="Calibri" w:eastAsia="Times New Roman" w:hAnsi="Calibri" w:cs="Calibri"/>
                <w:color w:val="000000"/>
                <w:sz w:val="22"/>
                <w:szCs w:val="22"/>
                <w:lang w:eastAsia="en-GB"/>
              </w:rPr>
              <w:t>00%</w:t>
            </w:r>
          </w:p>
        </w:tc>
        <w:tc>
          <w:tcPr>
            <w:tcW w:w="1984" w:type="dxa"/>
            <w:noWrap/>
            <w:hideMark/>
          </w:tcPr>
          <w:p w14:paraId="086DFDC0" w14:textId="72188CA9" w:rsidR="00BA17A8" w:rsidRPr="00BA17A8" w:rsidRDefault="00BA17A8"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81</w:t>
            </w:r>
            <w:r w:rsidR="00270586">
              <w:rPr>
                <w:rFonts w:ascii="Calibri" w:eastAsia="Times New Roman" w:hAnsi="Calibri" w:cs="Calibri"/>
                <w:color w:val="000000"/>
                <w:sz w:val="22"/>
                <w:szCs w:val="22"/>
                <w:lang w:eastAsia="en-GB"/>
              </w:rPr>
              <w:t>.</w:t>
            </w:r>
            <w:r w:rsidRPr="00BA17A8">
              <w:rPr>
                <w:rFonts w:ascii="Calibri" w:eastAsia="Times New Roman" w:hAnsi="Calibri" w:cs="Calibri"/>
                <w:color w:val="000000"/>
                <w:sz w:val="22"/>
                <w:szCs w:val="22"/>
                <w:lang w:eastAsia="en-GB"/>
              </w:rPr>
              <w:t>14</w:t>
            </w:r>
            <w:r w:rsidR="00270586">
              <w:rPr>
                <w:rFonts w:ascii="Calibri" w:eastAsia="Times New Roman" w:hAnsi="Calibri" w:cs="Calibri"/>
                <w:color w:val="000000"/>
                <w:sz w:val="22"/>
                <w:szCs w:val="22"/>
                <w:lang w:eastAsia="en-GB"/>
              </w:rPr>
              <w:t>%</w:t>
            </w:r>
          </w:p>
        </w:tc>
        <w:tc>
          <w:tcPr>
            <w:tcW w:w="1843" w:type="dxa"/>
            <w:noWrap/>
            <w:hideMark/>
          </w:tcPr>
          <w:p w14:paraId="7EAC5E41" w14:textId="4FED5636" w:rsidR="00BA17A8" w:rsidRPr="00BA17A8" w:rsidRDefault="00BA17A8"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47</w:t>
            </w:r>
            <w:r w:rsidR="00270586">
              <w:rPr>
                <w:rFonts w:ascii="Calibri" w:eastAsia="Times New Roman" w:hAnsi="Calibri" w:cs="Calibri"/>
                <w:color w:val="000000"/>
                <w:sz w:val="22"/>
                <w:szCs w:val="22"/>
                <w:lang w:eastAsia="en-GB"/>
              </w:rPr>
              <w:t>.</w:t>
            </w:r>
            <w:r w:rsidRPr="00BA17A8">
              <w:rPr>
                <w:rFonts w:ascii="Calibri" w:eastAsia="Times New Roman" w:hAnsi="Calibri" w:cs="Calibri"/>
                <w:color w:val="000000"/>
                <w:sz w:val="22"/>
                <w:szCs w:val="22"/>
                <w:lang w:eastAsia="en-GB"/>
              </w:rPr>
              <w:t>2</w:t>
            </w:r>
            <w:r w:rsidR="00270586">
              <w:rPr>
                <w:rFonts w:ascii="Calibri" w:eastAsia="Times New Roman" w:hAnsi="Calibri" w:cs="Calibri"/>
                <w:color w:val="000000"/>
                <w:sz w:val="22"/>
                <w:szCs w:val="22"/>
                <w:lang w:eastAsia="en-GB"/>
              </w:rPr>
              <w:t>%</w:t>
            </w:r>
          </w:p>
        </w:tc>
      </w:tr>
      <w:tr w:rsidR="00BA17A8" w:rsidRPr="00BA17A8" w14:paraId="73A8C99C" w14:textId="77777777" w:rsidTr="00495D25">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9D6AEA5" w14:textId="77777777" w:rsidR="00BA17A8" w:rsidRPr="00BA17A8" w:rsidRDefault="00BA17A8" w:rsidP="00BA17A8">
            <w:pPr>
              <w:spacing w:before="0" w:after="0" w:line="240" w:lineRule="auto"/>
              <w:rPr>
                <w:rFonts w:ascii="Calibri" w:eastAsia="Times New Roman" w:hAnsi="Calibri" w:cs="Calibri"/>
                <w:b/>
                <w:bCs/>
                <w:color w:val="000000"/>
                <w:sz w:val="22"/>
                <w:szCs w:val="22"/>
                <w:lang w:eastAsia="en-GB"/>
              </w:rPr>
            </w:pPr>
            <w:r w:rsidRPr="00BA17A8">
              <w:rPr>
                <w:rFonts w:ascii="Calibri" w:eastAsia="Times New Roman" w:hAnsi="Calibri" w:cs="Calibri"/>
                <w:b/>
                <w:bCs/>
                <w:color w:val="000000"/>
                <w:sz w:val="22"/>
                <w:szCs w:val="22"/>
                <w:lang w:eastAsia="en-GB"/>
              </w:rPr>
              <w:t>Other Fossil</w:t>
            </w:r>
          </w:p>
        </w:tc>
        <w:tc>
          <w:tcPr>
            <w:tcW w:w="1985" w:type="dxa"/>
            <w:noWrap/>
            <w:hideMark/>
          </w:tcPr>
          <w:p w14:paraId="2BF6B6FA" w14:textId="49AD2F18" w:rsidR="00BA17A8" w:rsidRPr="00BA17A8" w:rsidRDefault="00BA17A8"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1</w:t>
            </w:r>
            <w:r w:rsidR="00215DF3">
              <w:rPr>
                <w:rFonts w:ascii="Calibri" w:eastAsia="Times New Roman" w:hAnsi="Calibri" w:cs="Calibri"/>
                <w:color w:val="000000"/>
                <w:sz w:val="22"/>
                <w:szCs w:val="22"/>
                <w:lang w:eastAsia="en-GB"/>
              </w:rPr>
              <w:t>00%</w:t>
            </w:r>
          </w:p>
        </w:tc>
        <w:tc>
          <w:tcPr>
            <w:tcW w:w="1984" w:type="dxa"/>
            <w:noWrap/>
            <w:hideMark/>
          </w:tcPr>
          <w:p w14:paraId="32D64FCA" w14:textId="325536A4" w:rsidR="00BA17A8" w:rsidRPr="00BA17A8" w:rsidRDefault="00BA17A8"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82</w:t>
            </w:r>
            <w:r w:rsidR="00270586">
              <w:rPr>
                <w:rFonts w:ascii="Calibri" w:eastAsia="Times New Roman" w:hAnsi="Calibri" w:cs="Calibri"/>
                <w:color w:val="000000"/>
                <w:sz w:val="22"/>
                <w:szCs w:val="22"/>
                <w:lang w:eastAsia="en-GB"/>
              </w:rPr>
              <w:t>.</w:t>
            </w:r>
            <w:r w:rsidRPr="00BA17A8">
              <w:rPr>
                <w:rFonts w:ascii="Calibri" w:eastAsia="Times New Roman" w:hAnsi="Calibri" w:cs="Calibri"/>
                <w:color w:val="000000"/>
                <w:sz w:val="22"/>
                <w:szCs w:val="22"/>
                <w:lang w:eastAsia="en-GB"/>
              </w:rPr>
              <w:t>14</w:t>
            </w:r>
            <w:r w:rsidR="00270586">
              <w:rPr>
                <w:rFonts w:ascii="Calibri" w:eastAsia="Times New Roman" w:hAnsi="Calibri" w:cs="Calibri"/>
                <w:color w:val="000000"/>
                <w:sz w:val="22"/>
                <w:szCs w:val="22"/>
                <w:lang w:eastAsia="en-GB"/>
              </w:rPr>
              <w:t>%</w:t>
            </w:r>
          </w:p>
        </w:tc>
        <w:tc>
          <w:tcPr>
            <w:tcW w:w="1843" w:type="dxa"/>
            <w:noWrap/>
            <w:hideMark/>
          </w:tcPr>
          <w:p w14:paraId="62BFD059" w14:textId="309E7574" w:rsidR="00BA17A8" w:rsidRPr="00BA17A8" w:rsidRDefault="00BA17A8"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5</w:t>
            </w:r>
            <w:r w:rsidR="00270586">
              <w:rPr>
                <w:rFonts w:ascii="Calibri" w:eastAsia="Times New Roman" w:hAnsi="Calibri" w:cs="Calibri"/>
                <w:color w:val="000000"/>
                <w:sz w:val="22"/>
                <w:szCs w:val="22"/>
                <w:lang w:eastAsia="en-GB"/>
              </w:rPr>
              <w:t>0%</w:t>
            </w:r>
          </w:p>
        </w:tc>
      </w:tr>
      <w:tr w:rsidR="00BA17A8" w:rsidRPr="00BA17A8" w14:paraId="4E2CD8C5" w14:textId="77777777" w:rsidTr="00495D25">
        <w:trPr>
          <w:trHeight w:val="278"/>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E843716" w14:textId="77777777" w:rsidR="00BA17A8" w:rsidRPr="00BA17A8" w:rsidRDefault="00BA17A8" w:rsidP="00BA17A8">
            <w:pPr>
              <w:spacing w:before="0" w:after="0" w:line="240" w:lineRule="auto"/>
              <w:rPr>
                <w:rFonts w:ascii="Calibri" w:eastAsia="Times New Roman" w:hAnsi="Calibri" w:cs="Calibri"/>
                <w:b/>
                <w:bCs/>
                <w:color w:val="000000"/>
                <w:sz w:val="22"/>
                <w:szCs w:val="22"/>
                <w:lang w:eastAsia="en-GB"/>
              </w:rPr>
            </w:pPr>
            <w:r w:rsidRPr="00BA17A8">
              <w:rPr>
                <w:rFonts w:ascii="Calibri" w:eastAsia="Times New Roman" w:hAnsi="Calibri" w:cs="Calibri"/>
                <w:b/>
                <w:bCs/>
                <w:color w:val="000000"/>
                <w:sz w:val="22"/>
                <w:szCs w:val="22"/>
                <w:lang w:eastAsia="en-GB"/>
              </w:rPr>
              <w:t>PWRHYD001</w:t>
            </w:r>
          </w:p>
        </w:tc>
        <w:tc>
          <w:tcPr>
            <w:tcW w:w="1985" w:type="dxa"/>
            <w:noWrap/>
            <w:hideMark/>
          </w:tcPr>
          <w:p w14:paraId="0141F97F" w14:textId="13F4754D" w:rsidR="00BA17A8" w:rsidRPr="00BA17A8" w:rsidRDefault="00BA17A8"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1</w:t>
            </w:r>
            <w:r w:rsidR="00215DF3">
              <w:rPr>
                <w:rFonts w:ascii="Calibri" w:eastAsia="Times New Roman" w:hAnsi="Calibri" w:cs="Calibri"/>
                <w:color w:val="000000"/>
                <w:sz w:val="22"/>
                <w:szCs w:val="22"/>
                <w:lang w:eastAsia="en-GB"/>
              </w:rPr>
              <w:t>00%</w:t>
            </w:r>
          </w:p>
        </w:tc>
        <w:tc>
          <w:tcPr>
            <w:tcW w:w="1984" w:type="dxa"/>
            <w:noWrap/>
            <w:hideMark/>
          </w:tcPr>
          <w:p w14:paraId="5B0D40F2" w14:textId="3AB1FBB0" w:rsidR="00BA17A8" w:rsidRPr="00BA17A8" w:rsidRDefault="00BA17A8"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88</w:t>
            </w:r>
            <w:r w:rsidR="00270586">
              <w:rPr>
                <w:rFonts w:ascii="Calibri" w:eastAsia="Times New Roman" w:hAnsi="Calibri" w:cs="Calibri"/>
                <w:color w:val="000000"/>
                <w:sz w:val="22"/>
                <w:szCs w:val="22"/>
                <w:lang w:eastAsia="en-GB"/>
              </w:rPr>
              <w:t>.</w:t>
            </w:r>
            <w:r w:rsidRPr="00BA17A8">
              <w:rPr>
                <w:rFonts w:ascii="Calibri" w:eastAsia="Times New Roman" w:hAnsi="Calibri" w:cs="Calibri"/>
                <w:color w:val="000000"/>
                <w:sz w:val="22"/>
                <w:szCs w:val="22"/>
                <w:lang w:eastAsia="en-GB"/>
              </w:rPr>
              <w:t>53</w:t>
            </w:r>
            <w:r w:rsidR="00270586">
              <w:rPr>
                <w:rFonts w:ascii="Calibri" w:eastAsia="Times New Roman" w:hAnsi="Calibri" w:cs="Calibri"/>
                <w:color w:val="000000"/>
                <w:sz w:val="22"/>
                <w:szCs w:val="22"/>
                <w:lang w:eastAsia="en-GB"/>
              </w:rPr>
              <w:t>%</w:t>
            </w:r>
          </w:p>
        </w:tc>
        <w:tc>
          <w:tcPr>
            <w:tcW w:w="1843" w:type="dxa"/>
            <w:noWrap/>
            <w:hideMark/>
          </w:tcPr>
          <w:p w14:paraId="26816C84" w14:textId="64F183E8" w:rsidR="00BA17A8" w:rsidRPr="00BA17A8" w:rsidRDefault="00BA17A8" w:rsidP="00495D25">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67</w:t>
            </w:r>
            <w:r w:rsidR="00270586">
              <w:rPr>
                <w:rFonts w:ascii="Calibri" w:eastAsia="Times New Roman" w:hAnsi="Calibri" w:cs="Calibri"/>
                <w:color w:val="000000"/>
                <w:sz w:val="22"/>
                <w:szCs w:val="22"/>
                <w:lang w:eastAsia="en-GB"/>
              </w:rPr>
              <w:t>.</w:t>
            </w:r>
            <w:r w:rsidRPr="00BA17A8">
              <w:rPr>
                <w:rFonts w:ascii="Calibri" w:eastAsia="Times New Roman" w:hAnsi="Calibri" w:cs="Calibri"/>
                <w:color w:val="000000"/>
                <w:sz w:val="22"/>
                <w:szCs w:val="22"/>
                <w:lang w:eastAsia="en-GB"/>
              </w:rPr>
              <w:t>9</w:t>
            </w:r>
            <w:r w:rsidR="00270586">
              <w:rPr>
                <w:rFonts w:ascii="Calibri" w:eastAsia="Times New Roman" w:hAnsi="Calibri" w:cs="Calibri"/>
                <w:color w:val="000000"/>
                <w:sz w:val="22"/>
                <w:szCs w:val="22"/>
                <w:lang w:eastAsia="en-GB"/>
              </w:rPr>
              <w:t>%</w:t>
            </w:r>
          </w:p>
        </w:tc>
      </w:tr>
      <w:tr w:rsidR="00495D25" w:rsidRPr="00BA17A8" w14:paraId="07FFBB15" w14:textId="77777777" w:rsidTr="00495D25">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984EF16" w14:textId="77777777" w:rsidR="00BA17A8" w:rsidRPr="00BA17A8" w:rsidRDefault="00BA17A8" w:rsidP="00BA17A8">
            <w:pPr>
              <w:spacing w:before="0" w:after="0" w:line="240" w:lineRule="auto"/>
              <w:rPr>
                <w:rFonts w:ascii="Calibri" w:eastAsia="Times New Roman" w:hAnsi="Calibri" w:cs="Calibri"/>
                <w:b/>
                <w:bCs/>
                <w:color w:val="000000"/>
                <w:sz w:val="22"/>
                <w:szCs w:val="22"/>
                <w:lang w:eastAsia="en-GB"/>
              </w:rPr>
            </w:pPr>
            <w:r w:rsidRPr="00BA17A8">
              <w:rPr>
                <w:rFonts w:ascii="Calibri" w:eastAsia="Times New Roman" w:hAnsi="Calibri" w:cs="Calibri"/>
                <w:b/>
                <w:bCs/>
                <w:color w:val="000000"/>
                <w:sz w:val="22"/>
                <w:szCs w:val="22"/>
                <w:lang w:eastAsia="en-GB"/>
              </w:rPr>
              <w:t xml:space="preserve">Other Renewables </w:t>
            </w:r>
          </w:p>
        </w:tc>
        <w:tc>
          <w:tcPr>
            <w:tcW w:w="1985" w:type="dxa"/>
            <w:noWrap/>
            <w:hideMark/>
          </w:tcPr>
          <w:p w14:paraId="6BD4D995" w14:textId="2444CCB0" w:rsidR="00BA17A8" w:rsidRPr="00BA17A8" w:rsidRDefault="00BA17A8"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1</w:t>
            </w:r>
            <w:r w:rsidR="00215DF3">
              <w:rPr>
                <w:rFonts w:ascii="Calibri" w:eastAsia="Times New Roman" w:hAnsi="Calibri" w:cs="Calibri"/>
                <w:color w:val="000000"/>
                <w:sz w:val="22"/>
                <w:szCs w:val="22"/>
                <w:lang w:eastAsia="en-GB"/>
              </w:rPr>
              <w:t>00%</w:t>
            </w:r>
          </w:p>
        </w:tc>
        <w:tc>
          <w:tcPr>
            <w:tcW w:w="1984" w:type="dxa"/>
            <w:noWrap/>
            <w:hideMark/>
          </w:tcPr>
          <w:p w14:paraId="5FAC2AFA" w14:textId="082D572A" w:rsidR="00BA17A8" w:rsidRPr="00BA17A8" w:rsidRDefault="00BA17A8"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92</w:t>
            </w:r>
            <w:r w:rsidR="00270586">
              <w:rPr>
                <w:rFonts w:ascii="Calibri" w:eastAsia="Times New Roman" w:hAnsi="Calibri" w:cs="Calibri"/>
                <w:color w:val="000000"/>
                <w:sz w:val="22"/>
                <w:szCs w:val="22"/>
                <w:lang w:eastAsia="en-GB"/>
              </w:rPr>
              <w:t>.</w:t>
            </w:r>
            <w:r w:rsidRPr="00BA17A8">
              <w:rPr>
                <w:rFonts w:ascii="Calibri" w:eastAsia="Times New Roman" w:hAnsi="Calibri" w:cs="Calibri"/>
                <w:color w:val="000000"/>
                <w:sz w:val="22"/>
                <w:szCs w:val="22"/>
                <w:lang w:eastAsia="en-GB"/>
              </w:rPr>
              <w:t>85</w:t>
            </w:r>
            <w:r w:rsidR="00270586">
              <w:rPr>
                <w:rFonts w:ascii="Calibri" w:eastAsia="Times New Roman" w:hAnsi="Calibri" w:cs="Calibri"/>
                <w:color w:val="000000"/>
                <w:sz w:val="22"/>
                <w:szCs w:val="22"/>
                <w:lang w:eastAsia="en-GB"/>
              </w:rPr>
              <w:t>%</w:t>
            </w:r>
          </w:p>
        </w:tc>
        <w:tc>
          <w:tcPr>
            <w:tcW w:w="1843" w:type="dxa"/>
            <w:noWrap/>
            <w:hideMark/>
          </w:tcPr>
          <w:p w14:paraId="6AF9B0C7" w14:textId="5C14164F" w:rsidR="00BA17A8" w:rsidRPr="00BA17A8" w:rsidRDefault="00BA17A8" w:rsidP="00495D25">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en-GB"/>
              </w:rPr>
            </w:pPr>
            <w:r w:rsidRPr="00BA17A8">
              <w:rPr>
                <w:rFonts w:ascii="Calibri" w:eastAsia="Times New Roman" w:hAnsi="Calibri" w:cs="Calibri"/>
                <w:color w:val="000000"/>
                <w:sz w:val="22"/>
                <w:szCs w:val="22"/>
                <w:lang w:eastAsia="en-GB"/>
              </w:rPr>
              <w:t>8</w:t>
            </w:r>
            <w:r w:rsidR="00270586">
              <w:rPr>
                <w:rFonts w:ascii="Calibri" w:eastAsia="Times New Roman" w:hAnsi="Calibri" w:cs="Calibri"/>
                <w:color w:val="000000"/>
                <w:sz w:val="22"/>
                <w:szCs w:val="22"/>
                <w:lang w:eastAsia="en-GB"/>
              </w:rPr>
              <w:t>0%</w:t>
            </w:r>
          </w:p>
        </w:tc>
      </w:tr>
    </w:tbl>
    <w:p w14:paraId="0048866B" w14:textId="77777777" w:rsidR="001C458E" w:rsidRDefault="001C458E" w:rsidP="001C458E">
      <w:pPr>
        <w:pStyle w:val="Bibliography"/>
      </w:pPr>
    </w:p>
    <w:p w14:paraId="7651AA01" w14:textId="0C6595F1" w:rsidR="001C458E" w:rsidRPr="006B0A28" w:rsidRDefault="001C458E" w:rsidP="006B0A28">
      <w:pPr>
        <w:pStyle w:val="Heading3"/>
      </w:pPr>
      <w:r w:rsidRPr="006B0A28">
        <w:t>Additional Sources</w:t>
      </w:r>
    </w:p>
    <w:p w14:paraId="109CFF35" w14:textId="77777777" w:rsidR="00CF171F" w:rsidRPr="00CF171F" w:rsidRDefault="001C458E" w:rsidP="00CF171F">
      <w:pPr>
        <w:pStyle w:val="Bibliography"/>
        <w:rPr>
          <w:rFonts w:ascii="Calibri" w:hAnsi="Calibri" w:cs="Calibri"/>
        </w:rPr>
      </w:pPr>
      <w:r>
        <w:fldChar w:fldCharType="begin"/>
      </w:r>
      <w:r w:rsidR="00CF171F">
        <w:instrText xml:space="preserve"> ADDIN ZOTERO_BIBL {"uncited":[],"omitted":[],"custom":[]} CSL_BIBLIOGRAPHY </w:instrText>
      </w:r>
      <w:r>
        <w:fldChar w:fldCharType="separate"/>
      </w:r>
      <w:r w:rsidR="00CF171F" w:rsidRPr="00CF171F">
        <w:rPr>
          <w:rFonts w:ascii="Calibri" w:hAnsi="Calibri" w:cs="Calibri"/>
        </w:rPr>
        <w:t>Brinkerink, M., Deane, P., 2020. PLEXOS-World 2015. https://doi.org/10.7910/DVN/CBYXBY</w:t>
      </w:r>
    </w:p>
    <w:p w14:paraId="71F74A93" w14:textId="77777777" w:rsidR="00CF171F" w:rsidRPr="00CF171F" w:rsidRDefault="00CF171F" w:rsidP="00CF171F">
      <w:pPr>
        <w:pStyle w:val="Bibliography"/>
        <w:rPr>
          <w:rFonts w:ascii="Calibri" w:hAnsi="Calibri" w:cs="Calibri"/>
        </w:rPr>
      </w:pPr>
      <w:r w:rsidRPr="00CF171F">
        <w:rPr>
          <w:rFonts w:ascii="Calibri" w:hAnsi="Calibri" w:cs="Calibri"/>
        </w:rPr>
        <w:t>Daggash, H.A., Mac Dowell, N., 2021. Delivering low-carbon electricity systems in sub-Saharan Africa: insights from Nigeria. Energy Environ. Sci. 14, 4018–4037. https://doi.org/10.1039/D1EE00746G</w:t>
      </w:r>
    </w:p>
    <w:p w14:paraId="36F4DDB1" w14:textId="77777777" w:rsidR="00CF171F" w:rsidRPr="00CF171F" w:rsidRDefault="00CF171F" w:rsidP="00CF171F">
      <w:pPr>
        <w:pStyle w:val="Bibliography"/>
        <w:rPr>
          <w:rFonts w:ascii="Calibri" w:hAnsi="Calibri" w:cs="Calibri"/>
        </w:rPr>
      </w:pPr>
      <w:r w:rsidRPr="00CF171F">
        <w:rPr>
          <w:rFonts w:ascii="Calibri" w:hAnsi="Calibri" w:cs="Calibri"/>
        </w:rPr>
        <w:t>Taibi, E., Nikolakakis, T., Gutierrez, L., Fernandez, C., Kiviluoma, J., Rissanen, S., Lindroos, T.J., 2018. Power system flexibility for the energy transition: Part 2, IRENA FlexTool methodology.</w:t>
      </w:r>
    </w:p>
    <w:p w14:paraId="0297791F" w14:textId="2080A1F6" w:rsidR="00BA17A8" w:rsidRDefault="001C458E">
      <w:r>
        <w:fldChar w:fldCharType="end"/>
      </w:r>
    </w:p>
    <w:p w14:paraId="7AE34BD1" w14:textId="3F396DAE" w:rsidR="001421FB" w:rsidRDefault="001421FB"/>
    <w:sectPr w:rsidR="001421FB" w:rsidSect="00E74C3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96114"/>
    <w:multiLevelType w:val="hybridMultilevel"/>
    <w:tmpl w:val="EC32D75C"/>
    <w:lvl w:ilvl="0" w:tplc="EC30951C">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02B7188"/>
    <w:multiLevelType w:val="hybridMultilevel"/>
    <w:tmpl w:val="E370E198"/>
    <w:lvl w:ilvl="0" w:tplc="04090011">
      <w:start w:val="1"/>
      <w:numFmt w:val="decimal"/>
      <w:lvlText w:val="%1)"/>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F545C0F"/>
    <w:multiLevelType w:val="hybridMultilevel"/>
    <w:tmpl w:val="D67E58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163253B"/>
    <w:multiLevelType w:val="hybridMultilevel"/>
    <w:tmpl w:val="763C3E2E"/>
    <w:lvl w:ilvl="0" w:tplc="FB766E5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43C465B7"/>
    <w:multiLevelType w:val="hybridMultilevel"/>
    <w:tmpl w:val="EB4AF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01554658">
    <w:abstractNumId w:val="1"/>
  </w:num>
  <w:num w:numId="2" w16cid:durableId="2024743062">
    <w:abstractNumId w:val="4"/>
  </w:num>
  <w:num w:numId="3" w16cid:durableId="1933313104">
    <w:abstractNumId w:val="2"/>
  </w:num>
  <w:num w:numId="4" w16cid:durableId="18384943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645770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C3E"/>
    <w:rsid w:val="000C435B"/>
    <w:rsid w:val="001421FB"/>
    <w:rsid w:val="001726D3"/>
    <w:rsid w:val="001C458E"/>
    <w:rsid w:val="001C52E2"/>
    <w:rsid w:val="001D41CE"/>
    <w:rsid w:val="00215DF3"/>
    <w:rsid w:val="00270586"/>
    <w:rsid w:val="002C35D1"/>
    <w:rsid w:val="002C7BFF"/>
    <w:rsid w:val="003F5D4E"/>
    <w:rsid w:val="00495D25"/>
    <w:rsid w:val="005D7AD4"/>
    <w:rsid w:val="006961B9"/>
    <w:rsid w:val="006B0A28"/>
    <w:rsid w:val="00722C92"/>
    <w:rsid w:val="007A2643"/>
    <w:rsid w:val="007B5955"/>
    <w:rsid w:val="007D7A1D"/>
    <w:rsid w:val="00A6528B"/>
    <w:rsid w:val="00BA17A8"/>
    <w:rsid w:val="00BE0F21"/>
    <w:rsid w:val="00C77AB5"/>
    <w:rsid w:val="00CC3E5A"/>
    <w:rsid w:val="00CF171F"/>
    <w:rsid w:val="00E153A1"/>
    <w:rsid w:val="00E74C3E"/>
    <w:rsid w:val="00EA15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93961"/>
  <w15:chartTrackingRefBased/>
  <w15:docId w15:val="{9B95D970-ED39-43CC-B238-3004FCBE6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4C3E"/>
    <w:pPr>
      <w:spacing w:before="240" w:after="240" w:line="360" w:lineRule="auto"/>
    </w:pPr>
    <w:rPr>
      <w:rFonts w:eastAsiaTheme="minorEastAsia"/>
      <w:sz w:val="24"/>
      <w:szCs w:val="24"/>
    </w:rPr>
  </w:style>
  <w:style w:type="paragraph" w:styleId="Heading2">
    <w:name w:val="heading 2"/>
    <w:basedOn w:val="Normal"/>
    <w:next w:val="Normal"/>
    <w:link w:val="Heading2Char"/>
    <w:uiPriority w:val="9"/>
    <w:unhideWhenUsed/>
    <w:qFormat/>
    <w:rsid w:val="00E153A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C458E"/>
    <w:pPr>
      <w:keepNext/>
      <w:keepLines/>
      <w:spacing w:before="40" w:after="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7A264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74C3E"/>
    <w:pPr>
      <w:spacing w:before="0"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4C3E"/>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E74C3E"/>
    <w:pPr>
      <w:spacing w:before="0" w:after="0" w:line="240" w:lineRule="auto"/>
      <w:ind w:left="720"/>
      <w:contextualSpacing/>
    </w:pPr>
    <w:rPr>
      <w:rFonts w:eastAsiaTheme="minorHAnsi"/>
      <w:sz w:val="22"/>
    </w:rPr>
  </w:style>
  <w:style w:type="table" w:styleId="GridTable7Colorful-Accent5">
    <w:name w:val="Grid Table 7 Colorful Accent 5"/>
    <w:basedOn w:val="TableNormal"/>
    <w:uiPriority w:val="52"/>
    <w:rsid w:val="001C52E2"/>
    <w:pPr>
      <w:spacing w:after="0" w:line="240" w:lineRule="auto"/>
    </w:pPr>
    <w:rPr>
      <w:color w:val="2E74B5" w:themeColor="accent5" w:themeShade="BF"/>
      <w:sz w:val="24"/>
      <w:szCs w:val="24"/>
      <w:lang w:val="en-US"/>
    </w:rPr>
    <w:tblPr>
      <w:tblStyleRowBandSize w:val="1"/>
      <w:tblStyleColBandSize w:val="1"/>
      <w:tblInd w:w="0" w:type="nil"/>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character" w:customStyle="1" w:styleId="Heading4Char">
    <w:name w:val="Heading 4 Char"/>
    <w:basedOn w:val="DefaultParagraphFont"/>
    <w:link w:val="Heading4"/>
    <w:uiPriority w:val="9"/>
    <w:semiHidden/>
    <w:rsid w:val="007A2643"/>
    <w:rPr>
      <w:rFonts w:asciiTheme="majorHAnsi" w:eastAsiaTheme="majorEastAsia" w:hAnsiTheme="majorHAnsi" w:cstheme="majorBidi"/>
      <w:i/>
      <w:iCs/>
      <w:color w:val="2F5496" w:themeColor="accent1" w:themeShade="BF"/>
      <w:sz w:val="24"/>
      <w:szCs w:val="24"/>
    </w:rPr>
  </w:style>
  <w:style w:type="character" w:styleId="Hyperlink">
    <w:name w:val="Hyperlink"/>
    <w:basedOn w:val="DefaultParagraphFont"/>
    <w:uiPriority w:val="99"/>
    <w:semiHidden/>
    <w:unhideWhenUsed/>
    <w:rsid w:val="007A2643"/>
    <w:rPr>
      <w:color w:val="0563C1" w:themeColor="hyperlink"/>
      <w:u w:val="single"/>
    </w:rPr>
  </w:style>
  <w:style w:type="table" w:styleId="GridTable2-Accent1">
    <w:name w:val="Grid Table 2 Accent 1"/>
    <w:basedOn w:val="TableNormal"/>
    <w:uiPriority w:val="47"/>
    <w:rsid w:val="007A2643"/>
    <w:pPr>
      <w:spacing w:after="0" w:line="240" w:lineRule="auto"/>
    </w:pPr>
    <w:rPr>
      <w:sz w:val="24"/>
      <w:szCs w:val="24"/>
      <w:lang w:val="en-US"/>
    </w:rPr>
    <w:tblPr>
      <w:tblStyleRowBandSize w:val="1"/>
      <w:tblStyleColBandSize w:val="1"/>
      <w:tblInd w:w="0" w:type="nil"/>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5">
    <w:name w:val="Grid Table 2 Accent 5"/>
    <w:basedOn w:val="TableNormal"/>
    <w:uiPriority w:val="47"/>
    <w:rsid w:val="007A2643"/>
    <w:pPr>
      <w:spacing w:after="0" w:line="240" w:lineRule="auto"/>
    </w:pPr>
    <w:rPr>
      <w:sz w:val="24"/>
      <w:szCs w:val="24"/>
      <w:lang w:val="en-US"/>
    </w:rPr>
    <w:tblPr>
      <w:tblStyleRowBandSize w:val="1"/>
      <w:tblStyleColBandSize w:val="1"/>
      <w:tblInd w:w="0" w:type="nil"/>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1Light-Accent1">
    <w:name w:val="Grid Table 1 Light Accent 1"/>
    <w:basedOn w:val="TableNormal"/>
    <w:uiPriority w:val="46"/>
    <w:rsid w:val="00BA17A8"/>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BA17A8"/>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Heading2Char">
    <w:name w:val="Heading 2 Char"/>
    <w:basedOn w:val="DefaultParagraphFont"/>
    <w:link w:val="Heading2"/>
    <w:uiPriority w:val="9"/>
    <w:rsid w:val="00E153A1"/>
    <w:rPr>
      <w:rFonts w:asciiTheme="majorHAnsi" w:eastAsiaTheme="majorEastAsia" w:hAnsiTheme="majorHAnsi" w:cstheme="majorBidi"/>
      <w:color w:val="2F5496" w:themeColor="accent1" w:themeShade="BF"/>
      <w:sz w:val="26"/>
      <w:szCs w:val="26"/>
    </w:rPr>
  </w:style>
  <w:style w:type="paragraph" w:styleId="Caption">
    <w:name w:val="caption"/>
    <w:basedOn w:val="Normal"/>
    <w:next w:val="Normal"/>
    <w:uiPriority w:val="35"/>
    <w:unhideWhenUsed/>
    <w:qFormat/>
    <w:rsid w:val="00CC3E5A"/>
    <w:pPr>
      <w:spacing w:before="0" w:after="200" w:line="240" w:lineRule="auto"/>
    </w:pPr>
    <w:rPr>
      <w:i/>
      <w:iCs/>
      <w:color w:val="44546A" w:themeColor="text2"/>
      <w:sz w:val="18"/>
      <w:szCs w:val="18"/>
    </w:rPr>
  </w:style>
  <w:style w:type="paragraph" w:styleId="Bibliography">
    <w:name w:val="Bibliography"/>
    <w:basedOn w:val="Normal"/>
    <w:next w:val="Normal"/>
    <w:uiPriority w:val="37"/>
    <w:unhideWhenUsed/>
    <w:rsid w:val="001C458E"/>
    <w:pPr>
      <w:spacing w:after="0" w:line="240" w:lineRule="auto"/>
      <w:ind w:left="720" w:hanging="720"/>
    </w:pPr>
  </w:style>
  <w:style w:type="character" w:customStyle="1" w:styleId="Heading3Char">
    <w:name w:val="Heading 3 Char"/>
    <w:basedOn w:val="DefaultParagraphFont"/>
    <w:link w:val="Heading3"/>
    <w:uiPriority w:val="9"/>
    <w:rsid w:val="001C458E"/>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864299">
      <w:bodyDiv w:val="1"/>
      <w:marLeft w:val="0"/>
      <w:marRight w:val="0"/>
      <w:marTop w:val="0"/>
      <w:marBottom w:val="0"/>
      <w:divBdr>
        <w:top w:val="none" w:sz="0" w:space="0" w:color="auto"/>
        <w:left w:val="none" w:sz="0" w:space="0" w:color="auto"/>
        <w:bottom w:val="none" w:sz="0" w:space="0" w:color="auto"/>
        <w:right w:val="none" w:sz="0" w:space="0" w:color="auto"/>
      </w:divBdr>
    </w:div>
    <w:div w:id="1054937109">
      <w:bodyDiv w:val="1"/>
      <w:marLeft w:val="0"/>
      <w:marRight w:val="0"/>
      <w:marTop w:val="0"/>
      <w:marBottom w:val="0"/>
      <w:divBdr>
        <w:top w:val="none" w:sz="0" w:space="0" w:color="auto"/>
        <w:left w:val="none" w:sz="0" w:space="0" w:color="auto"/>
        <w:bottom w:val="none" w:sz="0" w:space="0" w:color="auto"/>
        <w:right w:val="none" w:sz="0" w:space="0" w:color="auto"/>
      </w:divBdr>
    </w:div>
    <w:div w:id="1219391401">
      <w:bodyDiv w:val="1"/>
      <w:marLeft w:val="0"/>
      <w:marRight w:val="0"/>
      <w:marTop w:val="0"/>
      <w:marBottom w:val="0"/>
      <w:divBdr>
        <w:top w:val="none" w:sz="0" w:space="0" w:color="auto"/>
        <w:left w:val="none" w:sz="0" w:space="0" w:color="auto"/>
        <w:bottom w:val="none" w:sz="0" w:space="0" w:color="auto"/>
        <w:right w:val="none" w:sz="0" w:space="0" w:color="auto"/>
      </w:divBdr>
    </w:div>
    <w:div w:id="1764493749">
      <w:bodyDiv w:val="1"/>
      <w:marLeft w:val="0"/>
      <w:marRight w:val="0"/>
      <w:marTop w:val="0"/>
      <w:marBottom w:val="0"/>
      <w:divBdr>
        <w:top w:val="none" w:sz="0" w:space="0" w:color="auto"/>
        <w:left w:val="none" w:sz="0" w:space="0" w:color="auto"/>
        <w:bottom w:val="none" w:sz="0" w:space="0" w:color="auto"/>
        <w:right w:val="none" w:sz="0" w:space="0" w:color="auto"/>
      </w:divBdr>
    </w:div>
    <w:div w:id="2097632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39/D1EE00746G" TargetMode="External"/><Relationship Id="rId3" Type="http://schemas.openxmlformats.org/officeDocument/2006/relationships/settings" Target="settings.xml"/><Relationship Id="rId7" Type="http://schemas.openxmlformats.org/officeDocument/2006/relationships/hyperlink" Target="https://doi.org/10.1088/2516-1083/abf63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2.deloitte.com/content/dam/Deloitte/fr/Documents/financial-advisory/economicadvisory/deloitte_assessing-flexibility-coal-fired-power-plants.pdf" TargetMode="External"/><Relationship Id="rId11" Type="http://schemas.openxmlformats.org/officeDocument/2006/relationships/theme" Target="theme/theme1.xml"/><Relationship Id="rId5" Type="http://schemas.openxmlformats.org/officeDocument/2006/relationships/hyperlink" Target="mailto:sarah.golobish21@imperial.ac.uk"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rookings.edu/wp-content/uploads/2018/03/wind-curtailment-in-china-and-lessons-from-the-united-states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3</Pages>
  <Words>2265</Words>
  <Characters>12915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Golobish</dc:creator>
  <cp:keywords/>
  <dc:description/>
  <cp:lastModifiedBy>Sarah Golobish</cp:lastModifiedBy>
  <cp:revision>13</cp:revision>
  <dcterms:created xsi:type="dcterms:W3CDTF">2023-03-26T14:45:00Z</dcterms:created>
  <dcterms:modified xsi:type="dcterms:W3CDTF">2023-03-30T01:34:00Z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id="QBlLswSw"/&gt;&lt;style id="http://www.zotero.org/styles/elsevier-harvard" hasBibliography="1" bibliographyStyleHasBeenSet="1"/&gt;&lt;prefs&gt;&lt;pref name="fieldType" value="Field"/&gt;&lt;/prefs&gt;&lt;/data&gt;</vt:lpwstr>
  </property>
</Properties>
</file>