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4E8D" w14:textId="2C67758E" w:rsidR="001F24D3" w:rsidRDefault="00CE6CE3" w:rsidP="001F24D3">
      <w:pPr>
        <w:pStyle w:val="1"/>
      </w:pPr>
      <w:r w:rsidRPr="00F72566">
        <w:t>SUPPLEMENTAL DATA</w:t>
      </w:r>
    </w:p>
    <w:p w14:paraId="18158AC0" w14:textId="0D78AA24" w:rsidR="00B8359C" w:rsidRDefault="00B8359C" w:rsidP="00B8359C"/>
    <w:p w14:paraId="1F228FA8" w14:textId="77777777" w:rsidR="00B8359C" w:rsidRPr="00B8359C" w:rsidRDefault="00B8359C" w:rsidP="00B8359C">
      <w:pPr>
        <w:spacing w:before="100" w:after="100"/>
        <w:ind w:left="100" w:right="100"/>
        <w:rPr>
          <w:rFonts w:eastAsia="宋体"/>
          <w:b/>
          <w:bCs/>
          <w:color w:val="000000"/>
          <w:sz w:val="21"/>
          <w:szCs w:val="21"/>
        </w:rPr>
      </w:pPr>
      <w:r w:rsidRPr="00B8359C">
        <w:rPr>
          <w:rFonts w:eastAsia="Cambria"/>
          <w:b/>
          <w:bCs/>
          <w:color w:val="212121"/>
          <w:sz w:val="21"/>
          <w:szCs w:val="21"/>
          <w:lang w:eastAsia="zh-CN" w:bidi="ar"/>
        </w:rPr>
        <w:t>S</w:t>
      </w:r>
      <w:r w:rsidRPr="00B8359C">
        <w:rPr>
          <w:rFonts w:eastAsia="DejaVu Sans"/>
          <w:b/>
          <w:bCs/>
          <w:color w:val="000000"/>
          <w:sz w:val="21"/>
          <w:szCs w:val="21"/>
          <w:lang w:eastAsia="zh-CN"/>
        </w:rPr>
        <w:t>upplementary Table 1.</w:t>
      </w:r>
      <w:r w:rsidRPr="00B8359C">
        <w:rPr>
          <w:rFonts w:eastAsia="DejaVu Sans"/>
          <w:b/>
          <w:bCs/>
          <w:color w:val="000000"/>
          <w:sz w:val="21"/>
          <w:szCs w:val="21"/>
        </w:rPr>
        <w:t>Gene sets enriched in phenotype high</w:t>
      </w:r>
      <w:r w:rsidRPr="00B8359C">
        <w:rPr>
          <w:rFonts w:eastAsia="宋体"/>
          <w:b/>
          <w:bCs/>
          <w:color w:val="000000"/>
          <w:sz w:val="21"/>
          <w:szCs w:val="21"/>
          <w:lang w:eastAsia="zh-CN"/>
        </w:rPr>
        <w:t>.</w:t>
      </w:r>
    </w:p>
    <w:tbl>
      <w:tblPr>
        <w:tblW w:w="8397" w:type="dxa"/>
        <w:tblInd w:w="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1398"/>
        <w:gridCol w:w="1398"/>
        <w:gridCol w:w="1398"/>
      </w:tblGrid>
      <w:tr w:rsidR="00B8359C" w:rsidRPr="00B8359C" w14:paraId="6CEB3ADC" w14:textId="77777777" w:rsidTr="009C6C74">
        <w:trPr>
          <w:trHeight w:val="297"/>
        </w:trPr>
        <w:tc>
          <w:tcPr>
            <w:tcW w:w="4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EDEC1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ID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86C97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NES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EC4414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proofErr w:type="spellStart"/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p.adjust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CAFA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DejaVu Sans"/>
                <w:color w:val="000000"/>
                <w:sz w:val="21"/>
                <w:szCs w:val="21"/>
                <w:lang w:eastAsia="zh-CN"/>
              </w:rPr>
              <w:t>FDR</w:t>
            </w:r>
          </w:p>
        </w:tc>
      </w:tr>
      <w:tr w:rsidR="00B8359C" w:rsidRPr="00B8359C" w14:paraId="59206791" w14:textId="77777777" w:rsidTr="009C6C74">
        <w:trPr>
          <w:trHeight w:val="29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3DF5A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KEGG_CELL_CYCLE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0682C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1.899196205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D2F39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0.001625938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D7BAA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0.001151569</w:t>
            </w:r>
          </w:p>
        </w:tc>
      </w:tr>
      <w:tr w:rsidR="00B8359C" w:rsidRPr="00B8359C" w14:paraId="47281E89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4B3209D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KEGG_FOCAL_ADHESION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0EAC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1.519141571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2BB46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0.001625938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B5952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0.001151569</w:t>
            </w:r>
          </w:p>
        </w:tc>
      </w:tr>
      <w:tr w:rsidR="00B8359C" w:rsidRPr="00B8359C" w14:paraId="02D40EEC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6928431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KEGG_ADHERENS_JUNCTION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A3851A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1.606849441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3620E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0.001625938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99B57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0.001151569</w:t>
            </w:r>
          </w:p>
        </w:tc>
      </w:tr>
      <w:tr w:rsidR="00B8359C" w:rsidRPr="00B8359C" w14:paraId="538FD320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1C4D221E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KEGG_ECM_RECEPTOR_INTERACTION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229D1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1.630420002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F12AB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0.002806372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005A2A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0.001987611</w:t>
            </w:r>
          </w:p>
        </w:tc>
      </w:tr>
      <w:tr w:rsidR="00B8359C" w:rsidRPr="00B8359C" w14:paraId="6A4E991B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4FA3529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KEGG_UBIQUITIN_MEDIATED_PROTEOLYSIS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A4F84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1.41482929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D65C5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0.005554171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A1628E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0.003933738</w:t>
            </w:r>
          </w:p>
        </w:tc>
      </w:tr>
      <w:tr w:rsidR="00B8359C" w:rsidRPr="00B8359C" w14:paraId="2405D1C4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64549180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KEGG_WNT_SIGNALING_PATHWAY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5EBC89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1.35520544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738FDD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0.011472058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62DEB0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0.008125077</w:t>
            </w:r>
          </w:p>
        </w:tc>
      </w:tr>
      <w:tr w:rsidR="00B8359C" w:rsidRPr="00B8359C" w14:paraId="44B164BB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0E4D1F2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KEGG_P53_SIGNALING_PATHWAY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B0D19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1.477373413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647C9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0.011472058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0BBF2A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0.008125077</w:t>
            </w:r>
          </w:p>
        </w:tc>
      </w:tr>
      <w:tr w:rsidR="00B8359C" w:rsidRPr="00B8359C" w14:paraId="331BF44F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647235C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KEGG_NOTCH_SIGNALING_PATHWAY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86A11D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1.500586425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DF8C62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0.017515716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1963F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0.012405494</w:t>
            </w:r>
          </w:p>
        </w:tc>
      </w:tr>
      <w:tr w:rsidR="00B8359C" w:rsidRPr="00B8359C" w14:paraId="74D29D0F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527859C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KEGG_ERBB_SIGNALING_PATHWAY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193AC0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1.35338185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EFC392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0.04215206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EA09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0.029854167</w:t>
            </w:r>
          </w:p>
        </w:tc>
      </w:tr>
      <w:tr w:rsidR="00B8359C" w:rsidRPr="00B8359C" w14:paraId="70E2C4EB" w14:textId="77777777" w:rsidTr="009C6C74">
        <w:trPr>
          <w:trHeight w:val="297"/>
        </w:trPr>
        <w:tc>
          <w:tcPr>
            <w:tcW w:w="0" w:type="auto"/>
            <w:shd w:val="clear" w:color="auto" w:fill="auto"/>
            <w:noWrap/>
            <w:vAlign w:val="bottom"/>
          </w:tcPr>
          <w:p w14:paraId="4EE0461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KEGG_TGF_BETA_SIGNALING_PATHWAY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EE505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1.353681308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8D5EAB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0.04215206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75950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0.029854167</w:t>
            </w:r>
          </w:p>
        </w:tc>
      </w:tr>
    </w:tbl>
    <w:p w14:paraId="46A95EFC" w14:textId="77777777" w:rsidR="00B8359C" w:rsidRPr="00B8359C" w:rsidRDefault="00B8359C" w:rsidP="00B8359C">
      <w:pPr>
        <w:rPr>
          <w:b/>
          <w:bCs/>
          <w:sz w:val="21"/>
          <w:szCs w:val="21"/>
        </w:rPr>
      </w:pPr>
    </w:p>
    <w:p w14:paraId="6AADCDE0" w14:textId="77777777" w:rsidR="00B8359C" w:rsidRPr="00B8359C" w:rsidRDefault="00B8359C" w:rsidP="00B8359C">
      <w:pPr>
        <w:rPr>
          <w:sz w:val="21"/>
          <w:szCs w:val="21"/>
        </w:rPr>
      </w:pPr>
      <w:r w:rsidRPr="00B8359C">
        <w:rPr>
          <w:b/>
          <w:bCs/>
          <w:sz w:val="21"/>
          <w:szCs w:val="21"/>
        </w:rPr>
        <w:t>Supplementary Table</w:t>
      </w:r>
      <w:r w:rsidRPr="00B8359C">
        <w:rPr>
          <w:b/>
          <w:bCs/>
          <w:sz w:val="21"/>
          <w:szCs w:val="21"/>
          <w:lang w:eastAsia="zh-CN"/>
        </w:rPr>
        <w:t xml:space="preserve"> 2</w:t>
      </w:r>
      <w:r w:rsidRPr="00B8359C">
        <w:rPr>
          <w:b/>
          <w:bCs/>
          <w:sz w:val="21"/>
          <w:szCs w:val="21"/>
        </w:rPr>
        <w:t xml:space="preserve">. The clinical characters of </w:t>
      </w:r>
      <w:r w:rsidRPr="00B8359C">
        <w:rPr>
          <w:b/>
          <w:bCs/>
          <w:sz w:val="21"/>
          <w:szCs w:val="21"/>
          <w:lang w:eastAsia="zh-CN"/>
        </w:rPr>
        <w:t>HNSC</w:t>
      </w:r>
      <w:r w:rsidRPr="00B8359C">
        <w:rPr>
          <w:b/>
          <w:bCs/>
          <w:sz w:val="21"/>
          <w:szCs w:val="21"/>
        </w:rPr>
        <w:t xml:space="preserve"> patients in TCGA cohort</w:t>
      </w:r>
    </w:p>
    <w:tbl>
      <w:tblPr>
        <w:tblW w:w="7513" w:type="dxa"/>
        <w:tblInd w:w="9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4058"/>
      </w:tblGrid>
      <w:tr w:rsidR="00B8359C" w:rsidRPr="00B8359C" w14:paraId="288C40EC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28BFEC88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</w:rPr>
              <w:t>Clinical characters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5E1F54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</w:rPr>
              <w:t>Number</w:t>
            </w:r>
          </w:p>
        </w:tc>
      </w:tr>
      <w:tr w:rsidR="00B8359C" w:rsidRPr="00B8359C" w14:paraId="7B53A289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27A36F2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Alive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3ED228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286</w:t>
            </w:r>
          </w:p>
        </w:tc>
      </w:tr>
      <w:tr w:rsidR="00B8359C" w:rsidRPr="00B8359C" w14:paraId="07AE569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28F52C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Dead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F66D96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218</w:t>
            </w:r>
          </w:p>
        </w:tc>
      </w:tr>
      <w:tr w:rsidR="00B8359C" w:rsidRPr="00B8359C" w14:paraId="74568A3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63C144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Mean (SD)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9E3B21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60.95</w:t>
            </w:r>
          </w:p>
          <w:p w14:paraId="7F33768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lastRenderedPageBreak/>
              <w:t>(12)</w:t>
            </w:r>
          </w:p>
        </w:tc>
      </w:tr>
      <w:tr w:rsidR="00B8359C" w:rsidRPr="00B8359C" w14:paraId="2F049267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3700EE98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lastRenderedPageBreak/>
              <w:t>FEMALE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9CE00E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134</w:t>
            </w:r>
          </w:p>
        </w:tc>
      </w:tr>
      <w:tr w:rsidR="00B8359C" w:rsidRPr="00B8359C" w14:paraId="644325B8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D714B0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E57AAD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370</w:t>
            </w:r>
          </w:p>
        </w:tc>
      </w:tr>
      <w:tr w:rsidR="00B8359C" w:rsidRPr="00B8359C" w14:paraId="5555C179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7F0AF59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AMERICAN INDIAN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27C4AF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</w:t>
            </w:r>
          </w:p>
        </w:tc>
      </w:tr>
      <w:tr w:rsidR="00B8359C" w:rsidRPr="00B8359C" w14:paraId="4BE36360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5EC189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ASIAN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D777C2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10</w:t>
            </w:r>
          </w:p>
        </w:tc>
      </w:tr>
      <w:tr w:rsidR="00B8359C" w:rsidRPr="00B8359C" w14:paraId="1899F126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D6826F9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BLACK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FAC1B2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47</w:t>
            </w:r>
          </w:p>
        </w:tc>
      </w:tr>
      <w:tr w:rsidR="00B8359C" w:rsidRPr="00B8359C" w14:paraId="3647CB5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4C4F3B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WHITE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2C6235E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430</w:t>
            </w:r>
          </w:p>
        </w:tc>
      </w:tr>
      <w:tr w:rsidR="00B8359C" w:rsidRPr="00B8359C" w14:paraId="1E241909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7B502AD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T1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D890F7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34</w:t>
            </w:r>
          </w:p>
        </w:tc>
      </w:tr>
      <w:tr w:rsidR="00B8359C" w:rsidRPr="00B8359C" w14:paraId="42D99245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9E133F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T2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F92EEA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146</w:t>
            </w:r>
          </w:p>
        </w:tc>
      </w:tr>
      <w:tr w:rsidR="00B8359C" w:rsidRPr="00B8359C" w14:paraId="5F73F918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2FCD3D9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T3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FC1234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133</w:t>
            </w:r>
          </w:p>
        </w:tc>
      </w:tr>
      <w:tr w:rsidR="00B8359C" w:rsidRPr="00B8359C" w14:paraId="63F5B04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7F27E98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T4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935E74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25</w:t>
            </w:r>
          </w:p>
        </w:tc>
      </w:tr>
      <w:tr w:rsidR="00B8359C" w:rsidRPr="00B8359C" w14:paraId="6FEF23F5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3799EA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T4a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BC8C30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152</w:t>
            </w:r>
          </w:p>
        </w:tc>
      </w:tr>
      <w:tr w:rsidR="00B8359C" w:rsidRPr="00B8359C" w14:paraId="5CAD43F8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443593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T4b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6C2DD36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</w:t>
            </w:r>
          </w:p>
        </w:tc>
      </w:tr>
      <w:tr w:rsidR="00B8359C" w:rsidRPr="00B8359C" w14:paraId="488591A3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7E157BB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TX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9395BD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11</w:t>
            </w:r>
          </w:p>
        </w:tc>
      </w:tr>
      <w:tr w:rsidR="00B8359C" w:rsidRPr="00B8359C" w14:paraId="2251214A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730F31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N0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BEA307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242</w:t>
            </w:r>
          </w:p>
        </w:tc>
      </w:tr>
      <w:tr w:rsidR="00B8359C" w:rsidRPr="00B8359C" w14:paraId="7B3AC82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D76DD3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N1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412405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81</w:t>
            </w:r>
          </w:p>
        </w:tc>
      </w:tr>
      <w:tr w:rsidR="00B8359C" w:rsidRPr="00B8359C" w14:paraId="3E2FAF9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91E7BA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N2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17B9C80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19</w:t>
            </w:r>
          </w:p>
        </w:tc>
      </w:tr>
      <w:tr w:rsidR="00B8359C" w:rsidRPr="00B8359C" w14:paraId="39ECFC87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671276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N2a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E02511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18</w:t>
            </w:r>
          </w:p>
        </w:tc>
      </w:tr>
      <w:tr w:rsidR="00B8359C" w:rsidRPr="00B8359C" w14:paraId="2A6074E7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3A08A8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N2b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0F03650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77</w:t>
            </w:r>
          </w:p>
        </w:tc>
      </w:tr>
      <w:tr w:rsidR="00B8359C" w:rsidRPr="00B8359C" w14:paraId="33C8FC1D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1719397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N2c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D37E140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41</w:t>
            </w:r>
          </w:p>
        </w:tc>
      </w:tr>
      <w:tr w:rsidR="00B8359C" w:rsidRPr="00B8359C" w14:paraId="7E3D22CD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07CB04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N3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A83D2D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7</w:t>
            </w:r>
          </w:p>
        </w:tc>
      </w:tr>
      <w:tr w:rsidR="00B8359C" w:rsidRPr="00B8359C" w14:paraId="46CD9178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0A6D0D5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lastRenderedPageBreak/>
              <w:t>NX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4A631B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19</w:t>
            </w:r>
          </w:p>
        </w:tc>
      </w:tr>
      <w:tr w:rsidR="00B8359C" w:rsidRPr="00B8359C" w14:paraId="2846BCCF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752829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M0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3686DBE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479</w:t>
            </w:r>
          </w:p>
        </w:tc>
      </w:tr>
      <w:tr w:rsidR="00B8359C" w:rsidRPr="00B8359C" w14:paraId="33C6BF95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3CC6202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M1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7CD230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5</w:t>
            </w:r>
          </w:p>
        </w:tc>
      </w:tr>
      <w:tr w:rsidR="00B8359C" w:rsidRPr="00B8359C" w14:paraId="714D3FD3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AB0756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E947B5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20</w:t>
            </w:r>
          </w:p>
        </w:tc>
      </w:tr>
      <w:tr w:rsidR="00B8359C" w:rsidRPr="00B8359C" w14:paraId="3AD81D07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3B9685D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898D96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25</w:t>
            </w:r>
          </w:p>
        </w:tc>
      </w:tr>
      <w:tr w:rsidR="00B8359C" w:rsidRPr="00B8359C" w14:paraId="6A14DACA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0FDE77A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4A0060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81</w:t>
            </w:r>
          </w:p>
        </w:tc>
      </w:tr>
      <w:tr w:rsidR="00B8359C" w:rsidRPr="00B8359C" w14:paraId="1AA1CA71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3D1A6ED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III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A1A364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91</w:t>
            </w:r>
          </w:p>
        </w:tc>
      </w:tr>
      <w:tr w:rsidR="00B8359C" w:rsidRPr="00B8359C" w14:paraId="25E63ED2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4BE019CE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IVA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F4ADBF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291</w:t>
            </w:r>
          </w:p>
        </w:tc>
      </w:tr>
      <w:tr w:rsidR="00B8359C" w:rsidRPr="00B8359C" w14:paraId="398DED4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0D04C3E7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IVB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ADC1E9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13</w:t>
            </w:r>
          </w:p>
        </w:tc>
      </w:tr>
      <w:tr w:rsidR="00B8359C" w:rsidRPr="00B8359C" w14:paraId="6523B6D1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4D5A580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IVC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33AE30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</w:t>
            </w:r>
          </w:p>
        </w:tc>
      </w:tr>
      <w:tr w:rsidR="00B8359C" w:rsidRPr="00B8359C" w14:paraId="24F12BC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262949C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G1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8FFB5E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62</w:t>
            </w:r>
          </w:p>
        </w:tc>
      </w:tr>
      <w:tr w:rsidR="00B8359C" w:rsidRPr="00B8359C" w14:paraId="6AF92F75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328CC6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G2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F3763B6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301</w:t>
            </w:r>
          </w:p>
        </w:tc>
      </w:tr>
      <w:tr w:rsidR="00B8359C" w:rsidRPr="00B8359C" w14:paraId="256668A3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749E7C6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G3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F16B68E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119</w:t>
            </w:r>
          </w:p>
        </w:tc>
      </w:tr>
      <w:tr w:rsidR="00B8359C" w:rsidRPr="00B8359C" w14:paraId="59CB5A2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4C90337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G4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E8D323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</w:t>
            </w:r>
          </w:p>
        </w:tc>
      </w:tr>
      <w:tr w:rsidR="00B8359C" w:rsidRPr="00B8359C" w14:paraId="6CF3E1BF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94DF6D6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GX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F034ED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17</w:t>
            </w:r>
          </w:p>
        </w:tc>
      </w:tr>
      <w:tr w:rsidR="00B8359C" w:rsidRPr="00B8359C" w14:paraId="59BC180B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328483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Metastasis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B6701C8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19</w:t>
            </w:r>
          </w:p>
        </w:tc>
      </w:tr>
      <w:tr w:rsidR="00B8359C" w:rsidRPr="00B8359C" w14:paraId="2D54519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FF3354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Primary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05022C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9</w:t>
            </w:r>
          </w:p>
        </w:tc>
      </w:tr>
      <w:tr w:rsidR="00B8359C" w:rsidRPr="00B8359C" w14:paraId="3A66EB4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6CBDBE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Recurrence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25BF63D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39</w:t>
            </w:r>
          </w:p>
        </w:tc>
      </w:tr>
      <w:tr w:rsidR="00B8359C" w:rsidRPr="00B8359C" w14:paraId="542CECE2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95DD6E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Non-smoking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009D493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113</w:t>
            </w:r>
          </w:p>
        </w:tc>
      </w:tr>
      <w:tr w:rsidR="00B8359C" w:rsidRPr="00B8359C" w14:paraId="38A81A7E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A88800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Smoking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1A38167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381</w:t>
            </w:r>
          </w:p>
        </w:tc>
      </w:tr>
      <w:tr w:rsidR="00B8359C" w:rsidRPr="00B8359C" w14:paraId="69F25B0D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240D37F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Non-radiation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2A285FDD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63</w:t>
            </w:r>
          </w:p>
        </w:tc>
      </w:tr>
      <w:tr w:rsidR="00B8359C" w:rsidRPr="00B8359C" w14:paraId="4FE48C71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19C03A7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lastRenderedPageBreak/>
              <w:t>Radiation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2944CFC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121</w:t>
            </w:r>
          </w:p>
        </w:tc>
      </w:tr>
      <w:tr w:rsidR="00B8359C" w:rsidRPr="00B8359C" w14:paraId="3979CC43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0DECA1E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Neoadjuvant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A0B95A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10</w:t>
            </w:r>
          </w:p>
        </w:tc>
      </w:tr>
      <w:tr w:rsidR="00B8359C" w:rsidRPr="00B8359C" w14:paraId="318597D4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09E0BF2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No neoadjuvant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A3D021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494</w:t>
            </w:r>
          </w:p>
        </w:tc>
      </w:tr>
      <w:tr w:rsidR="00B8359C" w:rsidRPr="00B8359C" w14:paraId="7BBEEFE6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D1E5C5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Chemotherapy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0C90B2F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159</w:t>
            </w:r>
          </w:p>
        </w:tc>
      </w:tr>
      <w:tr w:rsidR="00B8359C" w:rsidRPr="00B8359C" w14:paraId="448C5F5B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670644FC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proofErr w:type="spellStart"/>
            <w:r w:rsidRPr="00B8359C">
              <w:rPr>
                <w:sz w:val="21"/>
                <w:szCs w:val="21"/>
                <w:lang w:eastAsia="zh-CN"/>
              </w:rPr>
              <w:t>Chemotherapy:Immunotherapy</w:t>
            </w:r>
            <w:proofErr w:type="spellEnd"/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691704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3</w:t>
            </w:r>
          </w:p>
        </w:tc>
      </w:tr>
      <w:tr w:rsidR="00B8359C" w:rsidRPr="00B8359C" w14:paraId="11FE0555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832F5B5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proofErr w:type="spellStart"/>
            <w:r w:rsidRPr="00B8359C">
              <w:rPr>
                <w:sz w:val="21"/>
                <w:szCs w:val="21"/>
                <w:lang w:eastAsia="zh-CN"/>
              </w:rPr>
              <w:t>Chemotherapy:Other</w:t>
            </w:r>
            <w:proofErr w:type="spellEnd"/>
            <w:r w:rsidRPr="00B8359C">
              <w:rPr>
                <w:sz w:val="21"/>
                <w:szCs w:val="21"/>
                <w:lang w:eastAsia="zh-CN"/>
              </w:rPr>
              <w:t>. specify in notes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608FDD1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</w:t>
            </w:r>
          </w:p>
        </w:tc>
      </w:tr>
      <w:tr w:rsidR="00B8359C" w:rsidRPr="00B8359C" w14:paraId="568039A8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591F4F8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proofErr w:type="spellStart"/>
            <w:r w:rsidRPr="00B8359C">
              <w:rPr>
                <w:sz w:val="21"/>
                <w:szCs w:val="21"/>
                <w:lang w:eastAsia="zh-CN"/>
              </w:rPr>
              <w:t>Chemotherapy:Targeted</w:t>
            </w:r>
            <w:proofErr w:type="spellEnd"/>
            <w:r w:rsidRPr="00B8359C">
              <w:rPr>
                <w:sz w:val="21"/>
                <w:szCs w:val="21"/>
                <w:lang w:eastAsia="zh-CN"/>
              </w:rPr>
              <w:t xml:space="preserve"> Molecular therapy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213A594A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7</w:t>
            </w:r>
          </w:p>
        </w:tc>
      </w:tr>
      <w:tr w:rsidR="00B8359C" w:rsidRPr="00B8359C" w14:paraId="4DA3AF91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030D0B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proofErr w:type="spellStart"/>
            <w:r w:rsidRPr="00B8359C">
              <w:rPr>
                <w:sz w:val="21"/>
                <w:szCs w:val="21"/>
                <w:lang w:eastAsia="zh-CN"/>
              </w:rPr>
              <w:t>Chemotherapy:Targeted</w:t>
            </w:r>
            <w:proofErr w:type="spellEnd"/>
            <w:r w:rsidRPr="00B8359C">
              <w:rPr>
                <w:sz w:val="21"/>
                <w:szCs w:val="21"/>
                <w:lang w:eastAsia="zh-CN"/>
              </w:rPr>
              <w:t xml:space="preserve"> Molecular </w:t>
            </w:r>
            <w:proofErr w:type="spellStart"/>
            <w:r w:rsidRPr="00B8359C">
              <w:rPr>
                <w:sz w:val="21"/>
                <w:szCs w:val="21"/>
                <w:lang w:eastAsia="zh-CN"/>
              </w:rPr>
              <w:t>therapy:Vaccine</w:t>
            </w:r>
            <w:proofErr w:type="spellEnd"/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BC347BB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1</w:t>
            </w:r>
          </w:p>
        </w:tc>
      </w:tr>
      <w:tr w:rsidR="00B8359C" w:rsidRPr="00B8359C" w14:paraId="14104E73" w14:textId="77777777" w:rsidTr="009C6C74">
        <w:trPr>
          <w:trHeight w:val="280"/>
        </w:trPr>
        <w:tc>
          <w:tcPr>
            <w:tcW w:w="3455" w:type="dxa"/>
            <w:shd w:val="clear" w:color="auto" w:fill="auto"/>
            <w:noWrap/>
            <w:vAlign w:val="center"/>
          </w:tcPr>
          <w:p w14:paraId="1B933754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Immunotherapy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9BE4956" w14:textId="77777777" w:rsidR="00B8359C" w:rsidRPr="00B8359C" w:rsidRDefault="00B8359C" w:rsidP="009C6C74">
            <w:pPr>
              <w:rPr>
                <w:sz w:val="21"/>
                <w:szCs w:val="21"/>
              </w:rPr>
            </w:pPr>
            <w:r w:rsidRPr="00B8359C">
              <w:rPr>
                <w:sz w:val="21"/>
                <w:szCs w:val="21"/>
                <w:lang w:eastAsia="zh-CN"/>
              </w:rPr>
              <w:t>2</w:t>
            </w:r>
          </w:p>
        </w:tc>
      </w:tr>
    </w:tbl>
    <w:p w14:paraId="509E3BF6" w14:textId="77777777" w:rsidR="00B8359C" w:rsidRPr="00B8359C" w:rsidRDefault="00B8359C" w:rsidP="00B8359C">
      <w:pPr>
        <w:rPr>
          <w:sz w:val="21"/>
          <w:szCs w:val="21"/>
        </w:rPr>
      </w:pPr>
    </w:p>
    <w:p w14:paraId="616F3052" w14:textId="77777777" w:rsidR="00B8359C" w:rsidRPr="00B8359C" w:rsidRDefault="00B8359C" w:rsidP="00B8359C">
      <w:pPr>
        <w:textAlignment w:val="bottom"/>
        <w:rPr>
          <w:rFonts w:eastAsia="宋体"/>
          <w:color w:val="000000"/>
          <w:sz w:val="21"/>
          <w:szCs w:val="21"/>
          <w:lang w:bidi="ar"/>
        </w:rPr>
      </w:pPr>
    </w:p>
    <w:p w14:paraId="019D9F79" w14:textId="77777777" w:rsidR="00B8359C" w:rsidRPr="00B8359C" w:rsidRDefault="00B8359C" w:rsidP="00B8359C">
      <w:pPr>
        <w:spacing w:before="100" w:after="100"/>
        <w:ind w:left="100" w:right="100"/>
        <w:rPr>
          <w:rFonts w:eastAsia="DejaVu Sans"/>
          <w:b/>
          <w:bCs/>
          <w:color w:val="000000"/>
          <w:sz w:val="21"/>
          <w:szCs w:val="21"/>
        </w:rPr>
      </w:pPr>
      <w:r w:rsidRPr="00B8359C">
        <w:rPr>
          <w:rFonts w:eastAsia="Cambria"/>
          <w:b/>
          <w:bCs/>
          <w:color w:val="212121"/>
          <w:sz w:val="21"/>
          <w:szCs w:val="21"/>
          <w:lang w:eastAsia="zh-CN" w:bidi="ar"/>
        </w:rPr>
        <w:t>S</w:t>
      </w:r>
      <w:r w:rsidRPr="00B8359C">
        <w:rPr>
          <w:rFonts w:eastAsia="DejaVu Sans"/>
          <w:b/>
          <w:bCs/>
          <w:color w:val="000000"/>
          <w:sz w:val="21"/>
          <w:szCs w:val="21"/>
          <w:lang w:eastAsia="zh-CN"/>
        </w:rPr>
        <w:t>upplementary Table 3. Correlation analysis between lncRNA and hsa-miR-30b-5p or lncRNA and LARP1 in HNSC determined by ENCORI and TCGA databases.</w:t>
      </w:r>
    </w:p>
    <w:tbl>
      <w:tblPr>
        <w:tblStyle w:val="a3"/>
        <w:tblW w:w="8121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3"/>
        <w:gridCol w:w="2180"/>
        <w:gridCol w:w="1699"/>
        <w:gridCol w:w="2059"/>
      </w:tblGrid>
      <w:tr w:rsidR="00B8359C" w:rsidRPr="00B8359C" w14:paraId="1B6A368F" w14:textId="77777777" w:rsidTr="009C6C74">
        <w:trPr>
          <w:trHeight w:val="212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16FB84BB" w14:textId="77777777" w:rsidR="00B8359C" w:rsidRPr="00B8359C" w:rsidRDefault="00B8359C" w:rsidP="009C6C74">
            <w:pPr>
              <w:textAlignment w:val="bottom"/>
              <w:rPr>
                <w:rFonts w:eastAsia="DejaVu Sans"/>
                <w:b/>
                <w:bCs/>
                <w:color w:val="000000"/>
                <w:sz w:val="21"/>
                <w:szCs w:val="21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LncRNA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14:paraId="4A1FAE02" w14:textId="77777777" w:rsidR="00B8359C" w:rsidRPr="00B8359C" w:rsidRDefault="00B8359C" w:rsidP="009C6C74">
            <w:pPr>
              <w:textAlignment w:val="bottom"/>
              <w:rPr>
                <w:rFonts w:eastAsia="DejaVu Sans"/>
                <w:b/>
                <w:bCs/>
                <w:color w:val="000000"/>
                <w:sz w:val="21"/>
                <w:szCs w:val="21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miRNA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C637149" w14:textId="77777777" w:rsidR="00B8359C" w:rsidRPr="00B8359C" w:rsidRDefault="00B8359C" w:rsidP="009C6C74">
            <w:pPr>
              <w:textAlignment w:val="bottom"/>
              <w:rPr>
                <w:rFonts w:eastAsia="DejaVu Sans"/>
                <w:b/>
                <w:bCs/>
                <w:color w:val="000000"/>
                <w:sz w:val="21"/>
                <w:szCs w:val="21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R value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14:paraId="4DFDC48D" w14:textId="77777777" w:rsidR="00B8359C" w:rsidRPr="00B8359C" w:rsidRDefault="00B8359C" w:rsidP="009C6C74">
            <w:pPr>
              <w:textAlignment w:val="bottom"/>
              <w:rPr>
                <w:rFonts w:eastAsia="DejaVu Sans"/>
                <w:b/>
                <w:bCs/>
                <w:color w:val="000000"/>
                <w:sz w:val="21"/>
                <w:szCs w:val="21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p value</w:t>
            </w:r>
          </w:p>
        </w:tc>
      </w:tr>
      <w:tr w:rsidR="00B8359C" w:rsidRPr="00B8359C" w14:paraId="0E0B6977" w14:textId="77777777" w:rsidTr="009C6C74"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14:paraId="54BBBD8D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NOP14-AS1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14:paraId="4163AD8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hsa-miR-30b-5p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2803FB3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-0.173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14:paraId="3BC84BA9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1.05E-04</w:t>
            </w:r>
          </w:p>
        </w:tc>
      </w:tr>
      <w:tr w:rsidR="00B8359C" w:rsidRPr="00B8359C" w14:paraId="176B8D04" w14:textId="77777777" w:rsidTr="009C6C74">
        <w:trPr>
          <w:trHeight w:val="292"/>
        </w:trPr>
        <w:tc>
          <w:tcPr>
            <w:tcW w:w="2183" w:type="dxa"/>
            <w:vAlign w:val="center"/>
          </w:tcPr>
          <w:p w14:paraId="66D9B040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LINC02535</w:t>
            </w:r>
          </w:p>
        </w:tc>
        <w:tc>
          <w:tcPr>
            <w:tcW w:w="2180" w:type="dxa"/>
          </w:tcPr>
          <w:p w14:paraId="484B860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hsa-miR-30b-5p</w:t>
            </w:r>
          </w:p>
        </w:tc>
        <w:tc>
          <w:tcPr>
            <w:tcW w:w="1699" w:type="dxa"/>
          </w:tcPr>
          <w:p w14:paraId="1461A14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-0.201</w:t>
            </w:r>
          </w:p>
        </w:tc>
        <w:tc>
          <w:tcPr>
            <w:tcW w:w="2059" w:type="dxa"/>
          </w:tcPr>
          <w:p w14:paraId="0074AF09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6.18E-06</w:t>
            </w:r>
          </w:p>
        </w:tc>
      </w:tr>
      <w:tr w:rsidR="00B8359C" w:rsidRPr="00B8359C" w14:paraId="2E846D69" w14:textId="77777777" w:rsidTr="009C6C74">
        <w:trPr>
          <w:trHeight w:val="288"/>
        </w:trPr>
        <w:tc>
          <w:tcPr>
            <w:tcW w:w="2183" w:type="dxa"/>
            <w:vAlign w:val="center"/>
          </w:tcPr>
          <w:p w14:paraId="140D9465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LINC00707</w:t>
            </w:r>
          </w:p>
        </w:tc>
        <w:tc>
          <w:tcPr>
            <w:tcW w:w="2180" w:type="dxa"/>
          </w:tcPr>
          <w:p w14:paraId="68029FAC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hsa-miR-30b-5p</w:t>
            </w:r>
          </w:p>
        </w:tc>
        <w:tc>
          <w:tcPr>
            <w:tcW w:w="1699" w:type="dxa"/>
          </w:tcPr>
          <w:p w14:paraId="47B47BCA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-0.219</w:t>
            </w:r>
          </w:p>
        </w:tc>
        <w:tc>
          <w:tcPr>
            <w:tcW w:w="2059" w:type="dxa"/>
          </w:tcPr>
          <w:p w14:paraId="71FDBE8F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7.80E-07</w:t>
            </w:r>
          </w:p>
        </w:tc>
      </w:tr>
      <w:tr w:rsidR="00B8359C" w:rsidRPr="00B8359C" w14:paraId="1F7772E7" w14:textId="77777777" w:rsidTr="009C6C74">
        <w:trPr>
          <w:trHeight w:val="222"/>
        </w:trPr>
        <w:tc>
          <w:tcPr>
            <w:tcW w:w="2183" w:type="dxa"/>
            <w:vAlign w:val="center"/>
          </w:tcPr>
          <w:p w14:paraId="2966198E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SNHG16</w:t>
            </w:r>
          </w:p>
        </w:tc>
        <w:tc>
          <w:tcPr>
            <w:tcW w:w="2180" w:type="dxa"/>
          </w:tcPr>
          <w:p w14:paraId="4CEF3035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hsa-miR-30b-5p</w:t>
            </w:r>
          </w:p>
        </w:tc>
        <w:tc>
          <w:tcPr>
            <w:tcW w:w="1699" w:type="dxa"/>
          </w:tcPr>
          <w:p w14:paraId="0F193002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-0.100</w:t>
            </w:r>
          </w:p>
        </w:tc>
        <w:tc>
          <w:tcPr>
            <w:tcW w:w="2059" w:type="dxa"/>
          </w:tcPr>
          <w:p w14:paraId="54536C8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2.61E-02</w:t>
            </w:r>
          </w:p>
        </w:tc>
      </w:tr>
      <w:tr w:rsidR="00B8359C" w:rsidRPr="00B8359C" w14:paraId="5F34357F" w14:textId="77777777" w:rsidTr="009C6C74">
        <w:trPr>
          <w:trHeight w:val="222"/>
        </w:trPr>
        <w:tc>
          <w:tcPr>
            <w:tcW w:w="2183" w:type="dxa"/>
            <w:vAlign w:val="center"/>
          </w:tcPr>
          <w:p w14:paraId="447FC50F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LncRNA</w:t>
            </w:r>
          </w:p>
        </w:tc>
        <w:tc>
          <w:tcPr>
            <w:tcW w:w="2180" w:type="dxa"/>
          </w:tcPr>
          <w:p w14:paraId="74B7B2AD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mRNA</w:t>
            </w:r>
          </w:p>
        </w:tc>
        <w:tc>
          <w:tcPr>
            <w:tcW w:w="1699" w:type="dxa"/>
          </w:tcPr>
          <w:p w14:paraId="464E9C12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R value</w:t>
            </w:r>
          </w:p>
        </w:tc>
        <w:tc>
          <w:tcPr>
            <w:tcW w:w="2059" w:type="dxa"/>
          </w:tcPr>
          <w:p w14:paraId="50C636E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DejaVu Sans"/>
                <w:b/>
                <w:bCs/>
                <w:color w:val="000000"/>
                <w:sz w:val="21"/>
                <w:szCs w:val="21"/>
                <w:lang w:eastAsia="zh-CN"/>
              </w:rPr>
              <w:t>p value</w:t>
            </w:r>
          </w:p>
        </w:tc>
      </w:tr>
      <w:tr w:rsidR="00B8359C" w:rsidRPr="00B8359C" w14:paraId="15C356A2" w14:textId="77777777" w:rsidTr="009C6C74">
        <w:tc>
          <w:tcPr>
            <w:tcW w:w="2183" w:type="dxa"/>
            <w:vAlign w:val="center"/>
          </w:tcPr>
          <w:p w14:paraId="70F5283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lastRenderedPageBreak/>
              <w:t>NOP14-AS1</w:t>
            </w:r>
          </w:p>
        </w:tc>
        <w:tc>
          <w:tcPr>
            <w:tcW w:w="2180" w:type="dxa"/>
          </w:tcPr>
          <w:p w14:paraId="0814D97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LARP1</w:t>
            </w:r>
          </w:p>
        </w:tc>
        <w:tc>
          <w:tcPr>
            <w:tcW w:w="1699" w:type="dxa"/>
          </w:tcPr>
          <w:p w14:paraId="22E68983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-0.028</w:t>
            </w:r>
          </w:p>
        </w:tc>
        <w:tc>
          <w:tcPr>
            <w:tcW w:w="2059" w:type="dxa"/>
          </w:tcPr>
          <w:p w14:paraId="013628AE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5.37E-01</w:t>
            </w:r>
          </w:p>
        </w:tc>
      </w:tr>
      <w:tr w:rsidR="00B8359C" w:rsidRPr="00B8359C" w14:paraId="54A5A140" w14:textId="77777777" w:rsidTr="009C6C74">
        <w:tc>
          <w:tcPr>
            <w:tcW w:w="2183" w:type="dxa"/>
            <w:vAlign w:val="center"/>
          </w:tcPr>
          <w:p w14:paraId="01DF39E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LINC02535</w:t>
            </w:r>
          </w:p>
        </w:tc>
        <w:tc>
          <w:tcPr>
            <w:tcW w:w="2180" w:type="dxa"/>
          </w:tcPr>
          <w:p w14:paraId="6BBD28F9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LARP1</w:t>
            </w:r>
          </w:p>
        </w:tc>
        <w:tc>
          <w:tcPr>
            <w:tcW w:w="1699" w:type="dxa"/>
          </w:tcPr>
          <w:p w14:paraId="52D9B6AE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-0.029</w:t>
            </w:r>
          </w:p>
        </w:tc>
        <w:tc>
          <w:tcPr>
            <w:tcW w:w="2059" w:type="dxa"/>
          </w:tcPr>
          <w:p w14:paraId="05421ED6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5.14E-01</w:t>
            </w:r>
          </w:p>
        </w:tc>
      </w:tr>
      <w:tr w:rsidR="00B8359C" w:rsidRPr="00B8359C" w14:paraId="5F67D571" w14:textId="77777777" w:rsidTr="009C6C74">
        <w:trPr>
          <w:trHeight w:val="405"/>
        </w:trPr>
        <w:tc>
          <w:tcPr>
            <w:tcW w:w="2183" w:type="dxa"/>
            <w:vAlign w:val="center"/>
          </w:tcPr>
          <w:p w14:paraId="7128063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LINC00707</w:t>
            </w:r>
          </w:p>
        </w:tc>
        <w:tc>
          <w:tcPr>
            <w:tcW w:w="2180" w:type="dxa"/>
          </w:tcPr>
          <w:p w14:paraId="27835063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LARP1</w:t>
            </w:r>
          </w:p>
        </w:tc>
        <w:tc>
          <w:tcPr>
            <w:tcW w:w="1699" w:type="dxa"/>
          </w:tcPr>
          <w:p w14:paraId="73AFA8B9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0.111</w:t>
            </w:r>
          </w:p>
        </w:tc>
        <w:tc>
          <w:tcPr>
            <w:tcW w:w="2059" w:type="dxa"/>
          </w:tcPr>
          <w:p w14:paraId="34E8BB57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1.25E-02</w:t>
            </w:r>
          </w:p>
        </w:tc>
      </w:tr>
      <w:tr w:rsidR="00B8359C" w:rsidRPr="00B8359C" w14:paraId="3A7BF4CD" w14:textId="77777777" w:rsidTr="009C6C74"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2D742BEA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SNHG16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5CC57E02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LARP1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1F7FEFF1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0.289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0A24A288" w14:textId="77777777" w:rsidR="00B8359C" w:rsidRPr="00B8359C" w:rsidRDefault="00B8359C" w:rsidP="009C6C74">
            <w:pPr>
              <w:textAlignment w:val="bottom"/>
              <w:rPr>
                <w:rFonts w:eastAsia="宋体"/>
                <w:color w:val="000000"/>
                <w:sz w:val="21"/>
                <w:szCs w:val="21"/>
                <w:lang w:bidi="ar"/>
              </w:rPr>
            </w:pPr>
            <w:r w:rsidRPr="00B8359C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3.92E-11</w:t>
            </w:r>
          </w:p>
        </w:tc>
      </w:tr>
    </w:tbl>
    <w:p w14:paraId="406B3B8F" w14:textId="77777777" w:rsidR="00B8359C" w:rsidRPr="00B8359C" w:rsidRDefault="00B8359C" w:rsidP="00B8359C"/>
    <w:p w14:paraId="6CD8A3AE" w14:textId="77777777" w:rsidR="00B8359C" w:rsidRPr="00B8359C" w:rsidRDefault="00B8359C" w:rsidP="00B8359C"/>
    <w:p w14:paraId="6923D801" w14:textId="77777777" w:rsidR="00B8359C" w:rsidRPr="00B8359C" w:rsidRDefault="00B8359C" w:rsidP="00B8359C"/>
    <w:p w14:paraId="7AF6EAEC" w14:textId="582CBA27" w:rsidR="001F24D3" w:rsidRDefault="001F24D3" w:rsidP="001F24D3">
      <w:r>
        <w:rPr>
          <w:noProof/>
        </w:rPr>
        <w:drawing>
          <wp:inline distT="0" distB="0" distL="0" distR="0" wp14:anchorId="53613615" wp14:editId="00C25786">
            <wp:extent cx="5271135" cy="5647690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E3EE9" w14:textId="154E70CE" w:rsidR="001F24D3" w:rsidRDefault="001F24D3" w:rsidP="001F24D3">
      <w:r>
        <w:rPr>
          <w:b/>
          <w:bCs/>
        </w:rPr>
        <w:lastRenderedPageBreak/>
        <w:t xml:space="preserve">Supplementary </w:t>
      </w:r>
      <w:r>
        <w:rPr>
          <w:rFonts w:hint="eastAsia"/>
          <w:b/>
          <w:bCs/>
        </w:rPr>
        <w:t>Figure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1.</w:t>
      </w:r>
      <w:r>
        <w:t xml:space="preserve"> Regulation of m7GRGs in function-related pathways in </w:t>
      </w:r>
      <w:r>
        <w:rPr>
          <w:rFonts w:hint="eastAsia"/>
        </w:rPr>
        <w:t>HNSCC</w:t>
      </w:r>
      <w:r>
        <w:t xml:space="preserve"> patients</w:t>
      </w:r>
      <w:r>
        <w:rPr>
          <w:rFonts w:hint="eastAsia"/>
        </w:rPr>
        <w:t>.</w:t>
      </w:r>
      <w:r>
        <w:t xml:space="preserve"> (A) Different pathways for EIF3D regulation</w:t>
      </w:r>
      <w:r>
        <w:rPr>
          <w:rFonts w:hint="eastAsia"/>
        </w:rPr>
        <w:t>;</w:t>
      </w:r>
      <w:r>
        <w:t xml:space="preserve"> (B) Different pathways for EIF1 regulation</w:t>
      </w:r>
      <w:r>
        <w:rPr>
          <w:rFonts w:hint="eastAsia"/>
        </w:rPr>
        <w:t>;</w:t>
      </w:r>
      <w:r>
        <w:t xml:space="preserve"> (C) Different pathways for LARP1 regulation</w:t>
      </w:r>
      <w:r>
        <w:rPr>
          <w:rFonts w:hint="eastAsia"/>
        </w:rPr>
        <w:t>;</w:t>
      </w:r>
      <w:r>
        <w:t xml:space="preserve"> (D) Different pathways for METTL1 regulation</w:t>
      </w:r>
      <w:r>
        <w:rPr>
          <w:rFonts w:hint="eastAsia"/>
        </w:rPr>
        <w:t>.</w:t>
      </w:r>
    </w:p>
    <w:p w14:paraId="79A8C7D9" w14:textId="312ED7B7" w:rsidR="001F24D3" w:rsidRDefault="001F24D3" w:rsidP="001F24D3"/>
    <w:p w14:paraId="6D165242" w14:textId="532B561F" w:rsidR="001F24D3" w:rsidRDefault="00B8359C" w:rsidP="001F24D3">
      <w:r>
        <w:rPr>
          <w:noProof/>
        </w:rPr>
        <w:drawing>
          <wp:inline distT="0" distB="0" distL="0" distR="0" wp14:anchorId="51F8F040" wp14:editId="65ADAF4F">
            <wp:extent cx="5274310" cy="602678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B5F8B" w14:textId="77777777" w:rsidR="00B8359C" w:rsidRDefault="00B8359C" w:rsidP="00B8359C">
      <w:r>
        <w:rPr>
          <w:b/>
          <w:bCs/>
        </w:rPr>
        <w:lastRenderedPageBreak/>
        <w:t xml:space="preserve">Supplementary </w:t>
      </w:r>
      <w:r>
        <w:rPr>
          <w:rFonts w:hint="eastAsia"/>
          <w:b/>
          <w:bCs/>
        </w:rPr>
        <w:t>Figure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2.</w:t>
      </w:r>
      <w:r>
        <w:t xml:space="preserve"> Analysis of protein</w:t>
      </w:r>
      <w:r>
        <w:rPr>
          <w:rFonts w:hint="eastAsia"/>
        </w:rPr>
        <w:t xml:space="preserve"> and </w:t>
      </w:r>
      <w:r>
        <w:t xml:space="preserve">gene interaction networks of m7GRGs (A) The protein-protein interaction network of </w:t>
      </w:r>
      <w:r>
        <w:rPr>
          <w:rFonts w:hint="eastAsia"/>
        </w:rPr>
        <w:t>m7G-related proteins(</w:t>
      </w:r>
      <w:r>
        <w:t>STRING</w:t>
      </w:r>
      <w:r>
        <w:rPr>
          <w:rFonts w:hint="eastAsia"/>
        </w:rPr>
        <w:t>);</w:t>
      </w:r>
      <w:r>
        <w:t xml:space="preserve"> (B) The </w:t>
      </w:r>
      <w:r>
        <w:rPr>
          <w:rFonts w:hint="eastAsia"/>
        </w:rPr>
        <w:t>gene-gene</w:t>
      </w:r>
      <w:r>
        <w:t xml:space="preserve"> interaction</w:t>
      </w:r>
      <w:r>
        <w:rPr>
          <w:rFonts w:hint="eastAsia"/>
        </w:rPr>
        <w:t xml:space="preserve"> network of m7GRGs</w:t>
      </w:r>
      <w:r>
        <w:t xml:space="preserve"> </w:t>
      </w:r>
      <w:r>
        <w:rPr>
          <w:rFonts w:hint="eastAsia"/>
        </w:rPr>
        <w:t>(</w:t>
      </w:r>
      <w:proofErr w:type="spellStart"/>
      <w:r>
        <w:t>GeneMANIA</w:t>
      </w:r>
      <w:proofErr w:type="spellEnd"/>
      <w:r>
        <w:rPr>
          <w:rFonts w:hint="eastAsia"/>
        </w:rPr>
        <w:t>).</w:t>
      </w:r>
      <w:r>
        <w:t xml:space="preserve"> </w:t>
      </w:r>
    </w:p>
    <w:p w14:paraId="4093B6BB" w14:textId="7DD60B1B" w:rsidR="00B8359C" w:rsidRDefault="00B8359C" w:rsidP="001F24D3"/>
    <w:p w14:paraId="17750F96" w14:textId="6C5EBCB0" w:rsidR="00B8359C" w:rsidRDefault="00B8359C" w:rsidP="001F24D3">
      <w:r>
        <w:rPr>
          <w:noProof/>
        </w:rPr>
        <w:drawing>
          <wp:inline distT="0" distB="0" distL="0" distR="0" wp14:anchorId="1C83DE1F" wp14:editId="2A83B513">
            <wp:extent cx="5271135" cy="5516880"/>
            <wp:effectExtent l="0" t="0" r="571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BCE44" w14:textId="77777777" w:rsidR="00B8359C" w:rsidRDefault="00B8359C" w:rsidP="00B8359C">
      <w:r>
        <w:rPr>
          <w:rFonts w:hint="eastAsia"/>
          <w:b/>
          <w:bCs/>
        </w:rPr>
        <w:t>Supplementary Figure 3</w:t>
      </w:r>
      <w:r>
        <w:rPr>
          <w:rFonts w:hint="eastAsia"/>
        </w:rPr>
        <w:t xml:space="preserve"> Correlation between m7GRGs and different </w:t>
      </w:r>
      <w:r>
        <w:t>clinicopathological characteristics</w:t>
      </w:r>
      <w:r>
        <w:rPr>
          <w:rFonts w:hint="eastAsia"/>
        </w:rPr>
        <w:t xml:space="preserve"> of HNSCC. (A) Differences in clinicopathological </w:t>
      </w:r>
      <w:r>
        <w:rPr>
          <w:rFonts w:hint="eastAsia"/>
        </w:rPr>
        <w:lastRenderedPageBreak/>
        <w:t xml:space="preserve">features, including sex, clinical stage, grade, </w:t>
      </w:r>
      <w:r>
        <w:t xml:space="preserve">and </w:t>
      </w:r>
      <w:r>
        <w:rPr>
          <w:rFonts w:hint="eastAsia"/>
        </w:rPr>
        <w:t>smoking</w:t>
      </w:r>
      <w:r>
        <w:t xml:space="preserve"> status, among</w:t>
      </w:r>
      <w:r>
        <w:rPr>
          <w:rFonts w:hint="eastAsia"/>
        </w:rPr>
        <w:t xml:space="preserve"> the two subtypes of HNSCC;</w:t>
      </w:r>
      <w:r>
        <w:t xml:space="preserve"> (B) Association of the four prognos</w:t>
      </w:r>
      <w:r>
        <w:rPr>
          <w:rFonts w:hint="eastAsia"/>
        </w:rPr>
        <w:t xml:space="preserve">tic </w:t>
      </w:r>
      <w:r>
        <w:t>m7GRGs with tumor stage and HNSC</w:t>
      </w:r>
      <w:r>
        <w:rPr>
          <w:rFonts w:hint="eastAsia"/>
        </w:rPr>
        <w:t>C</w:t>
      </w:r>
      <w:r>
        <w:t xml:space="preserve"> </w:t>
      </w:r>
      <w:r>
        <w:rPr>
          <w:rFonts w:hint="eastAsia"/>
        </w:rPr>
        <w:t>g</w:t>
      </w:r>
      <w:r>
        <w:t>rade in the TCGA database</w:t>
      </w:r>
      <w:r>
        <w:rPr>
          <w:rFonts w:hint="eastAsia"/>
        </w:rPr>
        <w:t xml:space="preserve">; </w:t>
      </w:r>
      <w:r>
        <w:t>(</w:t>
      </w:r>
      <w:r>
        <w:rPr>
          <w:rFonts w:hint="eastAsia"/>
        </w:rPr>
        <w:t>C</w:t>
      </w:r>
      <w:r>
        <w:t xml:space="preserve">) Association of </w:t>
      </w:r>
      <w:r>
        <w:rPr>
          <w:rFonts w:hint="eastAsia"/>
        </w:rPr>
        <w:t xml:space="preserve">four </w:t>
      </w:r>
      <w:r>
        <w:t xml:space="preserve">prognostic m7GRGs with tumor stage and </w:t>
      </w:r>
      <w:r>
        <w:rPr>
          <w:rFonts w:hint="eastAsia"/>
        </w:rPr>
        <w:t>g</w:t>
      </w:r>
      <w:r>
        <w:t>rade in the UALCAN database.</w:t>
      </w:r>
    </w:p>
    <w:p w14:paraId="09798A5A" w14:textId="16BD4D14" w:rsidR="00B8359C" w:rsidRDefault="00B8359C" w:rsidP="001F24D3"/>
    <w:p w14:paraId="7742BC73" w14:textId="296447C9" w:rsidR="00B8359C" w:rsidRDefault="00B8359C" w:rsidP="001F24D3">
      <w:r>
        <w:rPr>
          <w:noProof/>
        </w:rPr>
        <w:lastRenderedPageBreak/>
        <w:drawing>
          <wp:inline distT="0" distB="0" distL="0" distR="0" wp14:anchorId="2BFDFBFE" wp14:editId="18E883F0">
            <wp:extent cx="5271135" cy="7088505"/>
            <wp:effectExtent l="0" t="0" r="571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08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4331" w14:textId="77777777" w:rsidR="00B8359C" w:rsidRDefault="00B8359C" w:rsidP="00B8359C">
      <w:r>
        <w:rPr>
          <w:b/>
          <w:bCs/>
        </w:rPr>
        <w:t xml:space="preserve">Supplementary </w:t>
      </w:r>
      <w:r>
        <w:rPr>
          <w:rFonts w:hint="eastAsia"/>
          <w:b/>
          <w:bCs/>
        </w:rPr>
        <w:t>Figure</w:t>
      </w:r>
      <w:r>
        <w:rPr>
          <w:b/>
          <w:bCs/>
        </w:rPr>
        <w:t xml:space="preserve"> 4</w:t>
      </w:r>
      <w:r>
        <w:rPr>
          <w:rFonts w:hint="eastAsia"/>
          <w:b/>
          <w:bCs/>
        </w:rPr>
        <w:t>.</w:t>
      </w:r>
      <w:r>
        <w:t xml:space="preserve"> Analysis of copy number variation (CNV) of m7GRGs in </w:t>
      </w:r>
      <w:r>
        <w:rPr>
          <w:rFonts w:hint="eastAsia"/>
        </w:rPr>
        <w:t>HNSCC.</w:t>
      </w:r>
      <w:r>
        <w:t xml:space="preserve"> (A) CNV pie chart distribution; (B) CNV expression levels of 45 m7GRGs in </w:t>
      </w:r>
      <w:r>
        <w:rPr>
          <w:rFonts w:hint="eastAsia"/>
        </w:rPr>
        <w:t>HNSCC</w:t>
      </w:r>
      <w:r>
        <w:t xml:space="preserve"> </w:t>
      </w:r>
      <w:r>
        <w:rPr>
          <w:rFonts w:hint="eastAsia"/>
        </w:rPr>
        <w:t>cohort</w:t>
      </w:r>
      <w:r>
        <w:t xml:space="preserve">; (C) heterozygous </w:t>
      </w:r>
      <w:r>
        <w:rPr>
          <w:rFonts w:eastAsia="宋体" w:hint="eastAsia"/>
          <w:color w:val="000000" w:themeColor="text1"/>
          <w:szCs w:val="21"/>
        </w:rPr>
        <w:t>CNV</w:t>
      </w:r>
      <w:r>
        <w:t xml:space="preserve"> and homozygous CNV profiles of the 45 m7GRGs in </w:t>
      </w:r>
      <w:r>
        <w:rPr>
          <w:rFonts w:hint="eastAsia"/>
        </w:rPr>
        <w:t>HNSCC</w:t>
      </w:r>
      <w:r>
        <w:t xml:space="preserve"> </w:t>
      </w:r>
      <w:r>
        <w:rPr>
          <w:rFonts w:hint="eastAsia"/>
        </w:rPr>
        <w:t>cohort.</w:t>
      </w:r>
    </w:p>
    <w:p w14:paraId="0722AECF" w14:textId="5898E4EF" w:rsidR="00B8359C" w:rsidRDefault="00B8359C" w:rsidP="001F24D3"/>
    <w:p w14:paraId="7C938554" w14:textId="19396E9E" w:rsidR="00B8359C" w:rsidRDefault="00B8359C" w:rsidP="001F24D3">
      <w:r>
        <w:rPr>
          <w:noProof/>
        </w:rPr>
        <w:drawing>
          <wp:inline distT="0" distB="0" distL="0" distR="0" wp14:anchorId="03266739" wp14:editId="5F08A228">
            <wp:extent cx="5271135" cy="5282565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2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E26A9" w14:textId="77777777" w:rsidR="00B8359C" w:rsidRDefault="00B8359C" w:rsidP="00B8359C">
      <w:r>
        <w:rPr>
          <w:b/>
          <w:bCs/>
        </w:rPr>
        <w:t>Supplementary Figure 5</w:t>
      </w:r>
      <w:r>
        <w:rPr>
          <w:rFonts w:hint="eastAsia"/>
          <w:b/>
          <w:bCs/>
        </w:rPr>
        <w:t>.</w:t>
      </w:r>
      <w:r>
        <w:t xml:space="preserve"> Distribution of m7GRG mutations associated with patient prognosis</w:t>
      </w:r>
      <w:r>
        <w:rPr>
          <w:rFonts w:hint="eastAsia"/>
        </w:rPr>
        <w:t>.</w:t>
      </w:r>
      <w:r>
        <w:t xml:space="preserve"> (A) Mutation sites; (B) Detailed expression levels of m7GRGs in </w:t>
      </w:r>
      <w:r>
        <w:rPr>
          <w:rFonts w:hint="eastAsia"/>
        </w:rPr>
        <w:t>HNSCC</w:t>
      </w:r>
      <w:r>
        <w:t xml:space="preserve"> tumor samples with CNV.</w:t>
      </w:r>
    </w:p>
    <w:p w14:paraId="11D5667F" w14:textId="77777777" w:rsidR="00B8359C" w:rsidRDefault="00B8359C" w:rsidP="001F24D3"/>
    <w:p w14:paraId="4B55585F" w14:textId="1761F04F" w:rsidR="00B8359C" w:rsidRDefault="00B8359C" w:rsidP="001F24D3">
      <w:r>
        <w:rPr>
          <w:noProof/>
        </w:rPr>
        <w:lastRenderedPageBreak/>
        <w:drawing>
          <wp:inline distT="0" distB="0" distL="0" distR="0" wp14:anchorId="47852EF4" wp14:editId="091D80D7">
            <wp:extent cx="5267325" cy="5259705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B4964" w14:textId="77777777" w:rsidR="00B8359C" w:rsidRDefault="00B8359C" w:rsidP="00B8359C">
      <w:r>
        <w:rPr>
          <w:b/>
          <w:bCs/>
        </w:rPr>
        <w:t>Supplementary Figure 6.</w:t>
      </w:r>
      <w:r>
        <w:t xml:space="preserve"> </w:t>
      </w:r>
      <w:r>
        <w:rPr>
          <w:rFonts w:hint="eastAsia"/>
        </w:rPr>
        <w:t>Construction of a PFS model for HNSCC prognosis using m7GRGs</w:t>
      </w:r>
      <w:r>
        <w:rPr>
          <w:rFonts w:hint="eastAsia"/>
          <w:lang w:eastAsia="zh-CN"/>
        </w:rPr>
        <w:t>.</w:t>
      </w:r>
    </w:p>
    <w:p w14:paraId="234CB5E8" w14:textId="77777777" w:rsidR="00B8359C" w:rsidRDefault="00B8359C" w:rsidP="001F24D3"/>
    <w:p w14:paraId="562AF0F6" w14:textId="3219CAC1" w:rsidR="00B8359C" w:rsidRDefault="00B8359C" w:rsidP="001F24D3">
      <w:r>
        <w:rPr>
          <w:noProof/>
        </w:rPr>
        <w:lastRenderedPageBreak/>
        <w:drawing>
          <wp:inline distT="0" distB="0" distL="0" distR="0" wp14:anchorId="222754FC" wp14:editId="46CA1CFC">
            <wp:extent cx="5271135" cy="5140325"/>
            <wp:effectExtent l="0" t="0" r="5715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1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56DE" w14:textId="77777777" w:rsidR="00B8359C" w:rsidRDefault="00B8359C" w:rsidP="00B8359C">
      <w:r>
        <w:rPr>
          <w:b/>
          <w:bCs/>
        </w:rPr>
        <w:t xml:space="preserve">Supplementary Figure 7. </w:t>
      </w:r>
      <w:r>
        <w:rPr>
          <w:rFonts w:hint="eastAsia"/>
        </w:rPr>
        <w:t>Construction of a DSS model for HNSCC prognosis with the help of m7GRG</w:t>
      </w:r>
      <w:r>
        <w:rPr>
          <w:rFonts w:hint="eastAsia"/>
          <w:lang w:eastAsia="zh-CN"/>
        </w:rPr>
        <w:t>.</w:t>
      </w:r>
    </w:p>
    <w:p w14:paraId="228421F6" w14:textId="421797A9" w:rsidR="00B8359C" w:rsidRDefault="00B8359C" w:rsidP="001F24D3"/>
    <w:p w14:paraId="1E21F834" w14:textId="01855367" w:rsidR="00B8359C" w:rsidRDefault="00B8359C" w:rsidP="001F24D3">
      <w:r>
        <w:rPr>
          <w:noProof/>
        </w:rPr>
        <w:lastRenderedPageBreak/>
        <w:drawing>
          <wp:inline distT="0" distB="0" distL="0" distR="0" wp14:anchorId="267922B8" wp14:editId="65AA0BE9">
            <wp:extent cx="5267325" cy="7687945"/>
            <wp:effectExtent l="0" t="0" r="9525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6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2620" w14:textId="77777777" w:rsidR="00B8359C" w:rsidRDefault="00B8359C" w:rsidP="00B8359C">
      <w:r>
        <w:rPr>
          <w:b/>
          <w:bCs/>
        </w:rPr>
        <w:t>Supplementary Figure 8</w:t>
      </w:r>
      <w:r>
        <w:rPr>
          <w:rFonts w:hint="eastAsia"/>
          <w:b/>
          <w:bCs/>
        </w:rPr>
        <w:t>.</w:t>
      </w:r>
      <w:r>
        <w:t xml:space="preserve"> Construction of </w:t>
      </w:r>
      <w:r>
        <w:rPr>
          <w:rFonts w:hint="eastAsia"/>
        </w:rPr>
        <w:t>a predictive nomogram</w:t>
      </w:r>
      <w:r>
        <w:t xml:space="preserve"> (PFS, DSS)</w:t>
      </w:r>
      <w:r>
        <w:rPr>
          <w:rFonts w:hint="eastAsia"/>
        </w:rPr>
        <w:t>.</w:t>
      </w:r>
      <w:r>
        <w:t xml:space="preserve"> (A, B)</w:t>
      </w:r>
      <w:r>
        <w:rPr>
          <w:rFonts w:hint="eastAsia"/>
        </w:rPr>
        <w:t xml:space="preserve">Univariate and multivariate Cox regression analysis of clinicopathological features </w:t>
      </w:r>
      <w:r>
        <w:rPr>
          <w:rFonts w:hint="eastAsia"/>
        </w:rPr>
        <w:lastRenderedPageBreak/>
        <w:t>and m7GRGs in HNSC</w:t>
      </w:r>
      <w:r>
        <w:rPr>
          <w:rFonts w:hint="eastAsia"/>
          <w:lang w:eastAsia="zh-CN"/>
        </w:rPr>
        <w:t>C</w:t>
      </w:r>
      <w:r>
        <w:rPr>
          <w:rFonts w:hint="eastAsia"/>
        </w:rPr>
        <w:t xml:space="preserve"> patients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for PFS</w:t>
      </w:r>
      <w:r>
        <w:rPr>
          <w:rFonts w:hint="eastAsia"/>
          <w:lang w:eastAsia="zh-CN"/>
        </w:rPr>
        <w:t>;</w:t>
      </w:r>
      <w:r>
        <w:t xml:space="preserve"> (C, D) </w:t>
      </w:r>
      <w:r>
        <w:rPr>
          <w:rFonts w:hint="eastAsia"/>
        </w:rPr>
        <w:t>N</w:t>
      </w:r>
      <w:r>
        <w:t>omogram for predicting 1-, 3-</w:t>
      </w:r>
      <w:r>
        <w:rPr>
          <w:rFonts w:hint="eastAsia"/>
        </w:rPr>
        <w:t>,</w:t>
      </w:r>
      <w:r>
        <w:t xml:space="preserve"> and 5-year PFS of</w:t>
      </w:r>
      <w:r>
        <w:rPr>
          <w:rFonts w:hint="eastAsia"/>
          <w:lang w:eastAsia="zh-CN"/>
        </w:rPr>
        <w:t xml:space="preserve"> </w:t>
      </w:r>
      <w:r>
        <w:t xml:space="preserve"> </w:t>
      </w:r>
      <w:r>
        <w:rPr>
          <w:rFonts w:hint="eastAsia"/>
        </w:rPr>
        <w:t>HNSCC</w:t>
      </w:r>
      <w:r>
        <w:t xml:space="preserve"> patients; (E, F) </w:t>
      </w:r>
      <w:r>
        <w:rPr>
          <w:rFonts w:hint="eastAsia"/>
        </w:rPr>
        <w:t>Univariate and multivariate Cox regression analysis of clinicopathological features and m7GRGs in HNSC</w:t>
      </w:r>
      <w:r>
        <w:rPr>
          <w:rFonts w:hint="eastAsia"/>
          <w:lang w:eastAsia="zh-CN"/>
        </w:rPr>
        <w:t>C</w:t>
      </w:r>
      <w:r>
        <w:rPr>
          <w:rFonts w:hint="eastAsia"/>
        </w:rPr>
        <w:t xml:space="preserve"> patients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for </w:t>
      </w:r>
      <w:r>
        <w:rPr>
          <w:rFonts w:hint="eastAsia"/>
          <w:lang w:eastAsia="zh-CN"/>
        </w:rPr>
        <w:t>DSS</w:t>
      </w:r>
      <w:r>
        <w:t xml:space="preserve">; (G, H) </w:t>
      </w:r>
      <w:r>
        <w:rPr>
          <w:rFonts w:hint="eastAsia"/>
        </w:rPr>
        <w:t>N</w:t>
      </w:r>
      <w:r>
        <w:t>omogram for predicting 1-, 3-</w:t>
      </w:r>
      <w:r>
        <w:rPr>
          <w:rFonts w:hint="eastAsia"/>
        </w:rPr>
        <w:t>,</w:t>
      </w:r>
      <w:r>
        <w:t xml:space="preserve"> and 5-year </w:t>
      </w:r>
      <w:r>
        <w:rPr>
          <w:rFonts w:hint="eastAsia"/>
        </w:rPr>
        <w:t>DSS</w:t>
      </w:r>
      <w:r>
        <w:t xml:space="preserve"> of </w:t>
      </w:r>
      <w:r>
        <w:rPr>
          <w:rFonts w:hint="eastAsia"/>
        </w:rPr>
        <w:t>HNSCC</w:t>
      </w:r>
      <w:r>
        <w:t xml:space="preserve"> patients</w:t>
      </w:r>
      <w:r>
        <w:rPr>
          <w:rFonts w:hint="eastAsia"/>
          <w:lang w:eastAsia="zh-CN"/>
        </w:rPr>
        <w:t>.</w:t>
      </w:r>
    </w:p>
    <w:p w14:paraId="72DD50DC" w14:textId="77777777" w:rsidR="00B8359C" w:rsidRDefault="00B8359C" w:rsidP="001F24D3"/>
    <w:p w14:paraId="5E1EE7C3" w14:textId="495E842B" w:rsidR="00B8359C" w:rsidRDefault="00B8359C" w:rsidP="001F24D3">
      <w:r>
        <w:rPr>
          <w:noProof/>
        </w:rPr>
        <w:lastRenderedPageBreak/>
        <w:drawing>
          <wp:inline distT="0" distB="0" distL="0" distR="0" wp14:anchorId="6828D71D" wp14:editId="49016D23">
            <wp:extent cx="5271135" cy="7680325"/>
            <wp:effectExtent l="0" t="0" r="571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68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C4896" w14:textId="77777777" w:rsidR="00B8359C" w:rsidRDefault="00B8359C" w:rsidP="00B8359C">
      <w:r>
        <w:rPr>
          <w:b/>
          <w:bCs/>
        </w:rPr>
        <w:t>Supplementary Figure 9</w:t>
      </w:r>
      <w:r>
        <w:rPr>
          <w:rFonts w:hint="eastAsia"/>
          <w:b/>
          <w:bCs/>
        </w:rPr>
        <w:t>.</w:t>
      </w:r>
      <w:r>
        <w:t xml:space="preserve"> Relationship between the expression level of m7GRGs in the tumor microenvironment and immune infiltration (A-E) Comparison of immune </w:t>
      </w:r>
      <w:r>
        <w:lastRenderedPageBreak/>
        <w:t xml:space="preserve">scores between C1 and C2 subtypes in TCGA; (A) CIBERSORT, (B) TIMER, (C) EPIC, (D) </w:t>
      </w:r>
      <w:proofErr w:type="spellStart"/>
      <w:r>
        <w:t>xCell</w:t>
      </w:r>
      <w:proofErr w:type="spellEnd"/>
      <w:r>
        <w:t xml:space="preserve">, (E) </w:t>
      </w:r>
      <w:proofErr w:type="spellStart"/>
      <w:r>
        <w:t>MCPcounter</w:t>
      </w:r>
      <w:proofErr w:type="spellEnd"/>
      <w:r>
        <w:t>.</w:t>
      </w:r>
    </w:p>
    <w:p w14:paraId="4A013C8A" w14:textId="77777777" w:rsidR="00B8359C" w:rsidRDefault="00B8359C" w:rsidP="001F24D3"/>
    <w:p w14:paraId="3ACDB40F" w14:textId="261CC98E" w:rsidR="00B8359C" w:rsidRDefault="00B8359C" w:rsidP="001F24D3">
      <w:r>
        <w:rPr>
          <w:noProof/>
        </w:rPr>
        <w:drawing>
          <wp:inline distT="0" distB="0" distL="0" distR="0" wp14:anchorId="2B6AE03D" wp14:editId="6141EA61">
            <wp:extent cx="5271135" cy="6623685"/>
            <wp:effectExtent l="0" t="0" r="5715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62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2BE5" w14:textId="77777777" w:rsidR="00B8359C" w:rsidRDefault="00B8359C" w:rsidP="00B8359C">
      <w:r>
        <w:rPr>
          <w:b/>
          <w:bCs/>
        </w:rPr>
        <w:lastRenderedPageBreak/>
        <w:t>Supplementary Figure 10</w:t>
      </w:r>
      <w:r>
        <w:rPr>
          <w:rFonts w:hint="eastAsia"/>
          <w:b/>
          <w:bCs/>
        </w:rPr>
        <w:t>.</w:t>
      </w:r>
      <w:r>
        <w:t xml:space="preserve"> Relationship between the expression level of four prognos</w:t>
      </w:r>
      <w:r>
        <w:rPr>
          <w:rFonts w:hint="eastAsia"/>
        </w:rPr>
        <w:t xml:space="preserve">tic </w:t>
      </w:r>
      <w:r>
        <w:t>m7GRGs and immune infiltration</w:t>
      </w:r>
      <w:r>
        <w:rPr>
          <w:rFonts w:hint="eastAsia"/>
        </w:rPr>
        <w:t xml:space="preserve">. </w:t>
      </w:r>
      <w:r>
        <w:t xml:space="preserve">(A) Relationship between the abundance of immune cells in </w:t>
      </w:r>
      <w:r>
        <w:rPr>
          <w:rFonts w:hint="eastAsia"/>
        </w:rPr>
        <w:t>HNSCC</w:t>
      </w:r>
      <w:r>
        <w:t xml:space="preserve"> and the expression levels of four prognos</w:t>
      </w:r>
      <w:r>
        <w:rPr>
          <w:rFonts w:hint="eastAsia"/>
        </w:rPr>
        <w:t xml:space="preserve">tic </w:t>
      </w:r>
      <w:r>
        <w:t>m7GRGs; (B) Differences in immune cell infiltration between the high and low expression groups of the four prognos</w:t>
      </w:r>
      <w:r>
        <w:rPr>
          <w:rFonts w:hint="eastAsia"/>
        </w:rPr>
        <w:t>tic</w:t>
      </w:r>
      <w:r>
        <w:t xml:space="preserve"> m7GRGs in </w:t>
      </w:r>
      <w:r>
        <w:rPr>
          <w:rFonts w:hint="eastAsia"/>
        </w:rPr>
        <w:t xml:space="preserve">HNSCC. </w:t>
      </w:r>
    </w:p>
    <w:p w14:paraId="396D05E8" w14:textId="4B944809" w:rsidR="00B8359C" w:rsidRDefault="00B34FFF" w:rsidP="001F24D3">
      <w:r>
        <w:rPr>
          <w:noProof/>
        </w:rPr>
        <w:drawing>
          <wp:inline distT="0" distB="0" distL="0" distR="0" wp14:anchorId="50870CC9" wp14:editId="521A073B">
            <wp:extent cx="5274310" cy="49466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321F" w14:textId="77777777" w:rsidR="00B34FFF" w:rsidRDefault="00B34FFF" w:rsidP="00B34FFF">
      <w:r>
        <w:rPr>
          <w:b/>
          <w:bCs/>
        </w:rPr>
        <w:t>Supplementary Figure 11</w:t>
      </w:r>
      <w:r>
        <w:rPr>
          <w:rFonts w:hint="eastAsia"/>
          <w:b/>
          <w:bCs/>
        </w:rPr>
        <w:t>.</w:t>
      </w:r>
      <w:r>
        <w:t xml:space="preserve"> Correlation between four prognos</w:t>
      </w:r>
      <w:r>
        <w:rPr>
          <w:rFonts w:hint="eastAsia"/>
        </w:rPr>
        <w:t>tic</w:t>
      </w:r>
      <w:r>
        <w:t xml:space="preserve"> m7GRGs in </w:t>
      </w:r>
      <w:r>
        <w:rPr>
          <w:rFonts w:hint="eastAsia"/>
        </w:rPr>
        <w:t>HNSCC</w:t>
      </w:r>
      <w:r>
        <w:t xml:space="preserve"> and tumor immune cell infiltration</w:t>
      </w:r>
      <w:r>
        <w:rPr>
          <w:rFonts w:hint="eastAsia"/>
        </w:rPr>
        <w:t>.</w:t>
      </w:r>
    </w:p>
    <w:p w14:paraId="129C66CD" w14:textId="77777777" w:rsidR="00B34FFF" w:rsidRDefault="00B34FFF" w:rsidP="001F24D3"/>
    <w:p w14:paraId="5AD9ACE8" w14:textId="60A170E1" w:rsidR="00B8359C" w:rsidRDefault="00B8359C" w:rsidP="001F24D3">
      <w:r>
        <w:rPr>
          <w:noProof/>
        </w:rPr>
        <w:lastRenderedPageBreak/>
        <w:drawing>
          <wp:inline distT="0" distB="0" distL="0" distR="0" wp14:anchorId="202A75CE" wp14:editId="364A9E9D">
            <wp:extent cx="5271135" cy="7330440"/>
            <wp:effectExtent l="0" t="0" r="5715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061A" w14:textId="77777777" w:rsidR="00B8359C" w:rsidRDefault="00B8359C" w:rsidP="00B8359C">
      <w:r>
        <w:rPr>
          <w:b/>
          <w:bCs/>
        </w:rPr>
        <w:t xml:space="preserve">Supplementary </w:t>
      </w:r>
      <w:r>
        <w:rPr>
          <w:rFonts w:hint="eastAsia"/>
          <w:b/>
          <w:bCs/>
        </w:rPr>
        <w:t>Figure</w:t>
      </w:r>
      <w:r>
        <w:rPr>
          <w:b/>
          <w:bCs/>
        </w:rPr>
        <w:t xml:space="preserve"> 12</w:t>
      </w:r>
      <w:r>
        <w:rPr>
          <w:rFonts w:hint="eastAsia"/>
          <w:b/>
          <w:bCs/>
        </w:rPr>
        <w:t>.</w:t>
      </w:r>
      <w:r>
        <w:t xml:space="preserve"> Correlation between potential miRNAs and m7GRG mRNA in </w:t>
      </w:r>
      <w:r>
        <w:rPr>
          <w:rFonts w:hint="eastAsia"/>
        </w:rPr>
        <w:t>HNSCC.</w:t>
      </w:r>
    </w:p>
    <w:p w14:paraId="76FF6D51" w14:textId="416AA6E2" w:rsidR="00B8359C" w:rsidRDefault="00B8359C" w:rsidP="001F24D3">
      <w:r>
        <w:rPr>
          <w:noProof/>
        </w:rPr>
        <w:lastRenderedPageBreak/>
        <w:drawing>
          <wp:inline distT="0" distB="0" distL="0" distR="0" wp14:anchorId="158AD3E7" wp14:editId="4D40EFCA">
            <wp:extent cx="5274310" cy="409892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0433" w14:textId="77777777" w:rsidR="00B8359C" w:rsidRDefault="00B8359C" w:rsidP="00B8359C">
      <w:r>
        <w:rPr>
          <w:b/>
          <w:bCs/>
        </w:rPr>
        <w:t>Supplementary Figure 13</w:t>
      </w:r>
      <w:r>
        <w:rPr>
          <w:rFonts w:hint="eastAsia"/>
          <w:b/>
          <w:bCs/>
        </w:rPr>
        <w:t>.</w:t>
      </w:r>
      <w:r>
        <w:t xml:space="preserve"> Prognostic evaluation of potential miRNAs in </w:t>
      </w:r>
      <w:r>
        <w:rPr>
          <w:rFonts w:hint="eastAsia"/>
        </w:rPr>
        <w:t>HNSCC.</w:t>
      </w:r>
    </w:p>
    <w:p w14:paraId="35DA2534" w14:textId="77777777" w:rsidR="00B8359C" w:rsidRPr="001F24D3" w:rsidRDefault="00B8359C" w:rsidP="001F24D3"/>
    <w:sectPr w:rsidR="00B8359C" w:rsidRPr="001F2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84AE6" w14:textId="77777777" w:rsidR="007E4E3A" w:rsidRDefault="007E4E3A" w:rsidP="00967CF5">
      <w:pPr>
        <w:spacing w:after="0" w:line="240" w:lineRule="auto"/>
      </w:pPr>
      <w:r>
        <w:separator/>
      </w:r>
    </w:p>
  </w:endnote>
  <w:endnote w:type="continuationSeparator" w:id="0">
    <w:p w14:paraId="0D457662" w14:textId="77777777" w:rsidR="007E4E3A" w:rsidRDefault="007E4E3A" w:rsidP="0096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49147" w14:textId="77777777" w:rsidR="007E4E3A" w:rsidRDefault="007E4E3A" w:rsidP="00967CF5">
      <w:pPr>
        <w:spacing w:after="0" w:line="240" w:lineRule="auto"/>
      </w:pPr>
      <w:r>
        <w:separator/>
      </w:r>
    </w:p>
  </w:footnote>
  <w:footnote w:type="continuationSeparator" w:id="0">
    <w:p w14:paraId="41FE140F" w14:textId="77777777" w:rsidR="007E4E3A" w:rsidRDefault="007E4E3A" w:rsidP="00967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E3"/>
    <w:rsid w:val="00075F09"/>
    <w:rsid w:val="00161155"/>
    <w:rsid w:val="001F24D3"/>
    <w:rsid w:val="00365F29"/>
    <w:rsid w:val="005B1A24"/>
    <w:rsid w:val="006B1A1B"/>
    <w:rsid w:val="0074193B"/>
    <w:rsid w:val="00786A45"/>
    <w:rsid w:val="007E4E3A"/>
    <w:rsid w:val="00811536"/>
    <w:rsid w:val="00967CF5"/>
    <w:rsid w:val="00A5079E"/>
    <w:rsid w:val="00AB5F97"/>
    <w:rsid w:val="00AF08D9"/>
    <w:rsid w:val="00B34FFF"/>
    <w:rsid w:val="00B8359C"/>
    <w:rsid w:val="00BC7C45"/>
    <w:rsid w:val="00BE3217"/>
    <w:rsid w:val="00C10A37"/>
    <w:rsid w:val="00C22460"/>
    <w:rsid w:val="00CE6CE3"/>
    <w:rsid w:val="00D944F4"/>
    <w:rsid w:val="00E20147"/>
    <w:rsid w:val="00E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582FF"/>
  <w14:defaultImageDpi w14:val="32767"/>
  <w15:chartTrackingRefBased/>
  <w15:docId w15:val="{073C570C-CF14-4C51-99F8-A5C67ADB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E3"/>
    <w:pPr>
      <w:pBdr>
        <w:top w:val="nil"/>
        <w:left w:val="nil"/>
        <w:bottom w:val="nil"/>
        <w:right w:val="nil"/>
        <w:between w:val="nil"/>
      </w:pBdr>
      <w:spacing w:after="160" w:line="480" w:lineRule="auto"/>
    </w:pPr>
    <w:rPr>
      <w:rFonts w:ascii="Times New Roman" w:eastAsia="Calibri" w:hAnsi="Times New Roman" w:cs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6CE3"/>
    <w:pPr>
      <w:keepNext/>
      <w:keepLines/>
      <w:spacing w:before="360" w:after="0"/>
      <w:outlineLvl w:val="0"/>
    </w:pPr>
    <w:rPr>
      <w:rFonts w:eastAsiaTheme="majorEastAsia"/>
      <w:b/>
      <w:color w:val="1F3864" w:themeColor="accent1" w:themeShade="8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E3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CE6CE3"/>
    <w:rPr>
      <w:rFonts w:ascii="Times New Roman" w:eastAsiaTheme="majorEastAsia" w:hAnsi="Times New Roman" w:cs="Times New Roman"/>
      <w:b/>
      <w:color w:val="1F3864" w:themeColor="accent1" w:themeShade="80"/>
      <w:kern w:val="0"/>
      <w:sz w:val="36"/>
      <w:szCs w:val="32"/>
      <w:lang w:eastAsia="en-US"/>
    </w:rPr>
  </w:style>
  <w:style w:type="paragraph" w:styleId="a4">
    <w:name w:val="header"/>
    <w:basedOn w:val="a"/>
    <w:link w:val="a5"/>
    <w:uiPriority w:val="99"/>
    <w:unhideWhenUsed/>
    <w:rsid w:val="00967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7CF5"/>
    <w:rPr>
      <w:rFonts w:ascii="Times New Roman" w:eastAsia="Calibri" w:hAnsi="Times New Roman" w:cs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967C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7CF5"/>
    <w:rPr>
      <w:rFonts w:ascii="Times New Roman" w:eastAsia="Calibri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 浩添</dc:creator>
  <cp:keywords/>
  <dc:description/>
  <cp:lastModifiedBy>秦 浩添</cp:lastModifiedBy>
  <cp:revision>5</cp:revision>
  <dcterms:created xsi:type="dcterms:W3CDTF">2022-11-02T00:57:00Z</dcterms:created>
  <dcterms:modified xsi:type="dcterms:W3CDTF">2023-03-21T15:58:00Z</dcterms:modified>
</cp:coreProperties>
</file>