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202C6B" w14:textId="010BBF34" w:rsidR="00847922" w:rsidRPr="002B45B7" w:rsidRDefault="001622EB" w:rsidP="002B45B7">
      <w:pPr>
        <w:spacing w:line="480" w:lineRule="auto"/>
        <w:jc w:val="center"/>
        <w:rPr>
          <w:b/>
          <w:bCs/>
        </w:rPr>
      </w:pPr>
      <w:r w:rsidRPr="00E8749A">
        <w:rPr>
          <w:b/>
          <w:bCs/>
        </w:rPr>
        <w:t xml:space="preserve">Scalable High-Speed Hybrid Complementary Integrated Circuits </w:t>
      </w:r>
      <w:r w:rsidR="00493C90" w:rsidRPr="002B45B7">
        <w:rPr>
          <w:b/>
          <w:bCs/>
        </w:rPr>
        <w:t>b</w:t>
      </w:r>
      <w:r w:rsidRPr="002B45B7">
        <w:rPr>
          <w:b/>
          <w:bCs/>
        </w:rPr>
        <w:t>ased on Solution-Processed Organic and Inorganic Transistor</w:t>
      </w:r>
      <w:r w:rsidR="009931E6" w:rsidRPr="002B45B7">
        <w:rPr>
          <w:b/>
          <w:bCs/>
        </w:rPr>
        <w:t>s</w:t>
      </w:r>
    </w:p>
    <w:p w14:paraId="3DBB737E" w14:textId="77777777" w:rsidR="00AA0098" w:rsidRPr="002B45B7" w:rsidRDefault="00AA0098" w:rsidP="002B45B7">
      <w:pPr>
        <w:spacing w:line="480" w:lineRule="auto"/>
        <w:jc w:val="center"/>
        <w:rPr>
          <w:i/>
          <w:iCs/>
        </w:rPr>
      </w:pPr>
      <w:proofErr w:type="spellStart"/>
      <w:r w:rsidRPr="002B45B7">
        <w:rPr>
          <w:i/>
          <w:iCs/>
        </w:rPr>
        <w:t>Xiaozhu</w:t>
      </w:r>
      <w:proofErr w:type="spellEnd"/>
      <w:r w:rsidRPr="002B45B7">
        <w:rPr>
          <w:i/>
          <w:iCs/>
        </w:rPr>
        <w:t xml:space="preserve"> Wei, Shohei </w:t>
      </w:r>
      <w:proofErr w:type="spellStart"/>
      <w:proofErr w:type="gramStart"/>
      <w:r w:rsidRPr="002B45B7">
        <w:rPr>
          <w:i/>
          <w:iCs/>
        </w:rPr>
        <w:t>Kumagai</w:t>
      </w:r>
      <w:proofErr w:type="spellEnd"/>
      <w:r w:rsidRPr="002B45B7">
        <w:rPr>
          <w:i/>
          <w:iCs/>
        </w:rPr>
        <w:t>,*</w:t>
      </w:r>
      <w:proofErr w:type="gramEnd"/>
      <w:r w:rsidRPr="002B45B7">
        <w:rPr>
          <w:i/>
          <w:iCs/>
        </w:rPr>
        <w:t xml:space="preserve"> </w:t>
      </w:r>
      <w:proofErr w:type="spellStart"/>
      <w:r w:rsidRPr="002B45B7">
        <w:rPr>
          <w:i/>
          <w:iCs/>
        </w:rPr>
        <w:t>Tatsuyuki</w:t>
      </w:r>
      <w:proofErr w:type="spellEnd"/>
      <w:r w:rsidRPr="002B45B7">
        <w:rPr>
          <w:i/>
          <w:iCs/>
        </w:rPr>
        <w:t xml:space="preserve"> Makita, Kotaro </w:t>
      </w:r>
      <w:proofErr w:type="spellStart"/>
      <w:r w:rsidRPr="002B45B7">
        <w:rPr>
          <w:i/>
          <w:iCs/>
        </w:rPr>
        <w:t>Tsuzuku</w:t>
      </w:r>
      <w:proofErr w:type="spellEnd"/>
      <w:r w:rsidRPr="002B45B7">
        <w:rPr>
          <w:i/>
          <w:iCs/>
        </w:rPr>
        <w:t xml:space="preserve">, </w:t>
      </w:r>
      <w:proofErr w:type="spellStart"/>
      <w:r w:rsidRPr="002B45B7">
        <w:rPr>
          <w:i/>
          <w:iCs/>
        </w:rPr>
        <w:t>Akifumi</w:t>
      </w:r>
      <w:proofErr w:type="spellEnd"/>
      <w:r w:rsidRPr="002B45B7">
        <w:rPr>
          <w:i/>
          <w:iCs/>
        </w:rPr>
        <w:t xml:space="preserve"> Yamamura, Mari Sasaki, Shun Watanabe,* and Jun Takeya</w:t>
      </w:r>
    </w:p>
    <w:p w14:paraId="3EC6D04D" w14:textId="05162BD5" w:rsidR="00BF58F7" w:rsidRPr="002B45B7" w:rsidRDefault="00BF58F7" w:rsidP="002B45B7">
      <w:pPr>
        <w:spacing w:line="480" w:lineRule="auto"/>
        <w:jc w:val="center"/>
      </w:pPr>
    </w:p>
    <w:p w14:paraId="6C31E187" w14:textId="77777777" w:rsidR="0035237E" w:rsidRPr="002B45B7" w:rsidRDefault="001622EB" w:rsidP="002B45B7">
      <w:pPr>
        <w:spacing w:line="480" w:lineRule="auto"/>
        <w:rPr>
          <w:b/>
          <w:bCs/>
        </w:rPr>
      </w:pPr>
      <w:r w:rsidRPr="002B45B7">
        <w:rPr>
          <w:b/>
          <w:bCs/>
        </w:rPr>
        <w:t>Supplementary information</w:t>
      </w:r>
    </w:p>
    <w:p w14:paraId="50A5E3CA" w14:textId="50E5D8FD" w:rsidR="00BF58F7" w:rsidRPr="002B45B7" w:rsidRDefault="00E8749A" w:rsidP="002B45B7">
      <w:pPr>
        <w:spacing w:line="480" w:lineRule="auto"/>
      </w:pPr>
      <w:r>
        <w:fldChar w:fldCharType="begin"/>
      </w:r>
      <w:r>
        <w:instrText xml:space="preserve"> REF _Ref64967091 \h </w:instrText>
      </w:r>
      <w: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1</w:t>
      </w:r>
      <w:r w:rsidR="008C7603" w:rsidRPr="002B45B7">
        <w:t xml:space="preserve"> Schematic of the process flow and cross section of the hybrid complementary inverter</w:t>
      </w:r>
      <w:r>
        <w:fldChar w:fldCharType="end"/>
      </w:r>
    </w:p>
    <w:p w14:paraId="07209E05" w14:textId="2FA632F0" w:rsidR="00BF58F7" w:rsidRPr="002B45B7" w:rsidRDefault="00E8749A" w:rsidP="002B45B7">
      <w:pPr>
        <w:spacing w:line="480" w:lineRule="auto"/>
      </w:pPr>
      <w:r>
        <w:fldChar w:fldCharType="begin"/>
      </w:r>
      <w:r>
        <w:instrText xml:space="preserve"> REF _Ref64967103 \h </w:instrText>
      </w:r>
      <w: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2</w:t>
      </w:r>
      <w:r w:rsidR="008C7603" w:rsidRPr="002B45B7">
        <w:t xml:space="preserve"> Cross-polarized micrograph of C</w:t>
      </w:r>
      <w:r w:rsidR="008C7603" w:rsidRPr="002B45B7">
        <w:rPr>
          <w:vertAlign w:val="subscript"/>
        </w:rPr>
        <w:t>9</w:t>
      </w:r>
      <w:r w:rsidR="008C7603" w:rsidRPr="002B45B7">
        <w:t>-DNBDT-NW single crystals on as-fabricated IZO TFTs before OSC patterning</w:t>
      </w:r>
      <w:r>
        <w:fldChar w:fldCharType="end"/>
      </w:r>
      <w:r>
        <w:t xml:space="preserve"> </w:t>
      </w:r>
    </w:p>
    <w:p w14:paraId="095ACCEF" w14:textId="3C112221" w:rsidR="00BF58F7" w:rsidRPr="002B45B7" w:rsidRDefault="00E8749A" w:rsidP="002B45B7">
      <w:pPr>
        <w:spacing w:line="480" w:lineRule="auto"/>
      </w:pPr>
      <w:r>
        <w:fldChar w:fldCharType="begin"/>
      </w:r>
      <w:r>
        <w:instrText xml:space="preserve"> REF _Ref64967119 \h </w:instrText>
      </w:r>
      <w: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3</w:t>
      </w:r>
      <w:r w:rsidR="008C7603" w:rsidRPr="002B45B7">
        <w:t xml:space="preserve"> (a) Optical micrograph of a hybrid complementary inverter. (b) FIB-SEM images of the cross section of the C</w:t>
      </w:r>
      <w:r w:rsidR="008C7603" w:rsidRPr="002B45B7">
        <w:rPr>
          <w:vertAlign w:val="subscript"/>
        </w:rPr>
        <w:t>9</w:t>
      </w:r>
      <w:r w:rsidR="008C7603" w:rsidRPr="002B45B7">
        <w:t>-DNBDT-NW channel and a magnified image of the edge of the gate electrode</w:t>
      </w:r>
      <w:r>
        <w:fldChar w:fldCharType="end"/>
      </w:r>
      <w:r>
        <w:t xml:space="preserve"> </w:t>
      </w:r>
    </w:p>
    <w:p w14:paraId="7B749941" w14:textId="78613006" w:rsidR="00BF58F7" w:rsidRPr="002B45B7" w:rsidRDefault="00E8749A" w:rsidP="002B45B7">
      <w:pPr>
        <w:spacing w:line="480" w:lineRule="auto"/>
      </w:pPr>
      <w:r>
        <w:fldChar w:fldCharType="begin"/>
      </w:r>
      <w:r>
        <w:instrText xml:space="preserve"> REF _Ref64967133 \h </w:instrText>
      </w:r>
      <w: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4</w:t>
      </w:r>
      <w:r w:rsidR="008C7603" w:rsidRPr="002B45B7">
        <w:t xml:space="preserve"> Schematic of (a) the structure of the </w:t>
      </w:r>
      <w:proofErr w:type="gramStart"/>
      <w:r w:rsidR="008C7603" w:rsidRPr="002B45B7">
        <w:t>dry-film</w:t>
      </w:r>
      <w:proofErr w:type="gramEnd"/>
      <w:r w:rsidR="008C7603" w:rsidRPr="002B45B7">
        <w:t xml:space="preserve"> resist and (b) two-step photolithography</w:t>
      </w:r>
      <w:r>
        <w:fldChar w:fldCharType="end"/>
      </w:r>
    </w:p>
    <w:p w14:paraId="432847CD" w14:textId="77B519B7" w:rsidR="00BF58F7" w:rsidRPr="002B45B7" w:rsidRDefault="001622EB" w:rsidP="002B45B7">
      <w:pPr>
        <w:spacing w:line="480" w:lineRule="auto"/>
      </w:pPr>
      <w:r w:rsidRPr="002B45B7">
        <w:rPr>
          <w:b/>
          <w:bCs/>
        </w:rPr>
        <w:t>Section S1</w:t>
      </w:r>
      <w:r w:rsidRPr="002B45B7">
        <w:t xml:space="preserve"> </w:t>
      </w:r>
      <w:r w:rsidR="004D2BEE" w:rsidRPr="002B45B7">
        <w:t>Evaluation of contact resistance in C</w:t>
      </w:r>
      <w:r w:rsidR="004D2BEE" w:rsidRPr="002B45B7">
        <w:rPr>
          <w:vertAlign w:val="subscript"/>
        </w:rPr>
        <w:t>9</w:t>
      </w:r>
      <w:r w:rsidR="004D2BEE" w:rsidRPr="002B45B7">
        <w:t>-DNBDT-NW TFTs</w:t>
      </w:r>
      <w:r w:rsidR="004D2BEE" w:rsidRPr="002B45B7" w:rsidDel="004D2BEE">
        <w:t xml:space="preserve"> </w:t>
      </w:r>
    </w:p>
    <w:p w14:paraId="7B57609B" w14:textId="1E0A8245" w:rsidR="00BF58F7" w:rsidRPr="002B45B7" w:rsidRDefault="00E8749A" w:rsidP="002B45B7">
      <w:pPr>
        <w:spacing w:line="480" w:lineRule="auto"/>
        <w:rPr>
          <w:vertAlign w:val="subscript"/>
        </w:rPr>
      </w:pPr>
      <w:r>
        <w:rPr>
          <w:vertAlign w:val="subscript"/>
        </w:rPr>
        <w:fldChar w:fldCharType="begin"/>
      </w:r>
      <w:r>
        <w:rPr>
          <w:vertAlign w:val="subscript"/>
        </w:rPr>
        <w:instrText xml:space="preserve"> REF _Ref64967157 \h </w:instrText>
      </w:r>
      <w:r>
        <w:rPr>
          <w:vertAlign w:val="subscript"/>
        </w:rPr>
      </w:r>
      <w:r>
        <w:rPr>
          <w:vertAlign w:val="subscript"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5</w:t>
      </w:r>
      <w:r w:rsidR="008C7603" w:rsidRPr="002B45B7">
        <w:t xml:space="preserve"> Contact resistance of C</w:t>
      </w:r>
      <w:r w:rsidR="008C7603" w:rsidRPr="002B45B7">
        <w:rPr>
          <w:vertAlign w:val="subscript"/>
        </w:rPr>
        <w:t>9</w:t>
      </w:r>
      <w:r w:rsidR="008C7603" w:rsidRPr="002B45B7">
        <w:t xml:space="preserve">-DNBDT-NW-based TFTs fabricated by two-step photolithography. (a) Schematic illustration of contact resistance in a TFT. (b) Optical micrograph of TFTs with channel lengths of 20, 10, 6 and 4 </w:t>
      </w:r>
      <w:proofErr w:type="spellStart"/>
      <w:r w:rsidR="008C7603" w:rsidRPr="002B45B7">
        <w:t>μm</w:t>
      </w:r>
      <w:proofErr w:type="spellEnd"/>
      <w:r w:rsidR="008C7603" w:rsidRPr="002B45B7">
        <w:t>. (c) Transfer curves of the corresponding TFTs (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>D</w:t>
      </w:r>
      <w:r w:rsidR="008C7603" w:rsidRPr="002B45B7">
        <w:t xml:space="preserve"> = –1 V). (d) TLM plots at different 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 xml:space="preserve">G </w:t>
      </w:r>
      <w:r w:rsidR="008C7603" w:rsidRPr="002B45B7">
        <w:t xml:space="preserve">values. (e) Dependence of </w:t>
      </w:r>
      <w:r w:rsidR="008C7603" w:rsidRPr="002B45B7">
        <w:rPr>
          <w:i/>
          <w:iCs/>
        </w:rPr>
        <w:t>R</w:t>
      </w:r>
      <w:r w:rsidR="008C7603" w:rsidRPr="002B45B7">
        <w:rPr>
          <w:vertAlign w:val="subscript"/>
        </w:rPr>
        <w:t>c</w:t>
      </w:r>
      <w:r w:rsidR="008C7603" w:rsidRPr="002B45B7">
        <w:t xml:space="preserve"> on 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>G</w:t>
      </w:r>
      <w:r>
        <w:rPr>
          <w:vertAlign w:val="subscript"/>
        </w:rPr>
        <w:fldChar w:fldCharType="end"/>
      </w:r>
      <w:r w:rsidRPr="002B45B7">
        <w:t xml:space="preserve"> </w:t>
      </w:r>
    </w:p>
    <w:p w14:paraId="15315707" w14:textId="5903B332" w:rsidR="00493C90" w:rsidRPr="002B45B7" w:rsidRDefault="00E8749A" w:rsidP="002B45B7">
      <w:pPr>
        <w:spacing w:line="480" w:lineRule="auto"/>
        <w:rPr>
          <w:b/>
          <w:bCs/>
        </w:rPr>
      </w:pPr>
      <w:r>
        <w:rPr>
          <w:b/>
          <w:bCs/>
        </w:rPr>
        <w:lastRenderedPageBreak/>
        <w:fldChar w:fldCharType="begin"/>
      </w:r>
      <w:r>
        <w:rPr>
          <w:b/>
          <w:bCs/>
        </w:rPr>
        <w:instrText xml:space="preserve"> REF _Ref64966825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6</w:t>
      </w:r>
      <w:r w:rsidR="008C7603" w:rsidRPr="002B45B7">
        <w:t xml:space="preserve"> Transfer characteristics of (a) C</w:t>
      </w:r>
      <w:r w:rsidR="008C7603" w:rsidRPr="002B45B7">
        <w:rPr>
          <w:vertAlign w:val="subscript"/>
        </w:rPr>
        <w:t>9</w:t>
      </w:r>
      <w:r w:rsidR="008C7603" w:rsidRPr="002B45B7">
        <w:t xml:space="preserve">-DNBDT-NW-based TFT at 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>D</w:t>
      </w:r>
      <w:r w:rsidR="008C7603" w:rsidRPr="002B45B7">
        <w:t xml:space="preserve"> = –7 V and (b) IZO-based TFTs 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>D</w:t>
      </w:r>
      <w:r w:rsidR="008C7603" w:rsidRPr="002B45B7">
        <w:t xml:space="preserve"> = 7 V</w:t>
      </w:r>
      <w:r>
        <w:rPr>
          <w:b/>
          <w:bCs/>
        </w:rPr>
        <w:fldChar w:fldCharType="end"/>
      </w:r>
      <w:r>
        <w:rPr>
          <w:b/>
          <w:bCs/>
        </w:rPr>
        <w:t xml:space="preserve"> </w:t>
      </w:r>
    </w:p>
    <w:p w14:paraId="6222120B" w14:textId="732A25F2" w:rsidR="00BF58F7" w:rsidRPr="002B45B7" w:rsidRDefault="00E8749A" w:rsidP="002B45B7">
      <w:pPr>
        <w:spacing w:line="480" w:lineRule="auto"/>
      </w:pPr>
      <w:r>
        <w:rPr>
          <w:b/>
          <w:bCs/>
        </w:rPr>
        <w:fldChar w:fldCharType="begin"/>
      </w:r>
      <w:r>
        <w:rPr>
          <w:b/>
          <w:bCs/>
        </w:rPr>
        <w:instrText xml:space="preserve"> REF _Ref64967192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7</w:t>
      </w:r>
      <w:r w:rsidR="008C7603" w:rsidRPr="002B45B7">
        <w:t xml:space="preserve"> Transfer characteristics of (a) C</w:t>
      </w:r>
      <w:r w:rsidR="008C7603" w:rsidRPr="002B45B7">
        <w:rPr>
          <w:vertAlign w:val="subscript"/>
        </w:rPr>
        <w:t>9</w:t>
      </w:r>
      <w:r w:rsidR="008C7603" w:rsidRPr="002B45B7">
        <w:t>-DNBDT-NW- and (b) IZO-based TFTs before and after exposure to air for 5 months</w:t>
      </w:r>
      <w:r>
        <w:rPr>
          <w:b/>
          <w:bCs/>
        </w:rPr>
        <w:fldChar w:fldCharType="end"/>
      </w:r>
      <w:r w:rsidR="00493C90" w:rsidRPr="002B45B7">
        <w:rPr>
          <w:b/>
          <w:bCs/>
        </w:rPr>
        <w:t xml:space="preserve"> </w:t>
      </w:r>
    </w:p>
    <w:p w14:paraId="2371A13E" w14:textId="20D1DA48" w:rsidR="00E8749A" w:rsidRPr="002B45B7" w:rsidRDefault="00E8749A" w:rsidP="002B45B7">
      <w:pPr>
        <w:spacing w:line="480" w:lineRule="auto"/>
      </w:pPr>
      <w:r>
        <w:rPr>
          <w:b/>
          <w:bCs/>
        </w:rPr>
        <w:fldChar w:fldCharType="begin"/>
      </w:r>
      <w:r>
        <w:rPr>
          <w:b/>
          <w:bCs/>
        </w:rPr>
        <w:instrText xml:space="preserve"> REF _Ref64967200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8</w:t>
      </w:r>
      <w:r w:rsidR="008C7603" w:rsidRPr="002B45B7">
        <w:t xml:space="preserve"> Electrical performance of TFTs with dimensions of </w:t>
      </w:r>
      <w:r w:rsidR="008C7603" w:rsidRPr="002B45B7">
        <w:rPr>
          <w:i/>
          <w:iCs/>
        </w:rPr>
        <w:t>L</w:t>
      </w:r>
      <w:r w:rsidR="008C7603" w:rsidRPr="002B45B7">
        <w:t xml:space="preserve"> = 4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3 </w:t>
      </w:r>
      <w:r w:rsidR="008C7603" w:rsidRPr="002B45B7">
        <w:sym w:font="Symbol" w:char="F06D"/>
      </w:r>
      <w:r w:rsidR="008C7603" w:rsidRPr="002B45B7">
        <w:t xml:space="preserve">m for the p-channel and </w:t>
      </w:r>
      <w:r w:rsidR="008C7603" w:rsidRPr="002B45B7">
        <w:rPr>
          <w:i/>
          <w:iCs/>
        </w:rPr>
        <w:t>L</w:t>
      </w:r>
      <w:r w:rsidR="008C7603" w:rsidRPr="002B45B7">
        <w:t xml:space="preserve"> = 8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1.5 </w:t>
      </w:r>
      <w:r w:rsidR="008C7603" w:rsidRPr="002B45B7">
        <w:sym w:font="Symbol" w:char="F06D"/>
      </w:r>
      <w:r w:rsidR="008C7603" w:rsidRPr="002B45B7">
        <w:t>m for the n-channel. (a) Output performance. (b)–(e) Transfer curves in the linear and saturation regions of TFTs based on C</w:t>
      </w:r>
      <w:r w:rsidR="008C7603" w:rsidRPr="002B45B7">
        <w:rPr>
          <w:vertAlign w:val="subscript"/>
        </w:rPr>
        <w:t>9</w:t>
      </w:r>
      <w:r w:rsidR="008C7603" w:rsidRPr="002B45B7">
        <w:t>-DNBDT-NW and IZO</w:t>
      </w:r>
      <w:r>
        <w:rPr>
          <w:b/>
          <w:bCs/>
        </w:rPr>
        <w:fldChar w:fldCharType="end"/>
      </w:r>
    </w:p>
    <w:p w14:paraId="1266DCE7" w14:textId="726B5D1B" w:rsidR="00E8749A" w:rsidRPr="002B45B7" w:rsidRDefault="00E8749A" w:rsidP="002B45B7">
      <w:pPr>
        <w:spacing w:line="480" w:lineRule="auto"/>
      </w:pPr>
      <w:r>
        <w:rPr>
          <w:b/>
          <w:bCs/>
        </w:rPr>
        <w:fldChar w:fldCharType="begin"/>
      </w:r>
      <w:r>
        <w:rPr>
          <w:b/>
          <w:bCs/>
        </w:rPr>
        <w:instrText xml:space="preserve"> REF _Ref64967211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9</w:t>
      </w:r>
      <w:r w:rsidR="008C7603" w:rsidRPr="002B45B7">
        <w:t xml:space="preserve"> Output signals of ring oscillators with different dimensions. (a) ROSC1: </w:t>
      </w:r>
      <w:r w:rsidR="008C7603" w:rsidRPr="002B45B7">
        <w:rPr>
          <w:i/>
          <w:iCs/>
        </w:rPr>
        <w:t>L</w:t>
      </w:r>
      <w:r w:rsidR="008C7603" w:rsidRPr="002B45B7">
        <w:t xml:space="preserve"> = 19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9 </w:t>
      </w:r>
      <w:r w:rsidR="008C7603" w:rsidRPr="002B45B7">
        <w:sym w:font="Symbol" w:char="F06D"/>
      </w:r>
      <w:r w:rsidR="008C7603" w:rsidRPr="002B45B7">
        <w:t xml:space="preserve">m for the p-channel and </w:t>
      </w:r>
      <w:r w:rsidR="008C7603" w:rsidRPr="002B45B7">
        <w:rPr>
          <w:i/>
          <w:iCs/>
        </w:rPr>
        <w:t>L</w:t>
      </w:r>
      <w:r w:rsidR="008C7603" w:rsidRPr="002B45B7">
        <w:t xml:space="preserve"> = 24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8 </w:t>
      </w:r>
      <w:r w:rsidR="008C7603" w:rsidRPr="002B45B7">
        <w:sym w:font="Symbol" w:char="F06D"/>
      </w:r>
      <w:r w:rsidR="008C7603" w:rsidRPr="002B45B7">
        <w:t xml:space="preserve">m for the n-channel. (b) ROSC2: </w:t>
      </w:r>
      <w:r w:rsidR="008C7603" w:rsidRPr="002B45B7">
        <w:rPr>
          <w:i/>
          <w:iCs/>
        </w:rPr>
        <w:t>L</w:t>
      </w:r>
      <w:r w:rsidR="008C7603" w:rsidRPr="002B45B7">
        <w:t xml:space="preserve"> = 9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9 </w:t>
      </w:r>
      <w:r w:rsidR="008C7603" w:rsidRPr="002B45B7">
        <w:sym w:font="Symbol" w:char="F06D"/>
      </w:r>
      <w:r w:rsidR="008C7603" w:rsidRPr="002B45B7">
        <w:t xml:space="preserve">m for the p-channel and </w:t>
      </w:r>
      <w:r w:rsidR="008C7603" w:rsidRPr="002B45B7">
        <w:rPr>
          <w:i/>
          <w:iCs/>
        </w:rPr>
        <w:t>L</w:t>
      </w:r>
      <w:r w:rsidR="008C7603" w:rsidRPr="002B45B7">
        <w:t xml:space="preserve"> = 13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8.5 </w:t>
      </w:r>
      <w:r w:rsidR="008C7603" w:rsidRPr="002B45B7">
        <w:sym w:font="Symbol" w:char="F06D"/>
      </w:r>
      <w:r w:rsidR="008C7603" w:rsidRPr="002B45B7">
        <w:t xml:space="preserve">m for the n-channel. (c) ROSC3: </w:t>
      </w:r>
      <w:r w:rsidR="008C7603" w:rsidRPr="002B45B7">
        <w:rPr>
          <w:i/>
          <w:iCs/>
        </w:rPr>
        <w:t>L</w:t>
      </w:r>
      <w:r w:rsidR="008C7603" w:rsidRPr="002B45B7">
        <w:t xml:space="preserve"> = 4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5 </w:t>
      </w:r>
      <w:r w:rsidR="008C7603" w:rsidRPr="002B45B7">
        <w:sym w:font="Symbol" w:char="F06D"/>
      </w:r>
      <w:r w:rsidR="008C7603" w:rsidRPr="002B45B7">
        <w:t xml:space="preserve">m for the p-channel and </w:t>
      </w:r>
      <w:r w:rsidR="008C7603" w:rsidRPr="002B45B7">
        <w:rPr>
          <w:i/>
          <w:iCs/>
        </w:rPr>
        <w:t>L</w:t>
      </w:r>
      <w:r w:rsidR="008C7603" w:rsidRPr="002B45B7">
        <w:t xml:space="preserve"> = 8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sym w:font="Symbol" w:char="F044"/>
      </w:r>
      <w:r w:rsidR="008C7603" w:rsidRPr="002B45B7">
        <w:rPr>
          <w:i/>
          <w:iCs/>
        </w:rPr>
        <w:t>L</w:t>
      </w:r>
      <w:r w:rsidR="008C7603" w:rsidRPr="002B45B7">
        <w:t xml:space="preserve"> = 3.5 </w:t>
      </w:r>
      <w:r w:rsidR="008C7603" w:rsidRPr="002B45B7">
        <w:sym w:font="Symbol" w:char="F06D"/>
      </w:r>
      <w:r w:rsidR="008C7603" w:rsidRPr="002B45B7">
        <w:t xml:space="preserve">m for the n-channel. In all ring oscillators, </w:t>
      </w:r>
      <w:r w:rsidR="008C7603" w:rsidRPr="002B45B7">
        <w:rPr>
          <w:i/>
          <w:iCs/>
        </w:rPr>
        <w:t>W</w:t>
      </w:r>
      <w:r w:rsidR="008C7603" w:rsidRPr="002B45B7">
        <w:t xml:space="preserve"> = 200 </w:t>
      </w:r>
      <w:r w:rsidR="008C7603" w:rsidRPr="002B45B7">
        <w:sym w:font="Symbol" w:char="F06D"/>
      </w:r>
      <w:r w:rsidR="008C7603" w:rsidRPr="002B45B7">
        <w:t xml:space="preserve">m and </w:t>
      </w:r>
      <w:r w:rsidR="008C7603" w:rsidRPr="002B45B7">
        <w:rPr>
          <w:i/>
          <w:iCs/>
        </w:rPr>
        <w:t>V</w:t>
      </w:r>
      <w:r w:rsidR="008C7603" w:rsidRPr="002B45B7">
        <w:rPr>
          <w:vertAlign w:val="subscript"/>
        </w:rPr>
        <w:t>DD</w:t>
      </w:r>
      <w:r w:rsidR="008C7603" w:rsidRPr="002B45B7">
        <w:t xml:space="preserve"> = 10 V</w:t>
      </w:r>
      <w:r>
        <w:rPr>
          <w:b/>
          <w:bCs/>
        </w:rPr>
        <w:fldChar w:fldCharType="end"/>
      </w:r>
    </w:p>
    <w:p w14:paraId="661E411E" w14:textId="742A1491" w:rsidR="00E8749A" w:rsidRPr="002B45B7" w:rsidRDefault="00E8749A" w:rsidP="002B45B7">
      <w:pPr>
        <w:spacing w:line="480" w:lineRule="auto"/>
      </w:pPr>
      <w:r>
        <w:rPr>
          <w:b/>
          <w:bCs/>
        </w:rPr>
        <w:fldChar w:fldCharType="begin"/>
      </w:r>
      <w:r>
        <w:rPr>
          <w:b/>
          <w:bCs/>
        </w:rPr>
        <w:instrText xml:space="preserve"> REF _Ref64967258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  <w:noProof/>
        </w:rPr>
        <w:t>10</w:t>
      </w:r>
      <w:r w:rsidR="008C7603" w:rsidRPr="002B45B7">
        <w:t xml:space="preserve"> Schematic illustration of OSC and S/D electrode patterning processes</w:t>
      </w:r>
      <w:r>
        <w:rPr>
          <w:b/>
          <w:bCs/>
        </w:rPr>
        <w:fldChar w:fldCharType="end"/>
      </w:r>
    </w:p>
    <w:p w14:paraId="6A50385B" w14:textId="77777777" w:rsidR="00BF58F7" w:rsidRPr="002B45B7" w:rsidRDefault="00BF58F7" w:rsidP="002B45B7">
      <w:pPr>
        <w:spacing w:line="480" w:lineRule="auto"/>
      </w:pPr>
    </w:p>
    <w:p w14:paraId="228EDA98" w14:textId="77777777" w:rsidR="008D13F5" w:rsidRPr="002B45B7" w:rsidRDefault="001622EB" w:rsidP="002B45B7">
      <w:pPr>
        <w:spacing w:line="480" w:lineRule="auto"/>
        <w:jc w:val="center"/>
      </w:pPr>
      <w:r w:rsidRPr="002B45B7">
        <w:rPr>
          <w:noProof/>
        </w:rPr>
        <w:lastRenderedPageBreak/>
        <w:drawing>
          <wp:inline distT="0" distB="0" distL="0" distR="0" wp14:anchorId="5514B0CA" wp14:editId="15CF246E">
            <wp:extent cx="4474502" cy="3020907"/>
            <wp:effectExtent l="0" t="0" r="0" b="0"/>
            <wp:docPr id="49" name="Picture 49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424250" name="Picture 49" descr="A picture containing timelin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94031" cy="303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4E380" w14:textId="3BB0E2F9" w:rsidR="0035237E" w:rsidRPr="002B45B7" w:rsidRDefault="001622EB" w:rsidP="002B45B7">
      <w:pPr>
        <w:spacing w:line="480" w:lineRule="auto"/>
        <w:jc w:val="center"/>
      </w:pPr>
      <w:bookmarkStart w:id="0" w:name="_Ref58141514"/>
      <w:bookmarkStart w:id="1" w:name="_Toc62220520"/>
      <w:bookmarkStart w:id="2" w:name="_Ref64967091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1</w:t>
      </w:r>
      <w:r w:rsidRPr="002B45B7">
        <w:rPr>
          <w:b/>
          <w:bCs/>
        </w:rPr>
        <w:fldChar w:fldCharType="end"/>
      </w:r>
      <w:bookmarkEnd w:id="0"/>
      <w:r w:rsidRPr="002B45B7">
        <w:t xml:space="preserve"> Schematic of</w:t>
      </w:r>
      <w:r w:rsidR="00EF7E65" w:rsidRPr="002B45B7">
        <w:t xml:space="preserve"> the</w:t>
      </w:r>
      <w:r w:rsidRPr="002B45B7">
        <w:t xml:space="preserve"> process flow and cross section of the hybrid complementary inverter</w:t>
      </w:r>
      <w:bookmarkEnd w:id="1"/>
      <w:bookmarkEnd w:id="2"/>
      <w:r w:rsidR="00E8749A">
        <w:t xml:space="preserve"> </w:t>
      </w:r>
    </w:p>
    <w:p w14:paraId="66189883" w14:textId="77777777" w:rsidR="0035237E" w:rsidRPr="002B45B7" w:rsidRDefault="0035237E" w:rsidP="002B45B7">
      <w:pPr>
        <w:spacing w:line="480" w:lineRule="auto"/>
      </w:pPr>
    </w:p>
    <w:p w14:paraId="589FD2D3" w14:textId="77777777" w:rsidR="00847922" w:rsidRPr="002B45B7" w:rsidRDefault="001622EB" w:rsidP="002B45B7">
      <w:pPr>
        <w:spacing w:line="480" w:lineRule="auto"/>
        <w:jc w:val="center"/>
      </w:pPr>
      <w:r w:rsidRPr="002B45B7">
        <w:rPr>
          <w:noProof/>
        </w:rPr>
        <w:drawing>
          <wp:inline distT="0" distB="0" distL="0" distR="0" wp14:anchorId="46B54AC8" wp14:editId="3402A4B0">
            <wp:extent cx="3960000" cy="1512042"/>
            <wp:effectExtent l="0" t="0" r="2540" b="0"/>
            <wp:docPr id="446" name="Picture 446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694688" name="Picture 446" descr="A screenshot of a computer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151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7BE73" w14:textId="0850E361" w:rsidR="008D13F5" w:rsidRPr="002B45B7" w:rsidRDefault="001622EB" w:rsidP="002B45B7">
      <w:pPr>
        <w:spacing w:line="480" w:lineRule="auto"/>
        <w:jc w:val="center"/>
      </w:pPr>
      <w:bookmarkStart w:id="3" w:name="_Ref62344156"/>
      <w:bookmarkStart w:id="4" w:name="_Ref64967103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2</w:t>
      </w:r>
      <w:r w:rsidRPr="002B45B7">
        <w:rPr>
          <w:b/>
          <w:bCs/>
        </w:rPr>
        <w:fldChar w:fldCharType="end"/>
      </w:r>
      <w:bookmarkEnd w:id="3"/>
      <w:r w:rsidRPr="002B45B7">
        <w:t xml:space="preserve"> Cross-polarized micrograph of </w:t>
      </w:r>
      <w:r w:rsidR="00816454" w:rsidRPr="002B45B7">
        <w:t>C</w:t>
      </w:r>
      <w:r w:rsidR="00816454" w:rsidRPr="002B45B7">
        <w:rPr>
          <w:vertAlign w:val="subscript"/>
        </w:rPr>
        <w:t>9</w:t>
      </w:r>
      <w:r w:rsidRPr="002B45B7">
        <w:t>-DNBDT-NW single crystal</w:t>
      </w:r>
      <w:r w:rsidR="00EF7E65" w:rsidRPr="002B45B7">
        <w:t>s</w:t>
      </w:r>
      <w:r w:rsidRPr="002B45B7">
        <w:t xml:space="preserve"> on as-fabricated IZO TFTs before </w:t>
      </w:r>
      <w:r w:rsidR="00EF7E65" w:rsidRPr="002B45B7">
        <w:t>OSC</w:t>
      </w:r>
      <w:r w:rsidRPr="002B45B7">
        <w:t xml:space="preserve"> patterning</w:t>
      </w:r>
      <w:bookmarkEnd w:id="4"/>
      <w:r w:rsidRPr="002B45B7">
        <w:t xml:space="preserve"> </w:t>
      </w:r>
    </w:p>
    <w:p w14:paraId="09E78D1E" w14:textId="77777777" w:rsidR="0035237E" w:rsidRPr="002B45B7" w:rsidRDefault="0035237E" w:rsidP="002B45B7">
      <w:pPr>
        <w:spacing w:line="480" w:lineRule="auto"/>
      </w:pPr>
    </w:p>
    <w:p w14:paraId="2128F23A" w14:textId="18B228BC" w:rsidR="00243282" w:rsidRPr="002B45B7" w:rsidRDefault="007A67E5" w:rsidP="002B45B7">
      <w:pPr>
        <w:spacing w:line="480" w:lineRule="auto"/>
        <w:jc w:val="center"/>
      </w:pPr>
      <w:r w:rsidRPr="002B45B7">
        <w:rPr>
          <w:noProof/>
        </w:rPr>
        <w:lastRenderedPageBreak/>
        <w:drawing>
          <wp:inline distT="0" distB="0" distL="0" distR="0" wp14:anchorId="12C41DC9" wp14:editId="7B196DBF">
            <wp:extent cx="4254500" cy="3105447"/>
            <wp:effectExtent l="0" t="0" r="0" b="6350"/>
            <wp:docPr id="57" name="Picture 5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58689" cy="310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16EB4" w14:textId="202048F1" w:rsidR="00627F2A" w:rsidRPr="002B45B7" w:rsidRDefault="001622EB" w:rsidP="002B45B7">
      <w:pPr>
        <w:spacing w:line="480" w:lineRule="auto"/>
        <w:jc w:val="center"/>
      </w:pPr>
      <w:bookmarkStart w:id="5" w:name="_Ref58142031"/>
      <w:bookmarkStart w:id="6" w:name="_Toc62220522"/>
      <w:bookmarkStart w:id="7" w:name="_Ref64967119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3</w:t>
      </w:r>
      <w:r w:rsidRPr="002B45B7">
        <w:rPr>
          <w:b/>
          <w:bCs/>
        </w:rPr>
        <w:fldChar w:fldCharType="end"/>
      </w:r>
      <w:bookmarkEnd w:id="5"/>
      <w:r w:rsidRPr="002B45B7">
        <w:t xml:space="preserve"> (a) Optical micrograph of </w:t>
      </w:r>
      <w:r w:rsidR="0028539A" w:rsidRPr="002B45B7">
        <w:t xml:space="preserve">a </w:t>
      </w:r>
      <w:r w:rsidRPr="002B45B7">
        <w:t xml:space="preserve">hybrid complementary inverter. (b) </w:t>
      </w:r>
      <w:r w:rsidR="0028539A" w:rsidRPr="002B45B7">
        <w:t>FIB-</w:t>
      </w:r>
      <w:r w:rsidRPr="002B45B7">
        <w:t xml:space="preserve">SEM images of </w:t>
      </w:r>
      <w:r w:rsidR="0028539A" w:rsidRPr="002B45B7">
        <w:t xml:space="preserve">the </w:t>
      </w:r>
      <w:r w:rsidRPr="002B45B7">
        <w:t xml:space="preserve">cross section </w:t>
      </w:r>
      <w:r w:rsidR="0028539A" w:rsidRPr="002B45B7">
        <w:t xml:space="preserve">of </w:t>
      </w:r>
      <w:r w:rsidRPr="002B45B7">
        <w:t>the C</w:t>
      </w:r>
      <w:r w:rsidRPr="002B45B7">
        <w:rPr>
          <w:vertAlign w:val="subscript"/>
        </w:rPr>
        <w:t>9</w:t>
      </w:r>
      <w:r w:rsidRPr="002B45B7">
        <w:t>-DNBDT-NW channel and a magnified image of the edge of the gate electrode</w:t>
      </w:r>
      <w:bookmarkEnd w:id="6"/>
      <w:bookmarkEnd w:id="7"/>
      <w:r w:rsidR="002B45B7">
        <w:t xml:space="preserve"> </w:t>
      </w:r>
    </w:p>
    <w:p w14:paraId="7D2989E4" w14:textId="53F2F76E" w:rsidR="0035237E" w:rsidRPr="002B45B7" w:rsidRDefault="0035237E" w:rsidP="002B45B7">
      <w:pPr>
        <w:spacing w:line="480" w:lineRule="auto"/>
      </w:pPr>
    </w:p>
    <w:p w14:paraId="3D9BEC96" w14:textId="7A23B2AB" w:rsidR="00627F2A" w:rsidRPr="002B45B7" w:rsidRDefault="00243282" w:rsidP="002B45B7">
      <w:pPr>
        <w:spacing w:line="480" w:lineRule="auto"/>
        <w:jc w:val="center"/>
      </w:pPr>
      <w:r w:rsidRPr="002B45B7">
        <w:rPr>
          <w:noProof/>
        </w:rPr>
        <w:drawing>
          <wp:inline distT="0" distB="0" distL="0" distR="0" wp14:anchorId="1663C435" wp14:editId="74773F85">
            <wp:extent cx="2997200" cy="3016710"/>
            <wp:effectExtent l="0" t="0" r="0" b="0"/>
            <wp:docPr id="52" name="Picture 5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0746" cy="302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B0C8B" w14:textId="1B54EF01" w:rsidR="002B45B7" w:rsidRDefault="001622EB" w:rsidP="002B45B7">
      <w:pPr>
        <w:spacing w:line="480" w:lineRule="auto"/>
        <w:jc w:val="center"/>
      </w:pPr>
      <w:bookmarkStart w:id="8" w:name="_Ref58142204"/>
      <w:bookmarkStart w:id="9" w:name="_Toc62220523"/>
      <w:bookmarkStart w:id="10" w:name="_Ref64967133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4</w:t>
      </w:r>
      <w:r w:rsidRPr="002B45B7">
        <w:rPr>
          <w:b/>
          <w:bCs/>
        </w:rPr>
        <w:fldChar w:fldCharType="end"/>
      </w:r>
      <w:bookmarkEnd w:id="8"/>
      <w:r w:rsidRPr="002B45B7">
        <w:t xml:space="preserve"> </w:t>
      </w:r>
      <w:r w:rsidR="0028539A" w:rsidRPr="002B45B7">
        <w:t xml:space="preserve">Schematic of </w:t>
      </w:r>
      <w:r w:rsidRPr="002B45B7">
        <w:t xml:space="preserve">(a) </w:t>
      </w:r>
      <w:r w:rsidR="0028539A" w:rsidRPr="002B45B7">
        <w:t xml:space="preserve">the structure </w:t>
      </w:r>
      <w:r w:rsidRPr="002B45B7">
        <w:t xml:space="preserve">of </w:t>
      </w:r>
      <w:r w:rsidR="0028539A" w:rsidRPr="002B45B7">
        <w:t xml:space="preserve">the </w:t>
      </w:r>
      <w:proofErr w:type="gramStart"/>
      <w:r w:rsidRPr="002B45B7">
        <w:t>dry-film</w:t>
      </w:r>
      <w:proofErr w:type="gramEnd"/>
      <w:r w:rsidRPr="002B45B7">
        <w:t xml:space="preserve"> resist</w:t>
      </w:r>
      <w:r w:rsidR="0028539A" w:rsidRPr="002B45B7">
        <w:t xml:space="preserve"> and </w:t>
      </w:r>
      <w:r w:rsidRPr="002B45B7">
        <w:t xml:space="preserve">(b) </w:t>
      </w:r>
      <w:r w:rsidR="0028539A" w:rsidRPr="002B45B7">
        <w:t>two</w:t>
      </w:r>
      <w:r w:rsidRPr="002B45B7">
        <w:t>-step photolithography</w:t>
      </w:r>
      <w:bookmarkEnd w:id="9"/>
      <w:bookmarkEnd w:id="10"/>
      <w:r w:rsidR="002B45B7">
        <w:t xml:space="preserve"> </w:t>
      </w:r>
    </w:p>
    <w:p w14:paraId="25210B3D" w14:textId="77777777" w:rsidR="002B45B7" w:rsidRPr="002B45B7" w:rsidRDefault="002B45B7" w:rsidP="002B45B7">
      <w:pPr>
        <w:spacing w:line="480" w:lineRule="auto"/>
        <w:jc w:val="center"/>
      </w:pPr>
    </w:p>
    <w:p w14:paraId="52C3CA4A" w14:textId="77777777" w:rsidR="0028539A" w:rsidRPr="002B45B7" w:rsidRDefault="001622EB" w:rsidP="002B45B7">
      <w:pPr>
        <w:spacing w:line="480" w:lineRule="auto"/>
        <w:rPr>
          <w:b/>
          <w:bCs/>
        </w:rPr>
      </w:pPr>
      <w:r w:rsidRPr="002B45B7">
        <w:rPr>
          <w:b/>
          <w:bCs/>
        </w:rPr>
        <w:t xml:space="preserve">Section </w:t>
      </w:r>
      <w:r w:rsidR="00BF58F7" w:rsidRPr="002B45B7">
        <w:rPr>
          <w:b/>
          <w:bCs/>
        </w:rPr>
        <w:t>S</w:t>
      </w:r>
      <w:r w:rsidRPr="002B45B7">
        <w:rPr>
          <w:b/>
          <w:bCs/>
        </w:rPr>
        <w:t xml:space="preserve">1 </w:t>
      </w:r>
    </w:p>
    <w:p w14:paraId="6AE72C51" w14:textId="00AC6488" w:rsidR="00B87BFB" w:rsidRPr="002B45B7" w:rsidRDefault="0028539A" w:rsidP="002B45B7">
      <w:pPr>
        <w:spacing w:line="480" w:lineRule="auto"/>
        <w:rPr>
          <w:i/>
          <w:iCs/>
        </w:rPr>
      </w:pPr>
      <w:r w:rsidRPr="002B45B7">
        <w:rPr>
          <w:i/>
          <w:iCs/>
        </w:rPr>
        <w:t xml:space="preserve">Evaluation of contact </w:t>
      </w:r>
      <w:r w:rsidR="001622EB" w:rsidRPr="002B45B7">
        <w:rPr>
          <w:i/>
          <w:iCs/>
        </w:rPr>
        <w:t xml:space="preserve">resistance </w:t>
      </w:r>
      <w:r w:rsidRPr="002B45B7">
        <w:rPr>
          <w:i/>
          <w:iCs/>
        </w:rPr>
        <w:t xml:space="preserve">in </w:t>
      </w:r>
      <w:r w:rsidR="001622EB" w:rsidRPr="002B45B7">
        <w:rPr>
          <w:i/>
          <w:iCs/>
        </w:rPr>
        <w:t>C</w:t>
      </w:r>
      <w:r w:rsidR="001622EB" w:rsidRPr="002B45B7">
        <w:rPr>
          <w:i/>
          <w:iCs/>
          <w:vertAlign w:val="subscript"/>
        </w:rPr>
        <w:t>9</w:t>
      </w:r>
      <w:r w:rsidR="001622EB" w:rsidRPr="002B45B7">
        <w:rPr>
          <w:i/>
          <w:iCs/>
        </w:rPr>
        <w:t>-DNBDT-NW TFTs</w:t>
      </w:r>
    </w:p>
    <w:p w14:paraId="419C1A75" w14:textId="65DE9484" w:rsidR="00B87BFB" w:rsidRPr="002B45B7" w:rsidRDefault="0028539A" w:rsidP="002B45B7">
      <w:pPr>
        <w:spacing w:line="480" w:lineRule="auto"/>
      </w:pPr>
      <w:r w:rsidRPr="002B45B7">
        <w:t>A</w:t>
      </w:r>
      <w:r w:rsidR="001622EB" w:rsidRPr="002B45B7">
        <w:t xml:space="preserve"> contact resistance (</w:t>
      </w:r>
      <w:r w:rsidR="001622EB" w:rsidRPr="002B45B7">
        <w:rPr>
          <w:i/>
          <w:iCs/>
        </w:rPr>
        <w:t>R</w:t>
      </w:r>
      <w:r w:rsidR="001622EB" w:rsidRPr="002B45B7">
        <w:rPr>
          <w:vertAlign w:val="subscript"/>
        </w:rPr>
        <w:t>c</w:t>
      </w:r>
      <w:r w:rsidR="001622EB" w:rsidRPr="002B45B7">
        <w:t>)</w:t>
      </w:r>
      <w:r w:rsidRPr="002B45B7">
        <w:t>, which determines the effectiveness of carrier injection,</w:t>
      </w:r>
      <w:r w:rsidR="001622EB" w:rsidRPr="002B45B7">
        <w:t xml:space="preserve"> </w:t>
      </w:r>
      <w:r w:rsidR="0064502E" w:rsidRPr="002B45B7">
        <w:t>exists</w:t>
      </w:r>
      <w:r w:rsidR="001622EB" w:rsidRPr="002B45B7">
        <w:t xml:space="preserve"> at the interface of the semiconductor and electrode</w:t>
      </w:r>
      <w:r w:rsidRPr="002B45B7">
        <w:t xml:space="preserve"> and is </w:t>
      </w:r>
      <w:r w:rsidR="001622EB" w:rsidRPr="002B45B7">
        <w:t xml:space="preserve">affected by </w:t>
      </w:r>
      <w:r w:rsidRPr="002B45B7">
        <w:t xml:space="preserve">parameters such as the </w:t>
      </w:r>
      <w:r w:rsidR="001622EB" w:rsidRPr="002B45B7">
        <w:t>electrode work function</w:t>
      </w:r>
      <w:r w:rsidRPr="002B45B7">
        <w:t xml:space="preserve"> and </w:t>
      </w:r>
      <w:r w:rsidR="001622EB" w:rsidRPr="002B45B7">
        <w:t xml:space="preserve">electrode/semiconductor interface state. </w:t>
      </w:r>
      <w:r w:rsidR="004025C2" w:rsidRPr="002B45B7">
        <w:rPr>
          <w:i/>
          <w:iCs/>
        </w:rPr>
        <w:t>R</w:t>
      </w:r>
      <w:r w:rsidR="004025C2" w:rsidRPr="002B45B7">
        <w:rPr>
          <w:vertAlign w:val="subscript"/>
        </w:rPr>
        <w:t>c</w:t>
      </w:r>
      <w:r w:rsidR="004025C2" w:rsidRPr="002B45B7">
        <w:t xml:space="preserve"> </w:t>
      </w:r>
      <w:r w:rsidRPr="002B45B7">
        <w:t xml:space="preserve">is often estimated using the </w:t>
      </w:r>
      <w:r w:rsidR="003F4AD1" w:rsidRPr="002B45B7">
        <w:t>t</w:t>
      </w:r>
      <w:r w:rsidR="001622EB" w:rsidRPr="002B45B7">
        <w:t xml:space="preserve">ransfer line method </w:t>
      </w:r>
      <w:r w:rsidR="0064502E" w:rsidRPr="002B45B7">
        <w:t>(TLM)</w:t>
      </w:r>
      <w:r w:rsidRPr="002B45B7">
        <w:t>, in which t</w:t>
      </w:r>
      <w:r w:rsidR="001622EB" w:rsidRPr="002B45B7">
        <w:t xml:space="preserve">he resistances in a TFT can be described as </w:t>
      </w:r>
    </w:p>
    <w:p w14:paraId="1CAFDE3C" w14:textId="368FDBCB" w:rsidR="00277C08" w:rsidRPr="002B45B7" w:rsidRDefault="00700B56" w:rsidP="002B45B7">
      <w:pPr>
        <w:spacing w:line="48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total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ch</m:t>
            </m:r>
          </m:sub>
        </m:sSub>
        <m:r>
          <m:rPr>
            <m:sty m:val="p"/>
          </m:rP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c</m:t>
            </m:r>
          </m:sub>
        </m:sSub>
      </m:oMath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  <w:t>(S1)</w:t>
      </w:r>
    </w:p>
    <w:p w14:paraId="21ED7492" w14:textId="67C685D9" w:rsidR="00B87BFB" w:rsidRPr="002B45B7" w:rsidRDefault="001622EB" w:rsidP="002B45B7">
      <w:pPr>
        <w:spacing w:line="480" w:lineRule="auto"/>
      </w:pPr>
      <w:r w:rsidRPr="002B45B7">
        <w:t xml:space="preserve">where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ch</w:t>
      </w:r>
      <w:proofErr w:type="spellEnd"/>
      <w:r w:rsidRPr="002B45B7">
        <w:t xml:space="preserve"> </w:t>
      </w:r>
      <w:r w:rsidR="0028539A" w:rsidRPr="002B45B7">
        <w:t>is the</w:t>
      </w:r>
      <w:r w:rsidRPr="002B45B7">
        <w:t xml:space="preserve"> channel resistance. If we assume that the accumulated carriers are distributed almost homogeneously in the channel (</w:t>
      </w:r>
      <w:r w:rsidRPr="002B45B7">
        <w:rPr>
          <w:i/>
          <w:iCs/>
        </w:rPr>
        <w:t>V</w:t>
      </w:r>
      <w:r w:rsidRPr="002B45B7">
        <w:rPr>
          <w:vertAlign w:val="subscript"/>
        </w:rPr>
        <w:t>D</w:t>
      </w:r>
      <w:r w:rsidRPr="002B45B7">
        <w:t xml:space="preserve"> &lt;&lt; </w:t>
      </w:r>
      <w:r w:rsidRPr="002B45B7">
        <w:rPr>
          <w:i/>
          <w:iCs/>
        </w:rPr>
        <w:t>V</w:t>
      </w:r>
      <w:r w:rsidRPr="002B45B7">
        <w:rPr>
          <w:vertAlign w:val="subscript"/>
        </w:rPr>
        <w:t>G</w:t>
      </w:r>
      <w:r w:rsidRPr="002B45B7">
        <w:t xml:space="preserve"> – </w:t>
      </w:r>
      <w:r w:rsidRPr="002B45B7">
        <w:rPr>
          <w:i/>
          <w:iCs/>
        </w:rPr>
        <w:t>V</w:t>
      </w:r>
      <w:r w:rsidRPr="002B45B7">
        <w:rPr>
          <w:vertAlign w:val="subscript"/>
        </w:rPr>
        <w:t>th</w:t>
      </w:r>
      <w:r w:rsidRPr="002B45B7">
        <w:t xml:space="preserve">), </w:t>
      </w:r>
      <w:r w:rsidR="0028539A" w:rsidRPr="002B45B7">
        <w:t>then</w:t>
      </w:r>
    </w:p>
    <w:p w14:paraId="2D9DD789" w14:textId="0250C9DA" w:rsidR="00B87BFB" w:rsidRPr="002B45B7" w:rsidRDefault="00700B56" w:rsidP="002B45B7">
      <w:pPr>
        <w:spacing w:line="48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ch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m:rPr>
                    <m:nor/>
                  </m:rPr>
                  <m:t>int</m:t>
                </m:r>
              </m:sub>
            </m:sSub>
            <m:r>
              <w:rPr>
                <w:rFonts w:ascii="Cambria Math" w:hAnsi="Cambria Math"/>
              </w:rPr>
              <m:t>W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m:rPr>
                    <m:nor/>
                  </m:rPr>
                  <m:t>i</m:t>
                </m:r>
              </m:sub>
            </m:sSub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G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th</m:t>
                    </m:r>
                  </m:sub>
                </m:sSub>
              </m:e>
            </m:d>
          </m:den>
        </m:f>
      </m:oMath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  <w:t>(S2)</w:t>
      </w:r>
    </w:p>
    <w:p w14:paraId="1B627C16" w14:textId="7502DADB" w:rsidR="00B87BFB" w:rsidRPr="002B45B7" w:rsidRDefault="001622EB" w:rsidP="002B45B7">
      <w:pPr>
        <w:spacing w:line="480" w:lineRule="auto"/>
      </w:pPr>
      <w:r w:rsidRPr="002B45B7">
        <w:t xml:space="preserve">where </w:t>
      </w:r>
      <w:r w:rsidR="00277C08" w:rsidRPr="002B45B7">
        <w:rPr>
          <w:i/>
          <w:iCs/>
        </w:rPr>
        <w:t>µ</w:t>
      </w:r>
      <w:r w:rsidR="00277C08" w:rsidRPr="002B45B7">
        <w:rPr>
          <w:vertAlign w:val="subscript"/>
        </w:rPr>
        <w:t>int</w:t>
      </w:r>
      <w:r w:rsidRPr="002B45B7">
        <w:t xml:space="preserve"> is the intrinsic mobility,</w:t>
      </w:r>
      <w:r w:rsidR="00277C08" w:rsidRPr="002B45B7">
        <w:t xml:space="preserve"> which represents charge</w:t>
      </w:r>
      <w:r w:rsidR="0028539A" w:rsidRPr="002B45B7">
        <w:t>-</w:t>
      </w:r>
      <w:r w:rsidR="00277C08" w:rsidRPr="002B45B7">
        <w:t>carrier mobility in the accumulated layer</w:t>
      </w:r>
      <w:r w:rsidR="0028539A" w:rsidRPr="002B45B7">
        <w:t xml:space="preserve">. This, in turn, </w:t>
      </w:r>
      <w:r w:rsidR="00277C08" w:rsidRPr="002B45B7">
        <w:t xml:space="preserve">can be estimated </w:t>
      </w:r>
      <w:r w:rsidR="0028539A" w:rsidRPr="002B45B7">
        <w:t xml:space="preserve">by </w:t>
      </w:r>
      <w:r w:rsidR="00277C08" w:rsidRPr="002B45B7">
        <w:t>four-terminal measurement</w:t>
      </w:r>
      <w:r w:rsidR="0064502E" w:rsidRPr="002B45B7">
        <w:t>.</w:t>
      </w:r>
      <w:r w:rsidR="00277C08" w:rsidRPr="002B45B7">
        <w:t xml:space="preserve"> </w:t>
      </w:r>
      <w:r w:rsidR="0028539A" w:rsidRPr="002B45B7">
        <w:t>C</w:t>
      </w:r>
      <w:r w:rsidRPr="002B45B7">
        <w:t>ombi</w:t>
      </w:r>
      <w:r w:rsidR="00816454" w:rsidRPr="002B45B7">
        <w:t>ni</w:t>
      </w:r>
      <w:r w:rsidRPr="002B45B7">
        <w:t>ng Equations (</w:t>
      </w:r>
      <w:r w:rsidR="00D41B52" w:rsidRPr="002B45B7">
        <w:t>S1)</w:t>
      </w:r>
      <w:r w:rsidRPr="002B45B7">
        <w:t xml:space="preserve"> and (S2),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total</w:t>
      </w:r>
      <w:proofErr w:type="spellEnd"/>
      <w:r w:rsidRPr="002B45B7">
        <w:rPr>
          <w:vertAlign w:val="subscript"/>
        </w:rPr>
        <w:t xml:space="preserve"> </w:t>
      </w:r>
      <w:r w:rsidR="0028539A" w:rsidRPr="002B45B7">
        <w:t xml:space="preserve">can be defined </w:t>
      </w:r>
      <w:r w:rsidRPr="002B45B7">
        <w:t>as</w:t>
      </w:r>
      <w:r w:rsidR="0028539A" w:rsidRPr="002B45B7">
        <w:t xml:space="preserve"> shown in Equation (S3).</w:t>
      </w:r>
    </w:p>
    <w:p w14:paraId="2C3F1F40" w14:textId="0A2B4053" w:rsidR="00B87BFB" w:rsidRPr="002B45B7" w:rsidRDefault="00700B56" w:rsidP="002B45B7">
      <w:pPr>
        <w:spacing w:line="48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total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m:rPr>
                    <m:nor/>
                  </m:rPr>
                  <m:t>int</m:t>
                </m:r>
              </m:sub>
            </m:sSub>
            <m:r>
              <w:rPr>
                <w:rFonts w:ascii="Cambria Math" w:hAnsi="Cambria Math"/>
              </w:rPr>
              <m:t>W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m:rPr>
                    <m:nor/>
                  </m:rPr>
                  <m:t>i</m:t>
                </m:r>
              </m:sub>
            </m:sSub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G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th</m:t>
                    </m:r>
                  </m:sub>
                </m:sSub>
              </m:e>
            </m:d>
          </m:den>
        </m:f>
        <m:r>
          <m:rPr>
            <m:sty m:val="p"/>
          </m:rP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c</m:t>
            </m:r>
          </m:sub>
        </m:sSub>
      </m:oMath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  <w:t>(S3)</w:t>
      </w:r>
    </w:p>
    <w:p w14:paraId="5F809376" w14:textId="3C2BC9A6" w:rsidR="0028539A" w:rsidRPr="002B45B7" w:rsidRDefault="001622EB" w:rsidP="002B45B7">
      <w:pPr>
        <w:spacing w:line="480" w:lineRule="auto"/>
      </w:pPr>
      <w:r w:rsidRPr="002B45B7">
        <w:t>The W-normalized contact resistance (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c</w:t>
      </w:r>
      <w:r w:rsidRPr="002B45B7">
        <w:rPr>
          <w:i/>
          <w:iCs/>
        </w:rPr>
        <w:t>W</w:t>
      </w:r>
      <w:proofErr w:type="spellEnd"/>
      <w:r w:rsidRPr="002B45B7">
        <w:t xml:space="preserve">) is widely used to compare the contact resistance of TFTs </w:t>
      </w:r>
      <w:r w:rsidR="0028539A" w:rsidRPr="002B45B7">
        <w:t xml:space="preserve">of </w:t>
      </w:r>
      <w:r w:rsidRPr="002B45B7">
        <w:t>different dimensions. Thus, we can convert Equation (</w:t>
      </w:r>
      <w:r w:rsidR="004025C2">
        <w:t>S3</w:t>
      </w:r>
      <w:r w:rsidRPr="002B45B7">
        <w:t xml:space="preserve">) </w:t>
      </w:r>
      <w:r w:rsidR="0028539A" w:rsidRPr="002B45B7">
        <w:t>as follows.</w:t>
      </w:r>
    </w:p>
    <w:p w14:paraId="3DF1593A" w14:textId="263FE9A0" w:rsidR="00B87BFB" w:rsidRPr="002B45B7" w:rsidRDefault="00700B56" w:rsidP="002B45B7">
      <w:pPr>
        <w:spacing w:line="48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total</m:t>
            </m:r>
          </m:sub>
        </m:sSub>
        <m:r>
          <w:rPr>
            <w:rFonts w:ascii="Cambria Math" w:hAnsi="Cambria Math"/>
          </w:rPr>
          <m:t>W</m:t>
        </m:r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μ</m:t>
                </m:r>
              </m:e>
              <m:sub>
                <m:r>
                  <m:rPr>
                    <m:nor/>
                  </m:rPr>
                  <m:t>int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  <m:ctrlPr>
                  <w:rPr>
                    <w:rFonts w:ascii="Cambria Math" w:hAnsi="Cambria Math"/>
                    <w:i/>
                  </w:rPr>
                </m:ctrlPr>
              </m:e>
              <m:sub>
                <m:r>
                  <m:rPr>
                    <m:nor/>
                  </m:rPr>
                  <m:t>i</m:t>
                </m:r>
              </m:sub>
            </m:sSub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G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</w:rPr>
                  <m:t xml:space="preserve">- </m:t>
                </m:r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V</m:t>
                    </m:r>
                  </m:e>
                  <m:sub>
                    <m:r>
                      <m:rPr>
                        <m:nor/>
                      </m:rPr>
                      <m:t>th</m:t>
                    </m:r>
                  </m:sub>
                </m:sSub>
              </m:e>
            </m:d>
          </m:den>
        </m:f>
        <m:r>
          <m:rPr>
            <m:sty m:val="p"/>
          </m:rPr>
          <w:rPr>
            <w:rFonts w:ascii="Cambria Math" w:hAnsi="Cambria Math"/>
          </w:rPr>
          <m:t>+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m:rPr>
                <m:nor/>
              </m:rPr>
              <m:t>c</m:t>
            </m:r>
          </m:sub>
        </m:sSub>
        <m:r>
          <w:rPr>
            <w:rFonts w:ascii="Cambria Math" w:hAnsi="Cambria Math"/>
          </w:rPr>
          <m:t>W</m:t>
        </m:r>
      </m:oMath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</w:r>
      <w:r w:rsidR="0028539A" w:rsidRPr="002B45B7">
        <w:tab/>
        <w:t>(S4)</w:t>
      </w:r>
    </w:p>
    <w:p w14:paraId="6EF8EA79" w14:textId="41A57731" w:rsidR="00B87BFB" w:rsidRPr="002B45B7" w:rsidRDefault="001622EB" w:rsidP="002B45B7">
      <w:pPr>
        <w:spacing w:line="480" w:lineRule="auto"/>
      </w:pPr>
      <w:proofErr w:type="spellStart"/>
      <w:r w:rsidRPr="002B45B7">
        <w:rPr>
          <w:i/>
          <w:iCs/>
        </w:rPr>
        <w:t>R</w:t>
      </w:r>
      <w:r w:rsidRPr="002B45B7">
        <w:t>c</w:t>
      </w:r>
      <w:r w:rsidRPr="002B45B7">
        <w:rPr>
          <w:i/>
          <w:iCs/>
        </w:rPr>
        <w:t>W</w:t>
      </w:r>
      <w:proofErr w:type="spellEnd"/>
      <w:r w:rsidRPr="002B45B7">
        <w:t xml:space="preserve"> can be obtained by </w:t>
      </w:r>
      <w:r w:rsidR="0028539A" w:rsidRPr="002B45B7">
        <w:t xml:space="preserve">the </w:t>
      </w:r>
      <w:r w:rsidRPr="002B45B7">
        <w:t xml:space="preserve">linear extrapolation of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total</w:t>
      </w:r>
      <w:r w:rsidRPr="002B45B7">
        <w:rPr>
          <w:i/>
          <w:iCs/>
        </w:rPr>
        <w:t>W</w:t>
      </w:r>
      <w:proofErr w:type="spellEnd"/>
      <w:r w:rsidRPr="002B45B7">
        <w:rPr>
          <w:i/>
          <w:iCs/>
        </w:rPr>
        <w:t>–L</w:t>
      </w:r>
      <w:r w:rsidRPr="002B45B7">
        <w:t xml:space="preserve"> curves</w:t>
      </w:r>
      <w:r w:rsidR="0028539A" w:rsidRPr="002B45B7">
        <w:t xml:space="preserve"> and their slopes yield </w:t>
      </w:r>
      <w:r w:rsidRPr="002B45B7">
        <w:rPr>
          <w:i/>
          <w:iCs/>
        </w:rPr>
        <w:sym w:font="Symbol" w:char="F06D"/>
      </w:r>
      <w:r w:rsidR="0028539A" w:rsidRPr="002B45B7">
        <w:rPr>
          <w:vertAlign w:val="subscript"/>
        </w:rPr>
        <w:t>int</w:t>
      </w:r>
      <w:r w:rsidR="0028539A" w:rsidRPr="002B45B7">
        <w:t>.</w:t>
      </w:r>
      <w:r w:rsidRPr="002B45B7">
        <w:t xml:space="preserve"> </w:t>
      </w:r>
    </w:p>
    <w:p w14:paraId="5E480D14" w14:textId="2588114D" w:rsidR="00245A5F" w:rsidRPr="002B45B7" w:rsidRDefault="001622EB" w:rsidP="002B45B7">
      <w:pPr>
        <w:spacing w:line="480" w:lineRule="auto"/>
      </w:pPr>
      <w:r w:rsidRPr="002B45B7">
        <w:t>The contact resistance of C</w:t>
      </w:r>
      <w:r w:rsidRPr="002B45B7">
        <w:rPr>
          <w:vertAlign w:val="subscript"/>
        </w:rPr>
        <w:t>9</w:t>
      </w:r>
      <w:r w:rsidRPr="002B45B7">
        <w:t xml:space="preserve">-DNBDT-NW TFTs fabricated using this method </w:t>
      </w:r>
      <w:r w:rsidR="0064502E" w:rsidRPr="002B45B7">
        <w:t xml:space="preserve">was </w:t>
      </w:r>
      <w:r w:rsidRPr="002B45B7">
        <w:t xml:space="preserve">studied using TLM. </w:t>
      </w:r>
      <w:r w:rsidRPr="008C7603">
        <w:rPr>
          <w:b/>
          <w:bCs/>
        </w:rPr>
        <w:fldChar w:fldCharType="begin"/>
      </w:r>
      <w:r w:rsidRPr="008C7603">
        <w:rPr>
          <w:b/>
          <w:bCs/>
        </w:rPr>
        <w:instrText xml:space="preserve"> REF _Ref59188722 \h  \* MERGEFORMAT </w:instrText>
      </w:r>
      <w:r w:rsidRPr="008C7603">
        <w:rPr>
          <w:b/>
          <w:bCs/>
        </w:rPr>
      </w:r>
      <w:r w:rsidRPr="008C7603"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</w:rPr>
        <w:t>5</w:t>
      </w:r>
      <w:r w:rsidRPr="008C7603">
        <w:rPr>
          <w:b/>
          <w:bCs/>
        </w:rPr>
        <w:fldChar w:fldCharType="end"/>
      </w:r>
      <w:r w:rsidRPr="008C7603">
        <w:rPr>
          <w:b/>
          <w:bCs/>
        </w:rPr>
        <w:t xml:space="preserve"> </w:t>
      </w:r>
      <w:r w:rsidRPr="002B45B7">
        <w:t>(a) shows TFTs with channel lengths of 20, 10, 6</w:t>
      </w:r>
      <w:r w:rsidR="0064502E" w:rsidRPr="002B45B7">
        <w:t>,</w:t>
      </w:r>
      <w:r w:rsidRPr="002B45B7">
        <w:t xml:space="preserve"> and 4 </w:t>
      </w:r>
      <w:r w:rsidR="00816454" w:rsidRPr="002B45B7">
        <w:t>µm</w:t>
      </w:r>
      <w:r w:rsidR="009604B1" w:rsidRPr="002B45B7">
        <w:t>, which</w:t>
      </w:r>
      <w:r w:rsidRPr="002B45B7">
        <w:t xml:space="preserve"> </w:t>
      </w:r>
      <w:r w:rsidR="00816454" w:rsidRPr="002B45B7">
        <w:lastRenderedPageBreak/>
        <w:t xml:space="preserve">were </w:t>
      </w:r>
      <w:r w:rsidRPr="002B45B7">
        <w:t xml:space="preserve">used </w:t>
      </w:r>
      <w:r w:rsidR="0064502E" w:rsidRPr="002B45B7">
        <w:t xml:space="preserve">to </w:t>
      </w:r>
      <w:r w:rsidRPr="002B45B7">
        <w:t xml:space="preserve">estimate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c</w:t>
      </w:r>
      <w:r w:rsidRPr="002B45B7">
        <w:rPr>
          <w:i/>
          <w:iCs/>
        </w:rPr>
        <w:t>W</w:t>
      </w:r>
      <w:proofErr w:type="spellEnd"/>
      <w:r w:rsidRPr="002B45B7">
        <w:t>. According to the transfer curves in the linear region (</w:t>
      </w:r>
      <w:r w:rsidRPr="008C7603">
        <w:rPr>
          <w:b/>
          <w:bCs/>
        </w:rPr>
        <w:fldChar w:fldCharType="begin"/>
      </w:r>
      <w:r w:rsidRPr="008C7603">
        <w:rPr>
          <w:b/>
          <w:bCs/>
        </w:rPr>
        <w:instrText xml:space="preserve"> REF _Ref59188722 \h  \* MERGEFORMAT </w:instrText>
      </w:r>
      <w:r w:rsidRPr="008C7603">
        <w:rPr>
          <w:b/>
          <w:bCs/>
        </w:rPr>
      </w:r>
      <w:r w:rsidRPr="008C7603"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</w:rPr>
        <w:t>5</w:t>
      </w:r>
      <w:r w:rsidRPr="008C7603">
        <w:rPr>
          <w:b/>
          <w:bCs/>
        </w:rPr>
        <w:fldChar w:fldCharType="end"/>
      </w:r>
      <w:r w:rsidRPr="002B45B7">
        <w:t xml:space="preserve"> (b), </w:t>
      </w:r>
      <w:r w:rsidRPr="002B45B7">
        <w:rPr>
          <w:i/>
          <w:iCs/>
        </w:rPr>
        <w:t>V</w:t>
      </w:r>
      <w:r w:rsidRPr="002B45B7">
        <w:rPr>
          <w:vertAlign w:val="subscript"/>
        </w:rPr>
        <w:t>D</w:t>
      </w:r>
      <w:r w:rsidRPr="002B45B7">
        <w:t xml:space="preserve"> = </w:t>
      </w:r>
      <w:r w:rsidR="009604B1" w:rsidRPr="002B45B7">
        <w:t>–</w:t>
      </w:r>
      <w:r w:rsidRPr="002B45B7">
        <w:t xml:space="preserve">1 V), all TFTs exhibited negligible hysteresis and </w:t>
      </w:r>
      <w:r w:rsidRPr="002B45B7">
        <w:rPr>
          <w:i/>
          <w:iCs/>
        </w:rPr>
        <w:t>V</w:t>
      </w:r>
      <w:r w:rsidRPr="002B45B7">
        <w:rPr>
          <w:vertAlign w:val="subscript"/>
        </w:rPr>
        <w:t>T</w:t>
      </w:r>
      <w:r w:rsidRPr="002B45B7">
        <w:t xml:space="preserve"> of </w:t>
      </w:r>
      <w:r w:rsidR="009604B1" w:rsidRPr="002B45B7">
        <w:t>approximately –</w:t>
      </w:r>
      <w:r w:rsidRPr="002B45B7">
        <w:t xml:space="preserve">1.5 V. Besides, TFTs with </w:t>
      </w:r>
      <w:r w:rsidRPr="002B45B7">
        <w:rPr>
          <w:i/>
          <w:iCs/>
        </w:rPr>
        <w:t>L</w:t>
      </w:r>
      <w:r w:rsidRPr="002B45B7">
        <w:t xml:space="preserve"> </w:t>
      </w:r>
      <w:r w:rsidR="006C07C9" w:rsidRPr="002B45B7">
        <w:t xml:space="preserve">= </w:t>
      </w:r>
      <w:r w:rsidRPr="002B45B7">
        <w:t>20</w:t>
      </w:r>
      <w:r w:rsidR="0006086B">
        <w:rPr>
          <w:rFonts w:hint="eastAsia"/>
          <w:lang w:eastAsia="ja-JP"/>
        </w:rPr>
        <w:t>,</w:t>
      </w:r>
      <w:r w:rsidRPr="002B45B7">
        <w:t xml:space="preserve"> 10, 6 and 4 </w:t>
      </w:r>
      <w:proofErr w:type="spellStart"/>
      <w:r w:rsidRPr="002B45B7">
        <w:t>μm</w:t>
      </w:r>
      <w:proofErr w:type="spellEnd"/>
      <w:r w:rsidRPr="002B45B7">
        <w:t xml:space="preserve"> have </w:t>
      </w:r>
      <w:proofErr w:type="spellStart"/>
      <w:r w:rsidRPr="002B45B7">
        <w:rPr>
          <w:i/>
          <w:iCs/>
        </w:rPr>
        <w:t>μ</w:t>
      </w:r>
      <w:r w:rsidRPr="002B45B7">
        <w:rPr>
          <w:vertAlign w:val="subscript"/>
        </w:rPr>
        <w:t>lin</w:t>
      </w:r>
      <w:proofErr w:type="spellEnd"/>
      <w:r w:rsidRPr="002B45B7">
        <w:t xml:space="preserve"> of 9.0, 8.8</w:t>
      </w:r>
      <w:r w:rsidR="0006086B">
        <w:t>,</w:t>
      </w:r>
      <w:r w:rsidRPr="002B45B7">
        <w:t xml:space="preserve"> 6.3 and 5.3 cm</w:t>
      </w:r>
      <w:r w:rsidRPr="002B45B7">
        <w:rPr>
          <w:vertAlign w:val="superscript"/>
        </w:rPr>
        <w:t>2</w:t>
      </w:r>
      <w:r w:rsidRPr="002B45B7">
        <w:t xml:space="preserve"> V</w:t>
      </w:r>
      <w:r w:rsidR="00B45838" w:rsidRPr="002B45B7">
        <w:rPr>
          <w:vertAlign w:val="superscript"/>
        </w:rPr>
        <w:t>–</w:t>
      </w:r>
      <w:r w:rsidRPr="002B45B7">
        <w:rPr>
          <w:vertAlign w:val="superscript"/>
        </w:rPr>
        <w:t>1</w:t>
      </w:r>
      <w:r w:rsidRPr="002B45B7">
        <w:t xml:space="preserve"> s</w:t>
      </w:r>
      <w:r w:rsidR="00B45838" w:rsidRPr="002B45B7">
        <w:rPr>
          <w:vertAlign w:val="superscript"/>
        </w:rPr>
        <w:t>–</w:t>
      </w:r>
      <w:r w:rsidRPr="002B45B7">
        <w:rPr>
          <w:vertAlign w:val="superscript"/>
        </w:rPr>
        <w:t>1</w:t>
      </w:r>
      <w:r w:rsidRPr="002B45B7">
        <w:t>, respectively.</w:t>
      </w:r>
      <w:r w:rsidR="00B45838" w:rsidRPr="002B45B7">
        <w:t xml:space="preserve"> </w:t>
      </w:r>
      <w:r w:rsidRPr="008C7603">
        <w:rPr>
          <w:b/>
          <w:bCs/>
        </w:rPr>
        <w:fldChar w:fldCharType="begin"/>
      </w:r>
      <w:r w:rsidRPr="008C7603">
        <w:rPr>
          <w:b/>
          <w:bCs/>
        </w:rPr>
        <w:instrText xml:space="preserve"> REF _Ref59188722 \h  \* MERGEFORMAT </w:instrText>
      </w:r>
      <w:r w:rsidRPr="008C7603">
        <w:rPr>
          <w:b/>
          <w:bCs/>
        </w:rPr>
      </w:r>
      <w:r w:rsidRPr="008C7603"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</w:rPr>
        <w:t>5</w:t>
      </w:r>
      <w:r w:rsidRPr="008C7603">
        <w:rPr>
          <w:b/>
          <w:bCs/>
        </w:rPr>
        <w:fldChar w:fldCharType="end"/>
      </w:r>
      <w:r w:rsidRPr="002B45B7">
        <w:t xml:space="preserve">(c) illustrates the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total</w:t>
      </w:r>
      <w:r w:rsidRPr="002B45B7">
        <w:rPr>
          <w:i/>
          <w:iCs/>
        </w:rPr>
        <w:t>W</w:t>
      </w:r>
      <w:proofErr w:type="spellEnd"/>
      <w:r w:rsidRPr="002B45B7">
        <w:rPr>
          <w:i/>
          <w:iCs/>
        </w:rPr>
        <w:t xml:space="preserve">–L </w:t>
      </w:r>
      <w:r w:rsidRPr="002B45B7">
        <w:t xml:space="preserve">plots and </w:t>
      </w:r>
      <w:r w:rsidR="00B45838" w:rsidRPr="002B45B7">
        <w:t xml:space="preserve">their </w:t>
      </w:r>
      <w:r w:rsidRPr="002B45B7">
        <w:t xml:space="preserve">linear fittings. Clearly, the linear fittings match the measured values </w:t>
      </w:r>
      <w:r w:rsidR="00B45838" w:rsidRPr="002B45B7">
        <w:t xml:space="preserve">at </w:t>
      </w:r>
      <w:r w:rsidRPr="002B45B7">
        <w:t xml:space="preserve">each </w:t>
      </w:r>
      <w:r w:rsidRPr="002B45B7">
        <w:rPr>
          <w:i/>
          <w:iCs/>
        </w:rPr>
        <w:t>V</w:t>
      </w:r>
      <w:r w:rsidRPr="002B45B7">
        <w:rPr>
          <w:vertAlign w:val="subscript"/>
        </w:rPr>
        <w:t>G</w:t>
      </w:r>
      <w:r w:rsidRPr="002B45B7">
        <w:t xml:space="preserve">. </w:t>
      </w:r>
      <w:proofErr w:type="spellStart"/>
      <w:r w:rsidRPr="002B45B7">
        <w:rPr>
          <w:i/>
          <w:iCs/>
        </w:rPr>
        <w:t>μ</w:t>
      </w:r>
      <w:r w:rsidRPr="002B45B7">
        <w:rPr>
          <w:vertAlign w:val="subscript"/>
        </w:rPr>
        <w:t>int</w:t>
      </w:r>
      <w:proofErr w:type="spellEnd"/>
      <w:r w:rsidRPr="002B45B7">
        <w:t xml:space="preserve"> was calculated to be 10.2 cm</w:t>
      </w:r>
      <w:r w:rsidRPr="002B45B7">
        <w:rPr>
          <w:vertAlign w:val="superscript"/>
        </w:rPr>
        <w:t>2</w:t>
      </w:r>
      <w:r w:rsidRPr="002B45B7">
        <w:t xml:space="preserve"> V</w:t>
      </w:r>
      <w:r w:rsidR="00B45838" w:rsidRPr="002B45B7">
        <w:rPr>
          <w:vertAlign w:val="superscript"/>
        </w:rPr>
        <w:t>–</w:t>
      </w:r>
      <w:r w:rsidRPr="002B45B7">
        <w:rPr>
          <w:vertAlign w:val="superscript"/>
        </w:rPr>
        <w:t>1</w:t>
      </w:r>
      <w:r w:rsidRPr="002B45B7">
        <w:t xml:space="preserve"> s</w:t>
      </w:r>
      <w:r w:rsidR="00B45838" w:rsidRPr="002B45B7">
        <w:rPr>
          <w:vertAlign w:val="superscript"/>
        </w:rPr>
        <w:t>–</w:t>
      </w:r>
      <w:r w:rsidRPr="002B45B7">
        <w:rPr>
          <w:vertAlign w:val="superscript"/>
        </w:rPr>
        <w:t>1</w:t>
      </w:r>
      <w:r w:rsidRPr="002B45B7">
        <w:t xml:space="preserve"> </w:t>
      </w:r>
      <w:r w:rsidR="00B45838" w:rsidRPr="002B45B7">
        <w:t xml:space="preserve">using </w:t>
      </w:r>
      <w:r w:rsidRPr="002B45B7">
        <w:t>the slope</w:t>
      </w:r>
      <w:r w:rsidR="00B45838" w:rsidRPr="002B45B7">
        <w:t>s</w:t>
      </w:r>
      <w:r w:rsidRPr="002B45B7">
        <w:t xml:space="preserve"> of the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total</w:t>
      </w:r>
      <w:r w:rsidRPr="002B45B7">
        <w:rPr>
          <w:i/>
          <w:iCs/>
        </w:rPr>
        <w:t>W</w:t>
      </w:r>
      <w:proofErr w:type="spellEnd"/>
      <w:r w:rsidRPr="002B45B7">
        <w:rPr>
          <w:i/>
          <w:iCs/>
        </w:rPr>
        <w:t xml:space="preserve">–L </w:t>
      </w:r>
      <w:r w:rsidRPr="002B45B7">
        <w:t>curves and Equation (</w:t>
      </w:r>
      <w:r w:rsidR="00BC7AD2">
        <w:t>S4)</w:t>
      </w:r>
      <w:r w:rsidRPr="002B45B7">
        <w:t xml:space="preserve">. </w:t>
      </w:r>
      <w:proofErr w:type="spellStart"/>
      <w:r w:rsidRPr="002B45B7">
        <w:rPr>
          <w:i/>
          <w:iCs/>
        </w:rPr>
        <w:t>R</w:t>
      </w:r>
      <w:r w:rsidRPr="002B45B7">
        <w:rPr>
          <w:vertAlign w:val="subscript"/>
        </w:rPr>
        <w:t>c</w:t>
      </w:r>
      <w:r w:rsidRPr="002B45B7">
        <w:rPr>
          <w:i/>
          <w:iCs/>
        </w:rPr>
        <w:t>W</w:t>
      </w:r>
      <w:proofErr w:type="spellEnd"/>
      <w:r w:rsidRPr="002B45B7">
        <w:t xml:space="preserve"> </w:t>
      </w:r>
      <w:r w:rsidR="00B45838" w:rsidRPr="002B45B7">
        <w:t xml:space="preserve">was </w:t>
      </w:r>
      <w:r w:rsidRPr="002B45B7">
        <w:t>estimated to be 230 Ω cm (</w:t>
      </w:r>
      <w:r w:rsidRPr="008C7603">
        <w:rPr>
          <w:b/>
          <w:bCs/>
        </w:rPr>
        <w:fldChar w:fldCharType="begin"/>
      </w:r>
      <w:r w:rsidRPr="008C7603">
        <w:rPr>
          <w:b/>
          <w:bCs/>
        </w:rPr>
        <w:instrText xml:space="preserve"> REF _Ref59188722 \h  \* MERGEFORMAT </w:instrText>
      </w:r>
      <w:r w:rsidRPr="008C7603">
        <w:rPr>
          <w:b/>
          <w:bCs/>
        </w:rPr>
      </w:r>
      <w:r w:rsidRPr="008C7603">
        <w:rPr>
          <w:b/>
          <w:bCs/>
        </w:rPr>
        <w:fldChar w:fldCharType="separate"/>
      </w:r>
      <w:r w:rsidR="008C7603" w:rsidRPr="002B45B7">
        <w:rPr>
          <w:b/>
          <w:bCs/>
        </w:rPr>
        <w:t>Figure S</w:t>
      </w:r>
      <w:r w:rsidR="008C7603">
        <w:rPr>
          <w:b/>
          <w:bCs/>
        </w:rPr>
        <w:t>5</w:t>
      </w:r>
      <w:r w:rsidRPr="008C7603">
        <w:rPr>
          <w:b/>
          <w:bCs/>
        </w:rPr>
        <w:fldChar w:fldCharType="end"/>
      </w:r>
      <w:r w:rsidRPr="002B45B7">
        <w:t>(d)), which is a low value for OSC</w:t>
      </w:r>
      <w:r w:rsidR="00B45838" w:rsidRPr="002B45B7">
        <w:t>s</w:t>
      </w:r>
      <w:r w:rsidRPr="002B45B7">
        <w:t xml:space="preserve"> without extra doping</w:t>
      </w:r>
      <w:r w:rsidR="00BF58F7" w:rsidRPr="002B45B7">
        <w:rPr>
          <w:vertAlign w:val="superscript"/>
        </w:rPr>
        <w:fldChar w:fldCharType="begin"/>
      </w:r>
      <w:r w:rsidR="00BF58F7" w:rsidRPr="002B45B7">
        <w:rPr>
          <w:vertAlign w:val="superscript"/>
        </w:rPr>
        <w:instrText xml:space="preserve"> REF _Ref58308661 \r \h  \* MERGEFORMAT </w:instrText>
      </w:r>
      <w:r w:rsidR="00BF58F7" w:rsidRPr="002B45B7">
        <w:rPr>
          <w:vertAlign w:val="superscript"/>
        </w:rPr>
      </w:r>
      <w:r w:rsidR="00BF58F7" w:rsidRPr="002B45B7">
        <w:rPr>
          <w:vertAlign w:val="superscript"/>
        </w:rPr>
        <w:fldChar w:fldCharType="separate"/>
      </w:r>
      <w:r w:rsidR="008C7603">
        <w:rPr>
          <w:vertAlign w:val="superscript"/>
        </w:rPr>
        <w:t>1</w:t>
      </w:r>
      <w:r w:rsidR="00BF58F7" w:rsidRPr="002B45B7">
        <w:rPr>
          <w:vertAlign w:val="superscript"/>
        </w:rPr>
        <w:fldChar w:fldCharType="end"/>
      </w:r>
      <w:r w:rsidRPr="002B45B7">
        <w:t xml:space="preserve">, implying the high effectiveness of carrier injection </w:t>
      </w:r>
      <w:r w:rsidR="00B45838" w:rsidRPr="002B45B7">
        <w:t xml:space="preserve">in </w:t>
      </w:r>
      <w:r w:rsidRPr="002B45B7">
        <w:t>C</w:t>
      </w:r>
      <w:r w:rsidRPr="002B45B7">
        <w:rPr>
          <w:vertAlign w:val="subscript"/>
        </w:rPr>
        <w:t>9</w:t>
      </w:r>
      <w:r w:rsidRPr="002B45B7">
        <w:t xml:space="preserve">-DNBDT-NW-based TFTs fabricated </w:t>
      </w:r>
      <w:r w:rsidR="00B45838" w:rsidRPr="002B45B7">
        <w:t xml:space="preserve">using </w:t>
      </w:r>
      <w:r w:rsidRPr="002B45B7">
        <w:t xml:space="preserve">the proposed process. </w:t>
      </w:r>
    </w:p>
    <w:p w14:paraId="5E74E784" w14:textId="0BB3DD42" w:rsidR="00243282" w:rsidRPr="002B45B7" w:rsidRDefault="0052777A" w:rsidP="002B45B7">
      <w:pPr>
        <w:spacing w:line="480" w:lineRule="auto"/>
        <w:jc w:val="center"/>
      </w:pPr>
      <w:r w:rsidRPr="002B45B7">
        <w:rPr>
          <w:noProof/>
        </w:rPr>
        <w:drawing>
          <wp:inline distT="0" distB="0" distL="0" distR="0" wp14:anchorId="1A77322A" wp14:editId="5C69F233">
            <wp:extent cx="5752800" cy="2698688"/>
            <wp:effectExtent l="0" t="0" r="635" b="0"/>
            <wp:docPr id="45" name="Picture 45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Graphical user interface, cha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2800" cy="269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DAF9D" w14:textId="5D729E31" w:rsidR="00627F2A" w:rsidRPr="002B45B7" w:rsidRDefault="001622EB" w:rsidP="002B45B7">
      <w:pPr>
        <w:spacing w:line="480" w:lineRule="auto"/>
        <w:jc w:val="center"/>
        <w:rPr>
          <w:vertAlign w:val="subscript"/>
        </w:rPr>
      </w:pPr>
      <w:bookmarkStart w:id="11" w:name="_Ref59188722"/>
      <w:bookmarkStart w:id="12" w:name="_Toc62220524"/>
      <w:bookmarkStart w:id="13" w:name="_Ref64967157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5</w:t>
      </w:r>
      <w:r w:rsidRPr="002B45B7">
        <w:rPr>
          <w:b/>
          <w:bCs/>
        </w:rPr>
        <w:fldChar w:fldCharType="end"/>
      </w:r>
      <w:bookmarkEnd w:id="11"/>
      <w:r w:rsidRPr="002B45B7">
        <w:t xml:space="preserve"> Contact resistance of C</w:t>
      </w:r>
      <w:r w:rsidRPr="002B45B7">
        <w:rPr>
          <w:vertAlign w:val="subscript"/>
        </w:rPr>
        <w:t>9</w:t>
      </w:r>
      <w:r w:rsidRPr="002B45B7">
        <w:t xml:space="preserve">-DNBDT-NW-based TFTs fabricated </w:t>
      </w:r>
      <w:r w:rsidR="00B45838" w:rsidRPr="002B45B7">
        <w:t>by</w:t>
      </w:r>
      <w:r w:rsidRPr="002B45B7">
        <w:t xml:space="preserve"> two-step photolithography. (a) Schematic illustration of contact resistance in a TFT. (b) Optical micrograph of TFTs with channel lengths of 20, 10, 6 and 4 </w:t>
      </w:r>
      <w:proofErr w:type="spellStart"/>
      <w:r w:rsidRPr="002B45B7">
        <w:t>μm</w:t>
      </w:r>
      <w:proofErr w:type="spellEnd"/>
      <w:r w:rsidRPr="002B45B7">
        <w:t>. (c) Transfer curves of the corresponding TFTs (</w:t>
      </w:r>
      <w:r w:rsidRPr="002B45B7">
        <w:rPr>
          <w:i/>
          <w:iCs/>
        </w:rPr>
        <w:t>V</w:t>
      </w:r>
      <w:r w:rsidRPr="002B45B7">
        <w:rPr>
          <w:vertAlign w:val="subscript"/>
        </w:rPr>
        <w:t>D</w:t>
      </w:r>
      <w:r w:rsidRPr="002B45B7">
        <w:t xml:space="preserve"> = </w:t>
      </w:r>
      <w:r w:rsidR="00B45838" w:rsidRPr="002B45B7">
        <w:t>–</w:t>
      </w:r>
      <w:r w:rsidRPr="002B45B7">
        <w:t xml:space="preserve">1 V). (d) TLM plots at different </w:t>
      </w:r>
      <w:r w:rsidRPr="002B45B7">
        <w:rPr>
          <w:i/>
          <w:iCs/>
        </w:rPr>
        <w:t>V</w:t>
      </w:r>
      <w:r w:rsidRPr="002B45B7">
        <w:rPr>
          <w:vertAlign w:val="subscript"/>
        </w:rPr>
        <w:t>G</w:t>
      </w:r>
      <w:r w:rsidR="00B45838" w:rsidRPr="002B45B7">
        <w:rPr>
          <w:vertAlign w:val="subscript"/>
        </w:rPr>
        <w:t xml:space="preserve"> </w:t>
      </w:r>
      <w:r w:rsidR="00B45838" w:rsidRPr="002B45B7">
        <w:t>values</w:t>
      </w:r>
      <w:r w:rsidRPr="002B45B7">
        <w:t xml:space="preserve">. (e) Dependence of </w:t>
      </w:r>
      <w:r w:rsidR="00B45838" w:rsidRPr="002B45B7">
        <w:rPr>
          <w:i/>
          <w:iCs/>
        </w:rPr>
        <w:t>R</w:t>
      </w:r>
      <w:r w:rsidR="00B45838" w:rsidRPr="002B45B7">
        <w:rPr>
          <w:vertAlign w:val="subscript"/>
        </w:rPr>
        <w:t>c</w:t>
      </w:r>
      <w:r w:rsidRPr="002B45B7">
        <w:t xml:space="preserve"> on </w:t>
      </w:r>
      <w:r w:rsidR="00B45838" w:rsidRPr="002B45B7">
        <w:rPr>
          <w:i/>
          <w:iCs/>
        </w:rPr>
        <w:t>V</w:t>
      </w:r>
      <w:r w:rsidR="00B45838" w:rsidRPr="002B45B7">
        <w:rPr>
          <w:vertAlign w:val="subscript"/>
        </w:rPr>
        <w:t>G</w:t>
      </w:r>
      <w:bookmarkEnd w:id="12"/>
      <w:bookmarkEnd w:id="13"/>
      <w:r w:rsidR="002B45B7">
        <w:rPr>
          <w:vertAlign w:val="subscript"/>
        </w:rPr>
        <w:t xml:space="preserve"> </w:t>
      </w:r>
    </w:p>
    <w:p w14:paraId="04A51336" w14:textId="77777777" w:rsidR="002F11A5" w:rsidRPr="002B45B7" w:rsidRDefault="002F11A5" w:rsidP="002B45B7">
      <w:pPr>
        <w:keepNext/>
        <w:spacing w:line="480" w:lineRule="auto"/>
        <w:jc w:val="center"/>
      </w:pPr>
      <w:r w:rsidRPr="002B45B7">
        <w:rPr>
          <w:noProof/>
        </w:rPr>
        <w:lastRenderedPageBreak/>
        <w:drawing>
          <wp:inline distT="0" distB="0" distL="0" distR="0" wp14:anchorId="2EC6C99E" wp14:editId="42F1632F">
            <wp:extent cx="4860000" cy="1775852"/>
            <wp:effectExtent l="0" t="0" r="4445" b="2540"/>
            <wp:docPr id="1" name="Picture 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177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083DF" w14:textId="4E778E89" w:rsidR="002F11A5" w:rsidRPr="002B45B7" w:rsidRDefault="002F11A5" w:rsidP="002B45B7">
      <w:pPr>
        <w:spacing w:line="480" w:lineRule="auto"/>
        <w:jc w:val="center"/>
      </w:pPr>
      <w:bookmarkStart w:id="14" w:name="_Ref64930218"/>
      <w:bookmarkStart w:id="15" w:name="_Ref64966825"/>
      <w:r w:rsidRPr="002B45B7">
        <w:rPr>
          <w:b/>
          <w:bCs/>
        </w:rPr>
        <w:t>Figure 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6</w:t>
      </w:r>
      <w:r w:rsidRPr="002B45B7">
        <w:rPr>
          <w:b/>
          <w:bCs/>
        </w:rPr>
        <w:fldChar w:fldCharType="end"/>
      </w:r>
      <w:bookmarkEnd w:id="14"/>
      <w:r w:rsidRPr="002B45B7">
        <w:t xml:space="preserve"> Transfer characteristics of</w:t>
      </w:r>
      <w:r w:rsidR="00921D86" w:rsidRPr="002B45B7">
        <w:t xml:space="preserve"> (a) </w:t>
      </w:r>
      <w:r w:rsidRPr="002B45B7">
        <w:t>C</w:t>
      </w:r>
      <w:r w:rsidRPr="002B45B7">
        <w:rPr>
          <w:vertAlign w:val="subscript"/>
        </w:rPr>
        <w:t>9</w:t>
      </w:r>
      <w:r w:rsidRPr="002B45B7">
        <w:t xml:space="preserve">-DNBDT-NW-based TFT </w:t>
      </w:r>
      <w:r w:rsidR="00921D86" w:rsidRPr="002B45B7">
        <w:t xml:space="preserve">at </w:t>
      </w:r>
      <w:r w:rsidR="00921D86" w:rsidRPr="002B45B7">
        <w:rPr>
          <w:i/>
          <w:iCs/>
        </w:rPr>
        <w:t>V</w:t>
      </w:r>
      <w:r w:rsidR="00921D86" w:rsidRPr="002B45B7">
        <w:rPr>
          <w:vertAlign w:val="subscript"/>
        </w:rPr>
        <w:t>D</w:t>
      </w:r>
      <w:r w:rsidR="00921D86" w:rsidRPr="002B45B7">
        <w:t xml:space="preserve"> = –7 </w:t>
      </w:r>
      <w:r w:rsidRPr="002B45B7">
        <w:t xml:space="preserve">V and </w:t>
      </w:r>
      <w:r w:rsidR="00921D86" w:rsidRPr="002B45B7">
        <w:t xml:space="preserve">(b) </w:t>
      </w:r>
      <w:r w:rsidRPr="002B45B7">
        <w:t xml:space="preserve">IZO-based TFTs </w:t>
      </w:r>
      <w:r w:rsidR="00921D86" w:rsidRPr="002B45B7">
        <w:rPr>
          <w:i/>
          <w:iCs/>
        </w:rPr>
        <w:t>V</w:t>
      </w:r>
      <w:r w:rsidR="00921D86" w:rsidRPr="002B45B7">
        <w:rPr>
          <w:vertAlign w:val="subscript"/>
        </w:rPr>
        <w:t>D</w:t>
      </w:r>
      <w:r w:rsidR="00921D86" w:rsidRPr="002B45B7">
        <w:t xml:space="preserve"> = 7 V</w:t>
      </w:r>
      <w:bookmarkEnd w:id="15"/>
      <w:r w:rsidR="002B45B7">
        <w:t xml:space="preserve"> </w:t>
      </w:r>
    </w:p>
    <w:p w14:paraId="1B2F85BA" w14:textId="4E7C6BF5" w:rsidR="00627F2A" w:rsidRPr="002B45B7" w:rsidRDefault="00627F2A" w:rsidP="002B45B7">
      <w:pPr>
        <w:spacing w:line="480" w:lineRule="auto"/>
      </w:pPr>
    </w:p>
    <w:p w14:paraId="0ECAF170" w14:textId="4D8B8C4E" w:rsidR="001D3B9E" w:rsidRPr="002B45B7" w:rsidRDefault="001D3B9E" w:rsidP="002B45B7">
      <w:pPr>
        <w:spacing w:line="480" w:lineRule="auto"/>
        <w:jc w:val="center"/>
      </w:pPr>
      <w:r w:rsidRPr="002B45B7">
        <w:rPr>
          <w:noProof/>
        </w:rPr>
        <w:drawing>
          <wp:inline distT="0" distB="0" distL="0" distR="0" wp14:anchorId="7D925E01" wp14:editId="35272855">
            <wp:extent cx="4860000" cy="1776924"/>
            <wp:effectExtent l="0" t="0" r="4445" b="1270"/>
            <wp:docPr id="60" name="Picture 60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Chart, histogram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177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6C09" w14:textId="012C838E" w:rsidR="007A67E5" w:rsidRPr="002B45B7" w:rsidRDefault="001622EB" w:rsidP="002B45B7">
      <w:pPr>
        <w:spacing w:line="480" w:lineRule="auto"/>
        <w:jc w:val="center"/>
      </w:pPr>
      <w:bookmarkStart w:id="16" w:name="_Ref58145188"/>
      <w:bookmarkStart w:id="17" w:name="_Toc62220527"/>
      <w:bookmarkStart w:id="18" w:name="_Ref64966887"/>
      <w:bookmarkStart w:id="19" w:name="_Ref64967192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7</w:t>
      </w:r>
      <w:r w:rsidRPr="002B45B7">
        <w:rPr>
          <w:b/>
          <w:bCs/>
        </w:rPr>
        <w:fldChar w:fldCharType="end"/>
      </w:r>
      <w:bookmarkEnd w:id="16"/>
      <w:r w:rsidRPr="002B45B7">
        <w:t xml:space="preserve"> Transfer characteristics of </w:t>
      </w:r>
      <w:r w:rsidR="00921D86" w:rsidRPr="002B45B7">
        <w:t xml:space="preserve">(a) </w:t>
      </w:r>
      <w:r w:rsidRPr="002B45B7">
        <w:t>C</w:t>
      </w:r>
      <w:r w:rsidRPr="002B45B7">
        <w:rPr>
          <w:vertAlign w:val="subscript"/>
        </w:rPr>
        <w:t>9</w:t>
      </w:r>
      <w:r w:rsidRPr="002B45B7">
        <w:t xml:space="preserve">-DNBDT-NW- and </w:t>
      </w:r>
      <w:r w:rsidR="00921D86" w:rsidRPr="002B45B7">
        <w:t xml:space="preserve">(b) </w:t>
      </w:r>
      <w:r w:rsidRPr="002B45B7">
        <w:t xml:space="preserve">IZO-based TFTs before and after exposure to air for </w:t>
      </w:r>
      <w:r w:rsidR="002F11A5" w:rsidRPr="002B45B7">
        <w:t>5</w:t>
      </w:r>
      <w:r w:rsidRPr="002B45B7">
        <w:t xml:space="preserve"> months</w:t>
      </w:r>
      <w:bookmarkEnd w:id="17"/>
      <w:bookmarkEnd w:id="18"/>
      <w:bookmarkEnd w:id="19"/>
      <w:r w:rsidR="002B45B7">
        <w:t xml:space="preserve"> </w:t>
      </w:r>
    </w:p>
    <w:p w14:paraId="1C784D67" w14:textId="1EC842B8" w:rsidR="00627F2A" w:rsidRDefault="00627F2A" w:rsidP="002B45B7">
      <w:pPr>
        <w:spacing w:line="480" w:lineRule="auto"/>
        <w:jc w:val="center"/>
      </w:pPr>
    </w:p>
    <w:p w14:paraId="03B4402C" w14:textId="48068900" w:rsidR="002B45B7" w:rsidRPr="002B45B7" w:rsidRDefault="002B45B7" w:rsidP="002B45B7">
      <w:pPr>
        <w:spacing w:line="480" w:lineRule="auto"/>
        <w:jc w:val="center"/>
      </w:pPr>
      <w:r w:rsidRPr="002B45B7">
        <w:rPr>
          <w:noProof/>
        </w:rPr>
        <w:lastRenderedPageBreak/>
        <w:drawing>
          <wp:inline distT="0" distB="0" distL="0" distR="0" wp14:anchorId="3DC2B278" wp14:editId="70B8A452">
            <wp:extent cx="4860000" cy="5310397"/>
            <wp:effectExtent l="0" t="0" r="4445" b="0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531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9C13D" w14:textId="3C4A4614" w:rsidR="0035237E" w:rsidRPr="002B45B7" w:rsidRDefault="001622EB" w:rsidP="002B45B7">
      <w:pPr>
        <w:spacing w:line="480" w:lineRule="auto"/>
        <w:jc w:val="center"/>
      </w:pPr>
      <w:bookmarkStart w:id="20" w:name="_Ref58147397"/>
      <w:bookmarkStart w:id="21" w:name="_Toc62220528"/>
      <w:bookmarkStart w:id="22" w:name="_Ref64967200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8</w:t>
      </w:r>
      <w:r w:rsidRPr="002B45B7">
        <w:rPr>
          <w:b/>
          <w:bCs/>
        </w:rPr>
        <w:fldChar w:fldCharType="end"/>
      </w:r>
      <w:bookmarkEnd w:id="20"/>
      <w:r w:rsidRPr="002B45B7">
        <w:t xml:space="preserve"> Electrical performance of TFTs with dimensions of </w:t>
      </w:r>
      <w:r w:rsidRPr="002B45B7">
        <w:rPr>
          <w:i/>
          <w:iCs/>
        </w:rPr>
        <w:t>L</w:t>
      </w:r>
      <w:r w:rsidRPr="002B45B7">
        <w:t xml:space="preserve"> = 4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3 </w:t>
      </w:r>
      <w:r w:rsidRPr="002B45B7">
        <w:sym w:font="Symbol" w:char="F06D"/>
      </w:r>
      <w:r w:rsidRPr="002B45B7">
        <w:t xml:space="preserve">m for the p-channel and </w:t>
      </w:r>
      <w:r w:rsidRPr="002B45B7">
        <w:rPr>
          <w:i/>
          <w:iCs/>
        </w:rPr>
        <w:t>L</w:t>
      </w:r>
      <w:r w:rsidRPr="002B45B7">
        <w:t xml:space="preserve"> = 8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1.5 </w:t>
      </w:r>
      <w:r w:rsidRPr="002B45B7">
        <w:sym w:font="Symbol" w:char="F06D"/>
      </w:r>
      <w:r w:rsidRPr="002B45B7">
        <w:t>m for the n-channel. (a) Output performance. (b)–(e) Transfer curves in the linear and saturation regions of TFTs based on C</w:t>
      </w:r>
      <w:r w:rsidRPr="002B45B7">
        <w:rPr>
          <w:vertAlign w:val="subscript"/>
        </w:rPr>
        <w:t>9</w:t>
      </w:r>
      <w:r w:rsidRPr="002B45B7">
        <w:t>-DNBDT-NW and IZO</w:t>
      </w:r>
      <w:bookmarkEnd w:id="21"/>
      <w:bookmarkEnd w:id="22"/>
    </w:p>
    <w:p w14:paraId="75037B4F" w14:textId="674C38F1" w:rsidR="00627F2A" w:rsidRPr="002B45B7" w:rsidRDefault="00627F2A" w:rsidP="002B45B7">
      <w:pPr>
        <w:spacing w:line="480" w:lineRule="auto"/>
      </w:pPr>
    </w:p>
    <w:p w14:paraId="36376906" w14:textId="089D57DA" w:rsidR="007A67E5" w:rsidRPr="002B45B7" w:rsidRDefault="007A67E5" w:rsidP="002B45B7">
      <w:pPr>
        <w:spacing w:line="480" w:lineRule="auto"/>
        <w:jc w:val="center"/>
      </w:pPr>
      <w:r w:rsidRPr="002B45B7">
        <w:rPr>
          <w:noProof/>
        </w:rPr>
        <w:lastRenderedPageBreak/>
        <w:drawing>
          <wp:inline distT="0" distB="0" distL="0" distR="0" wp14:anchorId="17400031" wp14:editId="749DE15E">
            <wp:extent cx="5755640" cy="1557655"/>
            <wp:effectExtent l="0" t="0" r="0" b="4445"/>
            <wp:docPr id="58" name="Picture 58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Chart, histogra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3EB8F" w14:textId="5BE7548C" w:rsidR="0035237E" w:rsidRDefault="001622EB" w:rsidP="002B45B7">
      <w:pPr>
        <w:spacing w:line="480" w:lineRule="auto"/>
        <w:jc w:val="center"/>
      </w:pPr>
      <w:bookmarkStart w:id="23" w:name="_Ref58148421"/>
      <w:bookmarkStart w:id="24" w:name="_Toc62220530"/>
      <w:bookmarkStart w:id="25" w:name="_Ref64967211"/>
      <w:r w:rsidRPr="002B45B7">
        <w:rPr>
          <w:b/>
          <w:bCs/>
        </w:rPr>
        <w:t xml:space="preserve">Figure </w:t>
      </w:r>
      <w:r w:rsidR="00245A5F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9</w:t>
      </w:r>
      <w:r w:rsidRPr="002B45B7">
        <w:rPr>
          <w:b/>
          <w:bCs/>
        </w:rPr>
        <w:fldChar w:fldCharType="end"/>
      </w:r>
      <w:bookmarkEnd w:id="23"/>
      <w:r w:rsidRPr="002B45B7">
        <w:t xml:space="preserve"> Output signals of ring oscillators with different dimensions. (a) ROSC1: </w:t>
      </w:r>
      <w:r w:rsidRPr="002B45B7">
        <w:rPr>
          <w:i/>
          <w:iCs/>
        </w:rPr>
        <w:t>L</w:t>
      </w:r>
      <w:r w:rsidRPr="002B45B7">
        <w:t xml:space="preserve"> = 19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9 </w:t>
      </w:r>
      <w:r w:rsidRPr="002B45B7">
        <w:sym w:font="Symbol" w:char="F06D"/>
      </w:r>
      <w:r w:rsidRPr="002B45B7">
        <w:t xml:space="preserve">m for the p-channel and </w:t>
      </w:r>
      <w:r w:rsidRPr="002B45B7">
        <w:rPr>
          <w:i/>
          <w:iCs/>
        </w:rPr>
        <w:t>L</w:t>
      </w:r>
      <w:r w:rsidRPr="002B45B7">
        <w:t xml:space="preserve"> = 24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8 </w:t>
      </w:r>
      <w:r w:rsidRPr="002B45B7">
        <w:sym w:font="Symbol" w:char="F06D"/>
      </w:r>
      <w:r w:rsidRPr="002B45B7">
        <w:t xml:space="preserve">m for the n-channel. (b) ROSC2: </w:t>
      </w:r>
      <w:r w:rsidRPr="002B45B7">
        <w:rPr>
          <w:i/>
          <w:iCs/>
        </w:rPr>
        <w:t>L</w:t>
      </w:r>
      <w:r w:rsidRPr="002B45B7">
        <w:t xml:space="preserve"> = 9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9 </w:t>
      </w:r>
      <w:r w:rsidRPr="002B45B7">
        <w:sym w:font="Symbol" w:char="F06D"/>
      </w:r>
      <w:r w:rsidRPr="002B45B7">
        <w:t xml:space="preserve">m for the p-channel and </w:t>
      </w:r>
      <w:r w:rsidRPr="002B45B7">
        <w:rPr>
          <w:i/>
          <w:iCs/>
        </w:rPr>
        <w:t>L</w:t>
      </w:r>
      <w:r w:rsidRPr="002B45B7">
        <w:t xml:space="preserve"> = 13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8.5 </w:t>
      </w:r>
      <w:r w:rsidRPr="002B45B7">
        <w:sym w:font="Symbol" w:char="F06D"/>
      </w:r>
      <w:r w:rsidRPr="002B45B7">
        <w:t xml:space="preserve">m for the n-channel. (c) ROSC3: </w:t>
      </w:r>
      <w:r w:rsidRPr="002B45B7">
        <w:rPr>
          <w:i/>
          <w:iCs/>
        </w:rPr>
        <w:t>L</w:t>
      </w:r>
      <w:r w:rsidRPr="002B45B7">
        <w:t xml:space="preserve"> = 4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5 </w:t>
      </w:r>
      <w:r w:rsidRPr="002B45B7">
        <w:sym w:font="Symbol" w:char="F06D"/>
      </w:r>
      <w:r w:rsidRPr="002B45B7">
        <w:t xml:space="preserve">m for the p-channel and </w:t>
      </w:r>
      <w:r w:rsidRPr="002B45B7">
        <w:rPr>
          <w:i/>
          <w:iCs/>
        </w:rPr>
        <w:t>L</w:t>
      </w:r>
      <w:r w:rsidRPr="002B45B7">
        <w:t xml:space="preserve"> = 8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sym w:font="Symbol" w:char="F044"/>
      </w:r>
      <w:r w:rsidRPr="002B45B7">
        <w:rPr>
          <w:i/>
          <w:iCs/>
        </w:rPr>
        <w:t>L</w:t>
      </w:r>
      <w:r w:rsidRPr="002B45B7">
        <w:t xml:space="preserve"> = 3.5 </w:t>
      </w:r>
      <w:r w:rsidRPr="002B45B7">
        <w:sym w:font="Symbol" w:char="F06D"/>
      </w:r>
      <w:r w:rsidRPr="002B45B7">
        <w:t xml:space="preserve">m for the n-channel. In all ring oscillators, </w:t>
      </w:r>
      <w:r w:rsidRPr="002B45B7">
        <w:rPr>
          <w:i/>
          <w:iCs/>
        </w:rPr>
        <w:t>W</w:t>
      </w:r>
      <w:r w:rsidRPr="002B45B7">
        <w:t xml:space="preserve"> = 200 </w:t>
      </w:r>
      <w:r w:rsidRPr="002B45B7">
        <w:sym w:font="Symbol" w:char="F06D"/>
      </w:r>
      <w:r w:rsidRPr="002B45B7">
        <w:t xml:space="preserve">m and </w:t>
      </w:r>
      <w:r w:rsidRPr="002B45B7">
        <w:rPr>
          <w:i/>
          <w:iCs/>
        </w:rPr>
        <w:t>V</w:t>
      </w:r>
      <w:r w:rsidRPr="002B45B7">
        <w:rPr>
          <w:vertAlign w:val="subscript"/>
        </w:rPr>
        <w:t>DD</w:t>
      </w:r>
      <w:r w:rsidRPr="002B45B7">
        <w:t xml:space="preserve"> = 10 V</w:t>
      </w:r>
      <w:bookmarkEnd w:id="24"/>
      <w:bookmarkEnd w:id="25"/>
    </w:p>
    <w:p w14:paraId="0A1E57D1" w14:textId="77777777" w:rsidR="002B45B7" w:rsidRPr="002B45B7" w:rsidRDefault="002B45B7" w:rsidP="002B45B7">
      <w:pPr>
        <w:spacing w:line="480" w:lineRule="auto"/>
        <w:jc w:val="center"/>
      </w:pPr>
    </w:p>
    <w:p w14:paraId="3C70872B" w14:textId="77777777" w:rsidR="008D13F5" w:rsidRPr="002B45B7" w:rsidRDefault="001622EB" w:rsidP="002B45B7">
      <w:pPr>
        <w:spacing w:line="480" w:lineRule="auto"/>
        <w:jc w:val="center"/>
      </w:pPr>
      <w:r w:rsidRPr="002B45B7">
        <w:rPr>
          <w:noProof/>
        </w:rPr>
        <w:drawing>
          <wp:inline distT="0" distB="0" distL="0" distR="0" wp14:anchorId="24E502DF" wp14:editId="00ABFD82">
            <wp:extent cx="4320000" cy="3603500"/>
            <wp:effectExtent l="0" t="0" r="0" b="0"/>
            <wp:docPr id="445" name="Picture 44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49033" name="Picture 445" descr="Graphical user interfac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5BA1" w14:textId="38348DE5" w:rsidR="008D13F5" w:rsidRPr="002B45B7" w:rsidRDefault="001622EB" w:rsidP="002B45B7">
      <w:pPr>
        <w:spacing w:line="480" w:lineRule="auto"/>
        <w:jc w:val="center"/>
      </w:pPr>
      <w:bookmarkStart w:id="26" w:name="_Ref58141284"/>
      <w:bookmarkStart w:id="27" w:name="_Ref64967258"/>
      <w:bookmarkStart w:id="28" w:name="_Toc62220519"/>
      <w:r w:rsidRPr="002B45B7">
        <w:rPr>
          <w:b/>
          <w:bCs/>
        </w:rPr>
        <w:t xml:space="preserve">Figure </w:t>
      </w:r>
      <w:r w:rsidR="00847922" w:rsidRPr="002B45B7">
        <w:rPr>
          <w:b/>
          <w:bCs/>
        </w:rPr>
        <w:t>S</w:t>
      </w:r>
      <w:r w:rsidRPr="002B45B7">
        <w:rPr>
          <w:b/>
          <w:bCs/>
        </w:rPr>
        <w:fldChar w:fldCharType="begin"/>
      </w:r>
      <w:r w:rsidRPr="002B45B7">
        <w:rPr>
          <w:b/>
          <w:bCs/>
        </w:rPr>
        <w:instrText xml:space="preserve"> SEQ Figure \* ARABIC \s 1 </w:instrText>
      </w:r>
      <w:r w:rsidRPr="002B45B7">
        <w:rPr>
          <w:b/>
          <w:bCs/>
        </w:rPr>
        <w:fldChar w:fldCharType="separate"/>
      </w:r>
      <w:r w:rsidR="008C7603">
        <w:rPr>
          <w:b/>
          <w:bCs/>
          <w:noProof/>
        </w:rPr>
        <w:t>10</w:t>
      </w:r>
      <w:r w:rsidRPr="002B45B7">
        <w:rPr>
          <w:b/>
          <w:bCs/>
        </w:rPr>
        <w:fldChar w:fldCharType="end"/>
      </w:r>
      <w:bookmarkEnd w:id="26"/>
      <w:r w:rsidRPr="002B45B7">
        <w:t xml:space="preserve"> Schematic illustration of </w:t>
      </w:r>
      <w:r w:rsidR="00E24145" w:rsidRPr="002B45B7">
        <w:t xml:space="preserve">OSC and S/D electrode </w:t>
      </w:r>
      <w:r w:rsidRPr="002B45B7">
        <w:t>patterning processes</w:t>
      </w:r>
      <w:bookmarkEnd w:id="27"/>
      <w:r w:rsidRPr="002B45B7">
        <w:t xml:space="preserve"> </w:t>
      </w:r>
      <w:bookmarkEnd w:id="28"/>
    </w:p>
    <w:p w14:paraId="100E159E" w14:textId="77777777" w:rsidR="00BF58F7" w:rsidRPr="002B45B7" w:rsidRDefault="00BF58F7" w:rsidP="002B45B7">
      <w:pPr>
        <w:spacing w:line="480" w:lineRule="auto"/>
      </w:pPr>
    </w:p>
    <w:p w14:paraId="076017FB" w14:textId="10CD0BD1" w:rsidR="00BF58F7" w:rsidRPr="002B45B7" w:rsidRDefault="001622EB" w:rsidP="002B45B7">
      <w:pPr>
        <w:spacing w:line="480" w:lineRule="auto"/>
        <w:rPr>
          <w:b/>
          <w:bCs/>
        </w:rPr>
      </w:pPr>
      <w:r w:rsidRPr="002B45B7">
        <w:rPr>
          <w:b/>
          <w:bCs/>
        </w:rPr>
        <w:lastRenderedPageBreak/>
        <w:t>Reference</w:t>
      </w:r>
      <w:r w:rsidR="000131A7" w:rsidRPr="002B45B7">
        <w:rPr>
          <w:b/>
          <w:bCs/>
        </w:rPr>
        <w:t>s</w:t>
      </w:r>
    </w:p>
    <w:p w14:paraId="5ADC6B7E" w14:textId="0D2A88DF" w:rsidR="006D61F8" w:rsidRPr="00D30B60" w:rsidRDefault="00D30B60" w:rsidP="00D30B60">
      <w:pPr>
        <w:pStyle w:val="ListParagraph"/>
        <w:rPr>
          <w:bdr w:val="none" w:sz="0" w:space="0" w:color="auto"/>
          <w:lang w:val="en-JP"/>
        </w:rPr>
      </w:pPr>
      <w:bookmarkStart w:id="29" w:name="_Ref58308661"/>
      <w:r w:rsidRPr="00D30B60">
        <w:rPr>
          <w:bdr w:val="none" w:sz="0" w:space="0" w:color="auto"/>
          <w:lang w:val="en-JP"/>
        </w:rPr>
        <w:t xml:space="preserve">Yamamura, A. </w:t>
      </w:r>
      <w:r w:rsidRPr="00D30B60">
        <w:rPr>
          <w:i/>
          <w:iCs/>
          <w:bdr w:val="none" w:sz="0" w:space="0" w:color="auto"/>
          <w:lang w:val="en-JP"/>
        </w:rPr>
        <w:t xml:space="preserve">et al. </w:t>
      </w:r>
      <w:r w:rsidRPr="00D30B60">
        <w:rPr>
          <w:bdr w:val="none" w:sz="0" w:space="0" w:color="auto"/>
          <w:lang w:val="en-JP"/>
        </w:rPr>
        <w:t xml:space="preserve">Wafer-scale, layer-controlled organic single crystals for high-speed circuit operation. </w:t>
      </w:r>
      <w:r w:rsidRPr="00BC7AD2">
        <w:rPr>
          <w:i/>
          <w:iCs/>
        </w:rPr>
        <w:t>Sci. Adv.</w:t>
      </w:r>
      <w:r w:rsidRPr="00D30B60">
        <w:rPr>
          <w:i/>
          <w:iCs/>
          <w:bdr w:val="none" w:sz="0" w:space="0" w:color="auto"/>
          <w:lang w:val="en-JP"/>
        </w:rPr>
        <w:t xml:space="preserve"> </w:t>
      </w:r>
      <w:r w:rsidRPr="00D30B60">
        <w:rPr>
          <w:b/>
          <w:bCs/>
          <w:bdr w:val="none" w:sz="0" w:space="0" w:color="auto"/>
          <w:lang w:val="en-JP"/>
        </w:rPr>
        <w:t>4</w:t>
      </w:r>
      <w:r w:rsidRPr="00D30B60">
        <w:rPr>
          <w:bdr w:val="none" w:sz="0" w:space="0" w:color="auto"/>
          <w:lang w:val="en-JP"/>
        </w:rPr>
        <w:t xml:space="preserve">, eaao5758 (2018). </w:t>
      </w:r>
      <w:bookmarkEnd w:id="29"/>
    </w:p>
    <w:sectPr w:rsidR="006D61F8" w:rsidRPr="00D30B60" w:rsidSect="0035237E">
      <w:headerReference w:type="default" r:id="rId17"/>
      <w:footerReference w:type="default" r:id="rId18"/>
      <w:pgSz w:w="11900" w:h="16840"/>
      <w:pgMar w:top="1418" w:right="1418" w:bottom="1418" w:left="1418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726CB1" w14:textId="77777777" w:rsidR="00700B56" w:rsidRDefault="00700B56">
      <w:pPr>
        <w:spacing w:after="0" w:line="240" w:lineRule="auto"/>
      </w:pPr>
      <w:r>
        <w:separator/>
      </w:r>
    </w:p>
  </w:endnote>
  <w:endnote w:type="continuationSeparator" w:id="0">
    <w:p w14:paraId="65167B10" w14:textId="77777777" w:rsidR="00700B56" w:rsidRDefault="00700B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altName w:val="﷽﷽﷽﷽﷽﷽﷽﷽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altName w:val="﷽﷽﷽﷽﷽﷽﷽﷽臐ġͱ怀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E80323" w14:textId="77777777" w:rsidR="003462BE" w:rsidRDefault="003462BE">
    <w:pPr>
      <w:pStyle w:val="Header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B996A5" w14:textId="77777777" w:rsidR="00700B56" w:rsidRDefault="00700B56">
      <w:pPr>
        <w:spacing w:after="0" w:line="240" w:lineRule="auto"/>
      </w:pPr>
      <w:r>
        <w:separator/>
      </w:r>
    </w:p>
  </w:footnote>
  <w:footnote w:type="continuationSeparator" w:id="0">
    <w:p w14:paraId="3B58398B" w14:textId="77777777" w:rsidR="00700B56" w:rsidRDefault="00700B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A1EF1B" w14:textId="77777777" w:rsidR="003462BE" w:rsidRDefault="003462BE">
    <w:pPr>
      <w:pStyle w:val="HeaderFoo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ACA29E8"/>
    <w:multiLevelType w:val="hybridMultilevel"/>
    <w:tmpl w:val="4534343E"/>
    <w:lvl w:ilvl="0" w:tplc="879A89CA">
      <w:start w:val="1"/>
      <w:numFmt w:val="decimal"/>
      <w:pStyle w:val="ListParagraph"/>
      <w:lvlText w:val="%1."/>
      <w:lvlJc w:val="left"/>
      <w:pPr>
        <w:ind w:left="34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E11612C"/>
    <w:multiLevelType w:val="hybridMultilevel"/>
    <w:tmpl w:val="BCB28EEE"/>
    <w:lvl w:ilvl="0" w:tplc="EB7EF0F6">
      <w:start w:val="1"/>
      <w:numFmt w:val="decimal"/>
      <w:lvlText w:val="[%1]"/>
      <w:lvlJc w:val="center"/>
      <w:pPr>
        <w:ind w:left="-288" w:firstLine="288"/>
      </w:pPr>
      <w:rPr>
        <w:rFonts w:hint="default"/>
      </w:rPr>
    </w:lvl>
    <w:lvl w:ilvl="1" w:tplc="CD4C999C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7DCA31B6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961073B4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4932570C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D1BCAAE6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ACA0166A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248C5D94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8D661E30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647F3067"/>
    <w:multiLevelType w:val="multilevel"/>
    <w:tmpl w:val="5234F40E"/>
    <w:lvl w:ilvl="0">
      <w:start w:val="1"/>
      <w:numFmt w:val="decimal"/>
      <w:pStyle w:val="Heading1"/>
      <w:suff w:val="nothing"/>
      <w:lvlText w:val="CHAPTER %1"/>
      <w:lvlJc w:val="left"/>
      <w:pPr>
        <w:ind w:left="4111" w:firstLine="0"/>
      </w:pPr>
    </w:lvl>
    <w:lvl w:ilvl="1">
      <w:start w:val="1"/>
      <w:numFmt w:val="decimal"/>
      <w:pStyle w:val="Heading2"/>
      <w:lvlText w:val="%1.%2"/>
      <w:lvlJc w:val="left"/>
      <w:pPr>
        <w:tabs>
          <w:tab w:val="num" w:pos="-2304"/>
        </w:tabs>
        <w:ind w:left="-2304" w:hanging="576"/>
      </w:pPr>
    </w:lvl>
    <w:lvl w:ilvl="2">
      <w:start w:val="1"/>
      <w:numFmt w:val="decimal"/>
      <w:lvlText w:val="%1.%2.%3"/>
      <w:lvlJc w:val="left"/>
      <w:pPr>
        <w:tabs>
          <w:tab w:val="num" w:pos="1713"/>
        </w:tabs>
        <w:ind w:left="1713" w:hanging="720"/>
      </w:pPr>
    </w:lvl>
    <w:lvl w:ilvl="3">
      <w:start w:val="1"/>
      <w:numFmt w:val="decimal"/>
      <w:lvlText w:val="%1.%2.%3.%4"/>
      <w:lvlJc w:val="left"/>
      <w:pPr>
        <w:tabs>
          <w:tab w:val="num" w:pos="-2016"/>
        </w:tabs>
        <w:ind w:left="-2160" w:hanging="720"/>
      </w:pPr>
    </w:lvl>
    <w:lvl w:ilvl="4">
      <w:start w:val="1"/>
      <w:numFmt w:val="decimal"/>
      <w:lvlText w:val="%1.%2.%3.%4.%5"/>
      <w:lvlJc w:val="left"/>
      <w:pPr>
        <w:tabs>
          <w:tab w:val="num" w:pos="-1872"/>
        </w:tabs>
        <w:ind w:left="-1872" w:hanging="1008"/>
      </w:pPr>
    </w:lvl>
    <w:lvl w:ilvl="5">
      <w:start w:val="1"/>
      <w:numFmt w:val="decimal"/>
      <w:lvlText w:val="%1.%2.%3.%4.%5.%6"/>
      <w:lvlJc w:val="left"/>
      <w:pPr>
        <w:tabs>
          <w:tab w:val="num" w:pos="-1728"/>
        </w:tabs>
        <w:ind w:left="-1728" w:hanging="1152"/>
      </w:pPr>
    </w:lvl>
    <w:lvl w:ilvl="6">
      <w:start w:val="1"/>
      <w:numFmt w:val="decimal"/>
      <w:lvlText w:val="%1.%2.%3.%4.%5.%6.%7"/>
      <w:lvlJc w:val="left"/>
      <w:pPr>
        <w:tabs>
          <w:tab w:val="num" w:pos="-1584"/>
        </w:tabs>
        <w:ind w:left="-1584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-1440"/>
        </w:tabs>
        <w:ind w:left="-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-1296"/>
        </w:tabs>
        <w:ind w:left="-1296" w:hanging="1584"/>
      </w:pPr>
    </w:lvl>
  </w:abstractNum>
  <w:abstractNum w:abstractNumId="3" w15:restartNumberingAfterBreak="0">
    <w:nsid w:val="67237151"/>
    <w:multiLevelType w:val="hybridMultilevel"/>
    <w:tmpl w:val="7C100F84"/>
    <w:lvl w:ilvl="0" w:tplc="7B78157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AE625B7A" w:tentative="1">
      <w:start w:val="1"/>
      <w:numFmt w:val="lowerLetter"/>
      <w:lvlText w:val="%2."/>
      <w:lvlJc w:val="left"/>
      <w:pPr>
        <w:ind w:left="1440" w:hanging="360"/>
      </w:pPr>
    </w:lvl>
    <w:lvl w:ilvl="2" w:tplc="C5608E0A" w:tentative="1">
      <w:start w:val="1"/>
      <w:numFmt w:val="lowerRoman"/>
      <w:lvlText w:val="%3."/>
      <w:lvlJc w:val="right"/>
      <w:pPr>
        <w:ind w:left="2160" w:hanging="180"/>
      </w:pPr>
    </w:lvl>
    <w:lvl w:ilvl="3" w:tplc="7E3E8DDC" w:tentative="1">
      <w:start w:val="1"/>
      <w:numFmt w:val="decimal"/>
      <w:lvlText w:val="%4."/>
      <w:lvlJc w:val="left"/>
      <w:pPr>
        <w:ind w:left="2880" w:hanging="360"/>
      </w:pPr>
    </w:lvl>
    <w:lvl w:ilvl="4" w:tplc="B98A5CD8" w:tentative="1">
      <w:start w:val="1"/>
      <w:numFmt w:val="lowerLetter"/>
      <w:lvlText w:val="%5."/>
      <w:lvlJc w:val="left"/>
      <w:pPr>
        <w:ind w:left="3600" w:hanging="360"/>
      </w:pPr>
    </w:lvl>
    <w:lvl w:ilvl="5" w:tplc="2744B68A" w:tentative="1">
      <w:start w:val="1"/>
      <w:numFmt w:val="lowerRoman"/>
      <w:lvlText w:val="%6."/>
      <w:lvlJc w:val="right"/>
      <w:pPr>
        <w:ind w:left="4320" w:hanging="180"/>
      </w:pPr>
    </w:lvl>
    <w:lvl w:ilvl="6" w:tplc="534CE01A" w:tentative="1">
      <w:start w:val="1"/>
      <w:numFmt w:val="decimal"/>
      <w:lvlText w:val="%7."/>
      <w:lvlJc w:val="left"/>
      <w:pPr>
        <w:ind w:left="5040" w:hanging="360"/>
      </w:pPr>
    </w:lvl>
    <w:lvl w:ilvl="7" w:tplc="09CC291C" w:tentative="1">
      <w:start w:val="1"/>
      <w:numFmt w:val="lowerLetter"/>
      <w:lvlText w:val="%8."/>
      <w:lvlJc w:val="left"/>
      <w:pPr>
        <w:ind w:left="5760" w:hanging="360"/>
      </w:pPr>
    </w:lvl>
    <w:lvl w:ilvl="8" w:tplc="820EF44A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FAA"/>
    <w:rsid w:val="000131A7"/>
    <w:rsid w:val="0006086B"/>
    <w:rsid w:val="000F6137"/>
    <w:rsid w:val="000F7DDF"/>
    <w:rsid w:val="001622EB"/>
    <w:rsid w:val="00172466"/>
    <w:rsid w:val="001D3B9E"/>
    <w:rsid w:val="00243282"/>
    <w:rsid w:val="00245A5F"/>
    <w:rsid w:val="00261186"/>
    <w:rsid w:val="00277C08"/>
    <w:rsid w:val="0028539A"/>
    <w:rsid w:val="002B45B7"/>
    <w:rsid w:val="002F11A5"/>
    <w:rsid w:val="003462BE"/>
    <w:rsid w:val="0035237E"/>
    <w:rsid w:val="003F4AD1"/>
    <w:rsid w:val="004025C2"/>
    <w:rsid w:val="00421FAA"/>
    <w:rsid w:val="004801E1"/>
    <w:rsid w:val="00493C90"/>
    <w:rsid w:val="004A2D27"/>
    <w:rsid w:val="004C7E3E"/>
    <w:rsid w:val="004D2BEE"/>
    <w:rsid w:val="004E7ED2"/>
    <w:rsid w:val="00526C96"/>
    <w:rsid w:val="0052777A"/>
    <w:rsid w:val="00582F7A"/>
    <w:rsid w:val="0058774F"/>
    <w:rsid w:val="005C7FE9"/>
    <w:rsid w:val="00627F2A"/>
    <w:rsid w:val="0064502E"/>
    <w:rsid w:val="0068383E"/>
    <w:rsid w:val="00692D1F"/>
    <w:rsid w:val="006A2745"/>
    <w:rsid w:val="006C07C9"/>
    <w:rsid w:val="006C2558"/>
    <w:rsid w:val="006D51EC"/>
    <w:rsid w:val="006D61F8"/>
    <w:rsid w:val="006E64EF"/>
    <w:rsid w:val="006F2008"/>
    <w:rsid w:val="00700B56"/>
    <w:rsid w:val="0071053F"/>
    <w:rsid w:val="0072109E"/>
    <w:rsid w:val="007872BC"/>
    <w:rsid w:val="007A67E5"/>
    <w:rsid w:val="007C3229"/>
    <w:rsid w:val="00816454"/>
    <w:rsid w:val="00847922"/>
    <w:rsid w:val="008C7603"/>
    <w:rsid w:val="008D002A"/>
    <w:rsid w:val="008D13F5"/>
    <w:rsid w:val="008F0358"/>
    <w:rsid w:val="008F3E33"/>
    <w:rsid w:val="00921D86"/>
    <w:rsid w:val="009604B1"/>
    <w:rsid w:val="009639E9"/>
    <w:rsid w:val="009931E6"/>
    <w:rsid w:val="009F3DF4"/>
    <w:rsid w:val="00A54824"/>
    <w:rsid w:val="00AA0098"/>
    <w:rsid w:val="00AC3313"/>
    <w:rsid w:val="00B45838"/>
    <w:rsid w:val="00B6554A"/>
    <w:rsid w:val="00B87BFB"/>
    <w:rsid w:val="00BB7565"/>
    <w:rsid w:val="00BC7AD2"/>
    <w:rsid w:val="00BF58F7"/>
    <w:rsid w:val="00BF649B"/>
    <w:rsid w:val="00C93553"/>
    <w:rsid w:val="00CD6C6C"/>
    <w:rsid w:val="00CE0C73"/>
    <w:rsid w:val="00D30B60"/>
    <w:rsid w:val="00D41B52"/>
    <w:rsid w:val="00D43166"/>
    <w:rsid w:val="00D66D28"/>
    <w:rsid w:val="00D964B0"/>
    <w:rsid w:val="00D96C4E"/>
    <w:rsid w:val="00DC0323"/>
    <w:rsid w:val="00DC27E4"/>
    <w:rsid w:val="00E24145"/>
    <w:rsid w:val="00E8749A"/>
    <w:rsid w:val="00EF7E65"/>
    <w:rsid w:val="00F20594"/>
    <w:rsid w:val="00F5065E"/>
    <w:rsid w:val="00F56622"/>
    <w:rsid w:val="00FB1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4D9A2"/>
  <w15:chartTrackingRefBased/>
  <w15:docId w15:val="{988120DD-92A9-DD48-84B5-F2556DA93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5237E"/>
    <w:pPr>
      <w:pBdr>
        <w:top w:val="nil"/>
        <w:left w:val="nil"/>
        <w:bottom w:val="nil"/>
        <w:right w:val="nil"/>
        <w:between w:val="nil"/>
        <w:bar w:val="nil"/>
      </w:pBdr>
      <w:spacing w:after="160" w:line="259" w:lineRule="auto"/>
    </w:pPr>
    <w:rPr>
      <w:rFonts w:ascii="Times New Roman" w:eastAsia="Arial Unicode MS" w:hAnsi="Times New Roman" w:cs="Times New Roman"/>
      <w:bdr w:val="nil"/>
      <w:lang w:eastAsia="en-US"/>
    </w:rPr>
  </w:style>
  <w:style w:type="paragraph" w:styleId="Heading1">
    <w:name w:val="heading 1"/>
    <w:basedOn w:val="Normal"/>
    <w:next w:val="BodyText"/>
    <w:link w:val="Heading1Char"/>
    <w:autoRedefine/>
    <w:qFormat/>
    <w:rsid w:val="00847922"/>
    <w:pPr>
      <w:keepNext/>
      <w:keepLines/>
      <w:numPr>
        <w:numId w:val="2"/>
      </w:numPr>
      <w:spacing w:before="720" w:after="240" w:line="480" w:lineRule="auto"/>
      <w:outlineLvl w:val="0"/>
    </w:pPr>
    <w:rPr>
      <w:rFonts w:ascii="Calibri" w:eastAsia="SimSun" w:hAnsi="Calibri" w:cs="Arial"/>
      <w:b/>
      <w:bCs/>
      <w:kern w:val="32"/>
    </w:rPr>
  </w:style>
  <w:style w:type="paragraph" w:styleId="Heading2">
    <w:name w:val="heading 2"/>
    <w:basedOn w:val="Normal"/>
    <w:next w:val="BodyText"/>
    <w:link w:val="Heading2Char"/>
    <w:autoRedefine/>
    <w:qFormat/>
    <w:rsid w:val="00BF649B"/>
    <w:pPr>
      <w:keepNext/>
      <w:numPr>
        <w:ilvl w:val="1"/>
        <w:numId w:val="2"/>
      </w:numPr>
      <w:tabs>
        <w:tab w:val="clear" w:pos="-2304"/>
      </w:tabs>
      <w:spacing w:before="240"/>
      <w:ind w:left="576"/>
      <w:outlineLvl w:val="1"/>
    </w:pPr>
    <w:rPr>
      <w:rFonts w:eastAsia="Times New Roman" w:cs="Arial"/>
      <w:b/>
      <w:bCs/>
      <w:iCs/>
    </w:rPr>
  </w:style>
  <w:style w:type="paragraph" w:styleId="Heading4">
    <w:name w:val="heading 4"/>
    <w:basedOn w:val="Normal"/>
    <w:next w:val="BodyText"/>
    <w:link w:val="Heading4Char"/>
    <w:autoRedefine/>
    <w:qFormat/>
    <w:rsid w:val="00BF649B"/>
    <w:pPr>
      <w:keepNext/>
      <w:spacing w:before="120"/>
      <w:ind w:right="288"/>
      <w:outlineLvl w:val="3"/>
    </w:pPr>
    <w:rPr>
      <w:rFonts w:eastAsia="Times New Roman"/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47922"/>
    <w:rPr>
      <w:rFonts w:ascii="Calibri" w:eastAsia="SimSun" w:hAnsi="Calibri" w:cs="Arial"/>
      <w:b/>
      <w:bCs/>
      <w:kern w:val="32"/>
      <w:bdr w:val="nil"/>
      <w:lang w:val="en-US"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BB7565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BB7565"/>
  </w:style>
  <w:style w:type="paragraph" w:customStyle="1" w:styleId="References">
    <w:name w:val="References"/>
    <w:basedOn w:val="Normal"/>
    <w:autoRedefine/>
    <w:qFormat/>
    <w:rsid w:val="006A2745"/>
    <w:pPr>
      <w:spacing w:after="200" w:line="480" w:lineRule="auto"/>
      <w:ind w:left="720" w:hanging="720"/>
      <w:contextualSpacing/>
    </w:pPr>
    <w:rPr>
      <w:rFonts w:eastAsia="SimSun"/>
      <w:sz w:val="21"/>
    </w:rPr>
  </w:style>
  <w:style w:type="paragraph" w:styleId="ListParagraph">
    <w:name w:val="List Paragraph"/>
    <w:aliases w:val="Ref"/>
    <w:basedOn w:val="Normal"/>
    <w:autoRedefine/>
    <w:qFormat/>
    <w:rsid w:val="00BC7AD2"/>
    <w:pPr>
      <w:numPr>
        <w:numId w:val="5"/>
      </w:num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hd w:val="clear" w:color="auto" w:fill="FFFFFF"/>
      <w:spacing w:before="240" w:after="120" w:line="480" w:lineRule="auto"/>
    </w:pPr>
    <w:rPr>
      <w:rFonts w:eastAsia="Times New Roman"/>
      <w:kern w:val="2"/>
      <w:sz w:val="21"/>
      <w:lang w:eastAsia="ja-JP"/>
    </w:rPr>
  </w:style>
  <w:style w:type="character" w:customStyle="1" w:styleId="Heading4Char">
    <w:name w:val="Heading 4 Char"/>
    <w:link w:val="Heading4"/>
    <w:rsid w:val="00BF649B"/>
    <w:rPr>
      <w:rFonts w:eastAsia="Times New Roman"/>
      <w:bCs/>
      <w:i/>
      <w:szCs w:val="28"/>
    </w:rPr>
  </w:style>
  <w:style w:type="character" w:customStyle="1" w:styleId="Heading2Char">
    <w:name w:val="Heading 2 Char"/>
    <w:link w:val="Heading2"/>
    <w:rsid w:val="00BF649B"/>
    <w:rPr>
      <w:rFonts w:eastAsia="Times New Roman" w:cs="Arial"/>
      <w:b/>
      <w:bCs/>
      <w:iCs/>
    </w:rPr>
  </w:style>
  <w:style w:type="paragraph" w:customStyle="1" w:styleId="headeroven">
    <w:name w:val="header oven"/>
    <w:basedOn w:val="Header"/>
    <w:autoRedefine/>
    <w:qFormat/>
    <w:rsid w:val="00BF649B"/>
    <w:pPr>
      <w:tabs>
        <w:tab w:val="clear" w:pos="4680"/>
        <w:tab w:val="clear" w:pos="9360"/>
        <w:tab w:val="center" w:pos="4320"/>
        <w:tab w:val="right" w:pos="8640"/>
      </w:tabs>
      <w:jc w:val="right"/>
    </w:pPr>
    <w:rPr>
      <w:rFonts w:eastAsia="Times New Roman"/>
    </w:rPr>
  </w:style>
  <w:style w:type="paragraph" w:styleId="Header">
    <w:name w:val="header"/>
    <w:basedOn w:val="Normal"/>
    <w:link w:val="HeaderChar"/>
    <w:uiPriority w:val="99"/>
    <w:semiHidden/>
    <w:unhideWhenUsed/>
    <w:rsid w:val="00BF64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649B"/>
  </w:style>
  <w:style w:type="paragraph" w:customStyle="1" w:styleId="HeaderFooter">
    <w:name w:val="Header &amp; Footer"/>
    <w:rsid w:val="0035237E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</w:pPr>
    <w:rPr>
      <w:rFonts w:ascii="Helvetica Neue" w:eastAsia="Arial Unicode MS" w:hAnsi="Helvetica Neue" w:cs="Arial Unicode MS"/>
      <w:color w:val="000000"/>
      <w:bdr w:val="nil"/>
    </w:rPr>
  </w:style>
  <w:style w:type="paragraph" w:customStyle="1" w:styleId="Bodytextcarryon">
    <w:name w:val="Body text carryon"/>
    <w:basedOn w:val="BodyText"/>
    <w:link w:val="BodytextcarryonChar"/>
    <w:qFormat/>
    <w:rsid w:val="006D51EC"/>
    <w:pPr>
      <w:spacing w:after="0" w:line="480" w:lineRule="auto"/>
      <w:jc w:val="both"/>
    </w:pPr>
  </w:style>
  <w:style w:type="character" w:customStyle="1" w:styleId="BodytextcarryonChar">
    <w:name w:val="Body text carryon Char"/>
    <w:basedOn w:val="BodyTextChar"/>
    <w:link w:val="Bodytextcarryon"/>
    <w:rsid w:val="006D51EC"/>
    <w:rPr>
      <w:rFonts w:ascii="Times New Roman" w:eastAsia="Arial Unicode MS" w:hAnsi="Times New Roman" w:cs="Times New Roman"/>
      <w:bdr w:val="nil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847922"/>
    <w:pPr>
      <w:spacing w:after="240" w:line="240" w:lineRule="auto"/>
      <w:jc w:val="both"/>
    </w:pPr>
    <w:rPr>
      <w:iCs/>
      <w:color w:val="000000" w:themeColor="text1"/>
      <w:sz w:val="21"/>
      <w:szCs w:val="18"/>
    </w:rPr>
  </w:style>
  <w:style w:type="character" w:styleId="Strong">
    <w:name w:val="Strong"/>
    <w:basedOn w:val="DefaultParagraphFont"/>
    <w:uiPriority w:val="22"/>
    <w:qFormat/>
    <w:rsid w:val="0035237E"/>
    <w:rPr>
      <w:b/>
      <w:bCs/>
    </w:rPr>
  </w:style>
  <w:style w:type="paragraph" w:customStyle="1" w:styleId="GS">
    <w:name w:val="GS"/>
    <w:basedOn w:val="Bodytextcarryon"/>
    <w:link w:val="GSChar"/>
    <w:autoRedefine/>
    <w:qFormat/>
    <w:rsid w:val="006D51E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</w:pPr>
    <w:rPr>
      <w:rFonts w:ascii="Cambria Math" w:eastAsia="Times New Roman" w:hAnsi="Cambria Math" w:cs="Times"/>
      <w:noProof/>
      <w:color w:val="000000"/>
      <w:u w:color="000000"/>
      <w:lang w:eastAsia="ja-JP"/>
    </w:rPr>
  </w:style>
  <w:style w:type="paragraph" w:customStyle="1" w:styleId="bodyforGS">
    <w:name w:val="body for GS"/>
    <w:basedOn w:val="BodyText"/>
    <w:autoRedefine/>
    <w:qFormat/>
    <w:rsid w:val="006D51E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480" w:lineRule="auto"/>
    </w:pPr>
    <w:rPr>
      <w:rFonts w:eastAsia="Times New Roman" w:cs="Times"/>
      <w:noProof/>
      <w:color w:val="000000"/>
      <w:u w:color="000000"/>
      <w:bdr w:val="none" w:sz="0" w:space="0" w:color="auto"/>
      <w:lang w:eastAsia="zh-CN"/>
    </w:rPr>
  </w:style>
  <w:style w:type="character" w:customStyle="1" w:styleId="GSChar">
    <w:name w:val="GS Char"/>
    <w:basedOn w:val="BodytextcarryonChar"/>
    <w:link w:val="GS"/>
    <w:rsid w:val="006D51EC"/>
    <w:rPr>
      <w:rFonts w:ascii="Cambria Math" w:eastAsia="Times New Roman" w:hAnsi="Cambria Math" w:cs="Times"/>
      <w:noProof/>
      <w:color w:val="000000"/>
      <w:u w:color="000000"/>
      <w:bdr w:val="nil"/>
      <w:lang w:val="en-US" w:eastAsia="ja-JP"/>
    </w:rPr>
  </w:style>
  <w:style w:type="paragraph" w:customStyle="1" w:styleId="SFigCaption">
    <w:name w:val="SFig_Caption"/>
    <w:basedOn w:val="Caption"/>
    <w:autoRedefine/>
    <w:qFormat/>
    <w:rsid w:val="00245A5F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20"/>
      <w:jc w:val="center"/>
    </w:pPr>
    <w:rPr>
      <w:rFonts w:eastAsia="Times New Roman"/>
      <w:iCs w:val="0"/>
      <w:noProof/>
      <w:color w:val="auto"/>
      <w:szCs w:val="20"/>
      <w:bdr w:val="none" w:sz="0" w:space="0" w:color="auto"/>
      <w:lang w:eastAsia="zh-CN"/>
    </w:rPr>
  </w:style>
  <w:style w:type="paragraph" w:customStyle="1" w:styleId="Picture">
    <w:name w:val="Picture"/>
    <w:basedOn w:val="Bodytextcarryon"/>
    <w:link w:val="Picture0"/>
    <w:qFormat/>
    <w:rsid w:val="008D13F5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20" w:after="240" w:line="240" w:lineRule="auto"/>
      <w:jc w:val="center"/>
    </w:pPr>
    <w:rPr>
      <w:rFonts w:eastAsia="Times New Roman" w:cs="Times"/>
      <w:noProof/>
      <w:color w:val="000000"/>
      <w:u w:color="000000"/>
    </w:rPr>
  </w:style>
  <w:style w:type="character" w:customStyle="1" w:styleId="Picture0">
    <w:name w:val="Picture 字符"/>
    <w:basedOn w:val="BodytextcarryonChar"/>
    <w:link w:val="Picture"/>
    <w:rsid w:val="008D13F5"/>
    <w:rPr>
      <w:rFonts w:ascii="Times New Roman" w:eastAsia="Times New Roman" w:hAnsi="Times New Roman" w:cs="Times"/>
      <w:noProof/>
      <w:color w:val="000000"/>
      <w:u w:color="000000"/>
      <w:bdr w:val="nil"/>
      <w:lang w:val="en-US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261186"/>
    <w:pPr>
      <w:spacing w:after="0" w:line="240" w:lineRule="auto"/>
      <w:contextualSpacing/>
      <w:jc w:val="center"/>
    </w:pPr>
    <w:rPr>
      <w:rFonts w:ascii="Helvetica" w:eastAsiaTheme="majorEastAsia" w:hAnsi="Helvetica" w:cstheme="majorBidi"/>
      <w:spacing w:val="-10"/>
      <w:kern w:val="28"/>
      <w:sz w:val="40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61186"/>
    <w:rPr>
      <w:rFonts w:ascii="Helvetica" w:eastAsiaTheme="majorEastAsia" w:hAnsi="Helvetica" w:cstheme="majorBidi"/>
      <w:spacing w:val="-10"/>
      <w:kern w:val="28"/>
      <w:sz w:val="40"/>
      <w:szCs w:val="56"/>
      <w:bdr w:val="nil"/>
      <w:lang w:val="en-US" w:eastAsia="en-US"/>
    </w:rPr>
  </w:style>
  <w:style w:type="paragraph" w:customStyle="1" w:styleId="Author">
    <w:name w:val="Author"/>
    <w:basedOn w:val="Normal"/>
    <w:link w:val="AuthorChar"/>
    <w:qFormat/>
    <w:rsid w:val="0026118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200"/>
      <w:jc w:val="center"/>
    </w:pPr>
    <w:rPr>
      <w:rFonts w:asciiTheme="minorHAnsi" w:eastAsiaTheme="minorHAnsi" w:hAnsiTheme="minorHAnsi" w:cstheme="minorBidi"/>
      <w:b/>
      <w:szCs w:val="22"/>
      <w:bdr w:val="none" w:sz="0" w:space="0" w:color="auto"/>
      <w:lang w:val="en-GB"/>
    </w:rPr>
  </w:style>
  <w:style w:type="character" w:customStyle="1" w:styleId="AuthorChar">
    <w:name w:val="Author Char"/>
    <w:basedOn w:val="DefaultParagraphFont"/>
    <w:link w:val="Author"/>
    <w:rsid w:val="00261186"/>
    <w:rPr>
      <w:rFonts w:eastAsiaTheme="minorHAnsi"/>
      <w:b/>
      <w:szCs w:val="22"/>
      <w:lang w:val="en-GB" w:eastAsia="en-US"/>
    </w:rPr>
  </w:style>
  <w:style w:type="paragraph" w:styleId="NormalWeb">
    <w:name w:val="Normal (Web)"/>
    <w:basedOn w:val="Normal"/>
    <w:uiPriority w:val="99"/>
    <w:unhideWhenUsed/>
    <w:rsid w:val="0026118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eastAsia="Times New Roman"/>
      <w:bdr w:val="none" w:sz="0" w:space="0" w:color="auto"/>
      <w:lang w:eastAsia="zh-CN"/>
    </w:rPr>
  </w:style>
  <w:style w:type="character" w:styleId="CommentReference">
    <w:name w:val="annotation reference"/>
    <w:basedOn w:val="DefaultParagraphFont"/>
    <w:uiPriority w:val="99"/>
    <w:semiHidden/>
    <w:unhideWhenUsed/>
    <w:rsid w:val="00EF7E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7E6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7E65"/>
    <w:rPr>
      <w:rFonts w:ascii="Times New Roman" w:eastAsia="Arial Unicode MS" w:hAnsi="Times New Roman" w:cs="Times New Roman"/>
      <w:sz w:val="20"/>
      <w:szCs w:val="20"/>
      <w:bdr w:val="ni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7E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7E65"/>
    <w:rPr>
      <w:rFonts w:ascii="Times New Roman" w:eastAsia="Arial Unicode MS" w:hAnsi="Times New Roman" w:cs="Times New Roman"/>
      <w:b/>
      <w:bCs/>
      <w:sz w:val="20"/>
      <w:szCs w:val="20"/>
      <w:bdr w:val="nil"/>
      <w:lang w:eastAsia="en-US"/>
    </w:rPr>
  </w:style>
  <w:style w:type="paragraph" w:styleId="Revision">
    <w:name w:val="Revision"/>
    <w:hidden/>
    <w:uiPriority w:val="99"/>
    <w:semiHidden/>
    <w:rsid w:val="003462BE"/>
    <w:rPr>
      <w:rFonts w:ascii="Times New Roman" w:eastAsia="Arial Unicode MS" w:hAnsi="Times New Roman" w:cs="Times New Roman"/>
      <w:bdr w:val="nil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57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10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72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346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18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75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24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56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960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024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64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01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4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949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tiff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ti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3620</Words>
  <Characters>3657</Characters>
  <Application>Microsoft Office Word</Application>
  <DocSecurity>0</DocSecurity>
  <Lines>135</Lines>
  <Paragraphs>113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Xiaozhu Wei</dc:creator>
  <cp:lastModifiedBy>Xiaozhu Wei</cp:lastModifiedBy>
  <cp:revision>2</cp:revision>
  <dcterms:created xsi:type="dcterms:W3CDTF">2021-02-23T06:53:00Z</dcterms:created>
  <dcterms:modified xsi:type="dcterms:W3CDTF">2021-02-23T06:53:00Z</dcterms:modified>
</cp:coreProperties>
</file>