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AAABD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bookmarkStart w:id="0" w:name="_Hlk129778686"/>
      <w:r>
        <w:rPr>
          <w:rFonts w:ascii="Times New Roman" w:eastAsia="MS Mincho" w:hAnsi="Times New Roman" w:cs="Times New Roman"/>
          <w:b/>
          <w:szCs w:val="21"/>
        </w:rPr>
        <w:t>SUPPLEMENTARY DATA</w:t>
      </w:r>
    </w:p>
    <w:p w14:paraId="28B4DDA4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2"/>
        <w:rPr>
          <w:rFonts w:ascii="Times New Roman" w:eastAsia="MS Mincho" w:hAnsi="Times New Roman" w:cs="Times New Roman"/>
          <w:b/>
          <w:szCs w:val="21"/>
        </w:rPr>
      </w:pPr>
    </w:p>
    <w:p w14:paraId="3DA7B345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>Methods</w:t>
      </w:r>
    </w:p>
    <w:p w14:paraId="65953DF9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i/>
          <w:szCs w:val="21"/>
        </w:rPr>
      </w:pPr>
      <w:r>
        <w:rPr>
          <w:rFonts w:ascii="Times New Roman" w:eastAsia="MS Mincho" w:hAnsi="Times New Roman" w:cs="Times New Roman"/>
          <w:b/>
          <w:i/>
          <w:szCs w:val="21"/>
        </w:rPr>
        <w:t>Expression plasmid construction and overexpression</w:t>
      </w:r>
    </w:p>
    <w:p w14:paraId="2977667B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>AfPOD</w:t>
      </w:r>
    </w:p>
    <w:p w14:paraId="64A33B2C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0"/>
        <w:rPr>
          <w:rFonts w:ascii="Times New Roman" w:eastAsia="MS Mincho" w:hAnsi="Times New Roman" w:cs="Times New Roman"/>
          <w:szCs w:val="21"/>
        </w:rPr>
      </w:pPr>
      <w:r>
        <w:rPr>
          <w:rFonts w:ascii="Times New Roman" w:eastAsia="MS Mincho" w:hAnsi="Times New Roman" w:cs="Times New Roman"/>
          <w:szCs w:val="21"/>
        </w:rPr>
        <w:t>Based on the DNA sequence of the gene encoding AfPOD, oligonucleotide primers were designed for PCR amplification of the gene encoding</w:t>
      </w:r>
      <w:r>
        <w:rPr>
          <w:rFonts w:ascii="Times New Roman" w:eastAsia="MS Mincho" w:hAnsi="Times New Roman" w:cs="Times New Roman"/>
          <w:i/>
          <w:szCs w:val="21"/>
        </w:rPr>
        <w:t xml:space="preserve"> A. faecalis</w:t>
      </w:r>
      <w:r>
        <w:rPr>
          <w:rFonts w:ascii="Times New Roman" w:eastAsia="MS Mincho" w:hAnsi="Times New Roman" w:cs="Times New Roman"/>
          <w:szCs w:val="21"/>
        </w:rPr>
        <w:t xml:space="preserve"> POD, AfpodF and AfpodR. The nucleotide sequence of the primers used for DNA amplification is summarised in Supplementary Table S2. Amplification was performed using KOD-plus DNA polymerase (Toyobo, Osaka, Japan) and </w:t>
      </w:r>
      <w:r>
        <w:rPr>
          <w:rFonts w:ascii="Times New Roman" w:eastAsia="MS Mincho" w:hAnsi="Times New Roman" w:cs="Times New Roman"/>
          <w:i/>
          <w:szCs w:val="21"/>
        </w:rPr>
        <w:t>A. faecalis</w:t>
      </w:r>
      <w:r>
        <w:rPr>
          <w:rFonts w:ascii="Times New Roman" w:eastAsia="MS Mincho" w:hAnsi="Times New Roman" w:cs="Times New Roman"/>
          <w:szCs w:val="21"/>
        </w:rPr>
        <w:t xml:space="preserve"> genomic DNA as template. The resulting 783 bp PCR product was cloned into a pCR-blunt TOPO II vector (Invitrogen, Carlsbad, CA), resulting in pCRAfPOD. After confirmation of the nucleotide sequence, the insert of pCRAfPOD was digested with both </w:t>
      </w:r>
      <w:r>
        <w:rPr>
          <w:rFonts w:ascii="Times New Roman" w:eastAsia="MS Mincho" w:hAnsi="Times New Roman" w:cs="Times New Roman"/>
          <w:i/>
          <w:szCs w:val="21"/>
        </w:rPr>
        <w:t>Nde</w:t>
      </w:r>
      <w:r>
        <w:rPr>
          <w:rFonts w:ascii="Times New Roman" w:eastAsia="MS Mincho" w:hAnsi="Times New Roman" w:cs="Times New Roman"/>
          <w:szCs w:val="21"/>
        </w:rPr>
        <w:t xml:space="preserve">I and </w:t>
      </w:r>
      <w:r>
        <w:rPr>
          <w:rFonts w:ascii="Times New Roman" w:eastAsia="MS Mincho" w:hAnsi="Times New Roman" w:cs="Times New Roman"/>
          <w:i/>
          <w:szCs w:val="21"/>
        </w:rPr>
        <w:t>Xho</w:t>
      </w:r>
      <w:r>
        <w:rPr>
          <w:rFonts w:ascii="Times New Roman" w:eastAsia="MS Mincho" w:hAnsi="Times New Roman" w:cs="Times New Roman"/>
          <w:szCs w:val="21"/>
        </w:rPr>
        <w:t xml:space="preserve">I and then cloned into the same restriction site of a pET21a(+) expression vector (Novagen), yielding the expression plasmid pAfPOD. The pAfPOD was introduced into </w:t>
      </w:r>
      <w:r>
        <w:rPr>
          <w:rFonts w:ascii="Times New Roman" w:eastAsia="MS Mincho" w:hAnsi="Times New Roman" w:cs="Times New Roman"/>
          <w:i/>
          <w:szCs w:val="21"/>
        </w:rPr>
        <w:t>E. coli</w:t>
      </w:r>
      <w:r>
        <w:rPr>
          <w:rFonts w:ascii="Times New Roman" w:eastAsia="MS Mincho" w:hAnsi="Times New Roman" w:cs="Times New Roman"/>
          <w:szCs w:val="21"/>
        </w:rPr>
        <w:t xml:space="preserve"> BL21(DE3)-CodonPlus (Agilent Technologies) to generate the strain AfPOD for overexpression of recombinant AfPOD. </w:t>
      </w:r>
    </w:p>
    <w:p w14:paraId="6521F38E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0"/>
        <w:rPr>
          <w:rFonts w:ascii="Times New Roman" w:eastAsia="MS Mincho" w:hAnsi="Times New Roman" w:cs="Times New Roman"/>
          <w:szCs w:val="21"/>
        </w:rPr>
      </w:pPr>
    </w:p>
    <w:p w14:paraId="62896FFE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>AfPOD2</w:t>
      </w:r>
    </w:p>
    <w:p w14:paraId="4D9A4235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0"/>
        <w:rPr>
          <w:rFonts w:ascii="Times New Roman" w:eastAsia="MS Mincho" w:hAnsi="Times New Roman" w:cs="Times New Roman"/>
          <w:szCs w:val="21"/>
        </w:rPr>
      </w:pPr>
      <w:r>
        <w:rPr>
          <w:rFonts w:ascii="Times New Roman" w:eastAsia="MS Mincho" w:hAnsi="Times New Roman" w:cs="Times New Roman"/>
          <w:szCs w:val="21"/>
        </w:rPr>
        <w:t xml:space="preserve">Amplification of the gene encoding AfPOD2 (AFA2_02258) was carried out using a set of oligonucleotides, Afpod2F and Afpod2R, with a similar procedure for AfPOD. The 791 bp product obtained was cloned into a pCR-blunt TOPO II vector (Invitrogen), yielding pCRAfPOD2. To remove an inherent </w:t>
      </w:r>
      <w:r>
        <w:rPr>
          <w:rFonts w:ascii="Times New Roman" w:eastAsia="MS Mincho" w:hAnsi="Times New Roman" w:cs="Times New Roman"/>
          <w:i/>
          <w:szCs w:val="21"/>
        </w:rPr>
        <w:t>Nde</w:t>
      </w:r>
      <w:r>
        <w:rPr>
          <w:rFonts w:ascii="Times New Roman" w:eastAsia="MS Mincho" w:hAnsi="Times New Roman" w:cs="Times New Roman"/>
          <w:szCs w:val="21"/>
        </w:rPr>
        <w:t xml:space="preserve">I recognition sequence in the gene, a second synonymous substitution amplification was performed using Afpod2t420cF and Afpod2t420cR as primer sets and pCRAfPOD2 as template. The 4.33 kbp product obtained was introduced into the competent cells of </w:t>
      </w:r>
      <w:r>
        <w:rPr>
          <w:rFonts w:ascii="Times New Roman" w:eastAsia="MS Mincho" w:hAnsi="Times New Roman" w:cs="Times New Roman"/>
          <w:i/>
          <w:szCs w:val="21"/>
        </w:rPr>
        <w:t>E.coli</w:t>
      </w:r>
      <w:r>
        <w:rPr>
          <w:rFonts w:ascii="Times New Roman" w:eastAsia="MS Mincho" w:hAnsi="Times New Roman" w:cs="Times New Roman"/>
          <w:szCs w:val="21"/>
        </w:rPr>
        <w:t xml:space="preserve"> strain JM109 for cyclisation of linear plasmid DNA by homologous recombination. After confirmation of the nucleotide sequence, the resulting insert of the pCRAfPOD2c420t plasmid was digested with both </w:t>
      </w:r>
      <w:r>
        <w:rPr>
          <w:rFonts w:ascii="Times New Roman" w:eastAsia="MS Mincho" w:hAnsi="Times New Roman" w:cs="Times New Roman"/>
          <w:i/>
          <w:szCs w:val="21"/>
        </w:rPr>
        <w:t>Nde</w:t>
      </w:r>
      <w:r>
        <w:rPr>
          <w:rFonts w:ascii="Times New Roman" w:eastAsia="MS Mincho" w:hAnsi="Times New Roman" w:cs="Times New Roman"/>
          <w:szCs w:val="21"/>
        </w:rPr>
        <w:t xml:space="preserve">I and </w:t>
      </w:r>
      <w:r>
        <w:rPr>
          <w:rFonts w:ascii="Times New Roman" w:eastAsia="MS Mincho" w:hAnsi="Times New Roman" w:cs="Times New Roman"/>
          <w:i/>
          <w:szCs w:val="21"/>
        </w:rPr>
        <w:t>Xho</w:t>
      </w:r>
      <w:r>
        <w:rPr>
          <w:rFonts w:ascii="Times New Roman" w:eastAsia="MS Mincho" w:hAnsi="Times New Roman" w:cs="Times New Roman"/>
          <w:szCs w:val="21"/>
        </w:rPr>
        <w:t xml:space="preserve">I and then cloned into the same restriction site of a pET21a(+) vector, yielding the expression plasmid pAfPOD2. The pAfPOD2 was introduced into the </w:t>
      </w:r>
      <w:r>
        <w:rPr>
          <w:rFonts w:ascii="Times New Roman" w:eastAsia="MS Mincho" w:hAnsi="Times New Roman" w:cs="Times New Roman"/>
          <w:i/>
          <w:szCs w:val="21"/>
        </w:rPr>
        <w:t>E. coli</w:t>
      </w:r>
      <w:r>
        <w:rPr>
          <w:rFonts w:ascii="Times New Roman" w:eastAsia="MS Mincho" w:hAnsi="Times New Roman" w:cs="Times New Roman"/>
          <w:szCs w:val="21"/>
        </w:rPr>
        <w:t xml:space="preserve"> host cells to generate the strain AfPOD2 for overexpression of recombinant AfPOD2.</w:t>
      </w:r>
    </w:p>
    <w:p w14:paraId="31EACA6A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0"/>
        <w:rPr>
          <w:rFonts w:ascii="Times New Roman" w:eastAsia="MS Mincho" w:hAnsi="Times New Roman" w:cs="Times New Roman"/>
          <w:szCs w:val="21"/>
        </w:rPr>
      </w:pPr>
    </w:p>
    <w:p w14:paraId="17641236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>AfPOD3</w:t>
      </w:r>
    </w:p>
    <w:p w14:paraId="751B62F4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0"/>
        <w:rPr>
          <w:rFonts w:ascii="Times New Roman" w:eastAsia="MS Mincho" w:hAnsi="Times New Roman" w:cs="Times New Roman"/>
          <w:szCs w:val="21"/>
        </w:rPr>
      </w:pPr>
      <w:r>
        <w:rPr>
          <w:rFonts w:ascii="Times New Roman" w:eastAsia="MS Mincho" w:hAnsi="Times New Roman" w:cs="Times New Roman"/>
          <w:szCs w:val="21"/>
        </w:rPr>
        <w:t xml:space="preserve">Amplification of the gene encoding AfPOD3 (AFA2_00520) was performed using a set of oligonucleotides, Afpod3F and Afpod3R, with a similar procedure for AfPOD. The 782 bp product was cloned into a pCR-blunt vector, resulting in pCRAfPOD3. To remove an inherent </w:t>
      </w:r>
      <w:r>
        <w:rPr>
          <w:rFonts w:ascii="Times New Roman" w:eastAsia="MS Mincho" w:hAnsi="Times New Roman" w:cs="Times New Roman"/>
          <w:i/>
          <w:szCs w:val="21"/>
        </w:rPr>
        <w:t>Nde</w:t>
      </w:r>
      <w:r>
        <w:rPr>
          <w:rFonts w:ascii="Times New Roman" w:eastAsia="MS Mincho" w:hAnsi="Times New Roman" w:cs="Times New Roman"/>
          <w:szCs w:val="21"/>
        </w:rPr>
        <w:t xml:space="preserve">I recognition sequence in the gene, the second amplification was performed using Afpod3t411cF and Afpod3t411cR as primer sets and pCRAfPOD3 as template. The 4.32 kbp product obtained was introduced into competent </w:t>
      </w:r>
      <w:r>
        <w:rPr>
          <w:rFonts w:ascii="Times New Roman" w:eastAsia="MS Mincho" w:hAnsi="Times New Roman" w:cs="Times New Roman"/>
          <w:i/>
          <w:szCs w:val="21"/>
        </w:rPr>
        <w:t>E. coli</w:t>
      </w:r>
      <w:r>
        <w:rPr>
          <w:rFonts w:ascii="Times New Roman" w:eastAsia="MS Mincho" w:hAnsi="Times New Roman" w:cs="Times New Roman"/>
          <w:szCs w:val="21"/>
        </w:rPr>
        <w:t xml:space="preserve"> cells for cyclisation as described above. After sequence confirmation, the insert of pCRAfPOD3c411t was digested with both </w:t>
      </w:r>
      <w:r>
        <w:rPr>
          <w:rFonts w:ascii="Times New Roman" w:eastAsia="MS Mincho" w:hAnsi="Times New Roman" w:cs="Times New Roman"/>
          <w:i/>
          <w:szCs w:val="21"/>
        </w:rPr>
        <w:t>Nde</w:t>
      </w:r>
      <w:r>
        <w:rPr>
          <w:rFonts w:ascii="Times New Roman" w:eastAsia="MS Mincho" w:hAnsi="Times New Roman" w:cs="Times New Roman"/>
          <w:szCs w:val="21"/>
        </w:rPr>
        <w:t xml:space="preserve">I and </w:t>
      </w:r>
      <w:r>
        <w:rPr>
          <w:rFonts w:ascii="Times New Roman" w:eastAsia="MS Mincho" w:hAnsi="Times New Roman" w:cs="Times New Roman"/>
          <w:i/>
          <w:szCs w:val="21"/>
        </w:rPr>
        <w:t>Xho</w:t>
      </w:r>
      <w:r>
        <w:rPr>
          <w:rFonts w:ascii="Times New Roman" w:eastAsia="MS Mincho" w:hAnsi="Times New Roman" w:cs="Times New Roman"/>
          <w:szCs w:val="21"/>
        </w:rPr>
        <w:t xml:space="preserve">I and then cloned into pET21a(+), yielding pAfPOD3. The plasmid was introduced into the host </w:t>
      </w:r>
      <w:r>
        <w:rPr>
          <w:rFonts w:ascii="Times New Roman" w:eastAsia="MS Mincho" w:hAnsi="Times New Roman" w:cs="Times New Roman"/>
          <w:i/>
          <w:szCs w:val="21"/>
        </w:rPr>
        <w:t xml:space="preserve">E. coli </w:t>
      </w:r>
      <w:r>
        <w:rPr>
          <w:rFonts w:ascii="Times New Roman" w:eastAsia="MS Mincho" w:hAnsi="Times New Roman" w:cs="Times New Roman"/>
          <w:szCs w:val="21"/>
        </w:rPr>
        <w:t>cells to generate the strain AfPOD3 for overexpression of AfPOD3.</w:t>
      </w:r>
    </w:p>
    <w:p w14:paraId="36B01377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szCs w:val="21"/>
        </w:rPr>
      </w:pPr>
    </w:p>
    <w:p w14:paraId="1BE79A91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>AxPOD2</w:t>
      </w:r>
    </w:p>
    <w:p w14:paraId="1F217A74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0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szCs w:val="21"/>
        </w:rPr>
        <w:t>The gene encoding the POD homolog (</w:t>
      </w:r>
      <w:r>
        <w:rPr>
          <w:rFonts w:ascii="Times New Roman" w:eastAsia="MS Gothic" w:hAnsi="Times New Roman" w:cs="Times New Roman"/>
          <w:noProof w:val="0"/>
          <w:kern w:val="0"/>
          <w:szCs w:val="21"/>
        </w:rPr>
        <w:t>AX27061_4127</w:t>
      </w:r>
      <w:r>
        <w:rPr>
          <w:rFonts w:ascii="Times New Roman" w:eastAsia="MS Mincho" w:hAnsi="Times New Roman" w:cs="Times New Roman"/>
          <w:szCs w:val="21"/>
        </w:rPr>
        <w:t xml:space="preserve">) was amplified using a set of oligonucleotides, Axpod2F and Axpod2R, as primers and the </w:t>
      </w:r>
      <w:r>
        <w:rPr>
          <w:rFonts w:ascii="Times New Roman" w:eastAsia="MS Mincho" w:hAnsi="Times New Roman" w:cs="Times New Roman"/>
          <w:i/>
          <w:szCs w:val="21"/>
        </w:rPr>
        <w:t>A. cycloclastes</w:t>
      </w:r>
      <w:r>
        <w:rPr>
          <w:rFonts w:ascii="Times New Roman" w:eastAsia="MS Mincho" w:hAnsi="Times New Roman" w:cs="Times New Roman"/>
          <w:szCs w:val="21"/>
        </w:rPr>
        <w:t xml:space="preserve"> genome DNA as template. The amplified 794 bp product was cloned into a pCR-blunt vector, resulting in pCRAxPOD2. After sequence confirmation, the plasmid insert was digested with both </w:t>
      </w:r>
      <w:r>
        <w:rPr>
          <w:rFonts w:ascii="Times New Roman" w:eastAsia="MS Mincho" w:hAnsi="Times New Roman" w:cs="Times New Roman"/>
          <w:i/>
          <w:szCs w:val="21"/>
        </w:rPr>
        <w:t>Nde</w:t>
      </w:r>
      <w:r>
        <w:rPr>
          <w:rFonts w:ascii="Times New Roman" w:eastAsia="MS Mincho" w:hAnsi="Times New Roman" w:cs="Times New Roman"/>
          <w:szCs w:val="21"/>
        </w:rPr>
        <w:t xml:space="preserve">I and </w:t>
      </w:r>
      <w:r>
        <w:rPr>
          <w:rFonts w:ascii="Times New Roman" w:eastAsia="MS Mincho" w:hAnsi="Times New Roman" w:cs="Times New Roman"/>
          <w:i/>
          <w:szCs w:val="21"/>
        </w:rPr>
        <w:t>Xho</w:t>
      </w:r>
      <w:r>
        <w:rPr>
          <w:rFonts w:ascii="Times New Roman" w:eastAsia="MS Mincho" w:hAnsi="Times New Roman" w:cs="Times New Roman"/>
          <w:szCs w:val="21"/>
        </w:rPr>
        <w:t xml:space="preserve">I and then cloned into the same restriction site of the pET21a(+) vector, yielding pAxPOD2. The plasmid was introduced into the </w:t>
      </w:r>
      <w:r>
        <w:rPr>
          <w:rFonts w:ascii="Times New Roman" w:eastAsia="MS Mincho" w:hAnsi="Times New Roman" w:cs="Times New Roman"/>
          <w:i/>
          <w:szCs w:val="21"/>
        </w:rPr>
        <w:t>E. coli</w:t>
      </w:r>
      <w:r>
        <w:rPr>
          <w:rFonts w:ascii="Times New Roman" w:eastAsia="MS Mincho" w:hAnsi="Times New Roman" w:cs="Times New Roman"/>
          <w:szCs w:val="21"/>
        </w:rPr>
        <w:t xml:space="preserve"> host cells to generate the strain AxPOD2 for overexpression of AxPOD2.</w:t>
      </w:r>
    </w:p>
    <w:p w14:paraId="62637C72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szCs w:val="21"/>
        </w:rPr>
      </w:pPr>
    </w:p>
    <w:p w14:paraId="1DAA061F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>NePOD</w:t>
      </w:r>
    </w:p>
    <w:p w14:paraId="1EB98B89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0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szCs w:val="21"/>
        </w:rPr>
        <w:t xml:space="preserve">The gene encoding the POD homolog (NE0048) was amplified using a set of oligonucleotides, NepodF and NepodR, as primers and the </w:t>
      </w:r>
      <w:r>
        <w:rPr>
          <w:rFonts w:ascii="Times New Roman" w:eastAsia="MS Mincho" w:hAnsi="Times New Roman" w:cs="Times New Roman"/>
          <w:i/>
          <w:szCs w:val="21"/>
        </w:rPr>
        <w:t>N. europaea</w:t>
      </w:r>
      <w:r>
        <w:rPr>
          <w:rFonts w:ascii="Times New Roman" w:eastAsia="MS Mincho" w:hAnsi="Times New Roman" w:cs="Times New Roman"/>
          <w:szCs w:val="21"/>
        </w:rPr>
        <w:t xml:space="preserve"> genome DNA as template. The amplified 783 bp product was cloned into a pCR-blunt vector, resulting in pCRNePOD. After sequence confirmation, the plasmid insert was digested with both </w:t>
      </w:r>
      <w:r>
        <w:rPr>
          <w:rFonts w:ascii="Times New Roman" w:eastAsia="MS Mincho" w:hAnsi="Times New Roman" w:cs="Times New Roman"/>
          <w:i/>
          <w:szCs w:val="21"/>
        </w:rPr>
        <w:t>Nhe</w:t>
      </w:r>
      <w:r>
        <w:rPr>
          <w:rFonts w:ascii="Times New Roman" w:eastAsia="MS Mincho" w:hAnsi="Times New Roman" w:cs="Times New Roman"/>
          <w:szCs w:val="21"/>
        </w:rPr>
        <w:t xml:space="preserve">I and </w:t>
      </w:r>
      <w:r>
        <w:rPr>
          <w:rFonts w:ascii="Times New Roman" w:eastAsia="MS Mincho" w:hAnsi="Times New Roman" w:cs="Times New Roman"/>
          <w:i/>
          <w:szCs w:val="21"/>
        </w:rPr>
        <w:t>Xho</w:t>
      </w:r>
      <w:r>
        <w:rPr>
          <w:rFonts w:ascii="Times New Roman" w:eastAsia="MS Mincho" w:hAnsi="Times New Roman" w:cs="Times New Roman"/>
          <w:szCs w:val="21"/>
        </w:rPr>
        <w:t xml:space="preserve">I and then cloned into the same restriction site of the pET21a(+) vector, yielding pNePOD. The plasmid was introduced into the </w:t>
      </w:r>
      <w:r>
        <w:rPr>
          <w:rFonts w:ascii="Times New Roman" w:eastAsia="MS Mincho" w:hAnsi="Times New Roman" w:cs="Times New Roman"/>
          <w:i/>
          <w:szCs w:val="21"/>
        </w:rPr>
        <w:t>E. coli</w:t>
      </w:r>
      <w:r>
        <w:rPr>
          <w:rFonts w:ascii="Times New Roman" w:eastAsia="MS Mincho" w:hAnsi="Times New Roman" w:cs="Times New Roman"/>
          <w:szCs w:val="21"/>
        </w:rPr>
        <w:t xml:space="preserve"> host cells to generate the strain NePOD for overexpression of NePOD.</w:t>
      </w:r>
    </w:p>
    <w:p w14:paraId="4F2ACA0E" w14:textId="77777777" w:rsidR="003956F7" w:rsidRDefault="003956F7" w:rsidP="003956F7">
      <w:pPr>
        <w:adjustRightInd w:val="0"/>
        <w:snapToGrid w:val="0"/>
        <w:spacing w:line="360" w:lineRule="auto"/>
        <w:ind w:firstLineChars="200" w:firstLine="422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b/>
          <w:kern w:val="0"/>
          <w:szCs w:val="21"/>
        </w:rPr>
        <w:br w:type="page"/>
      </w:r>
    </w:p>
    <w:p w14:paraId="37965946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bookmarkStart w:id="1" w:name="_Hlk129778735"/>
      <w:bookmarkEnd w:id="0"/>
      <w:r>
        <w:rPr>
          <w:rFonts w:ascii="Times New Roman" w:eastAsia="MS Mincho" w:hAnsi="Times New Roman" w:cs="Times New Roman"/>
          <w:b/>
          <w:szCs w:val="21"/>
        </w:rPr>
        <w:lastRenderedPageBreak/>
        <w:t>Supplementary Table S1. Distribution of</w:t>
      </w:r>
      <w:r>
        <w:rPr>
          <w:rFonts w:ascii="Times New Roman" w:eastAsia="MS Mincho" w:hAnsi="Times New Roman" w:cs="Times New Roman"/>
          <w:b/>
          <w:i/>
          <w:szCs w:val="21"/>
        </w:rPr>
        <w:t xml:space="preserve"> pod</w:t>
      </w:r>
      <w:r>
        <w:rPr>
          <w:rFonts w:ascii="Times New Roman" w:eastAsia="MS Mincho" w:hAnsi="Times New Roman" w:cs="Times New Roman"/>
          <w:b/>
          <w:szCs w:val="21"/>
        </w:rPr>
        <w:t xml:space="preserve"> genes in the microorganisms included in the KEGG genome database.</w:t>
      </w:r>
    </w:p>
    <w:p w14:paraId="1DEB9245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 xml:space="preserve"> </w:t>
      </w:r>
      <w:r>
        <w:rPr>
          <w:rFonts w:ascii="Times New Roman" w:eastAsia="MS Mincho" w:hAnsi="Times New Roman" w:cs="Times New Roman"/>
          <w:szCs w:val="21"/>
        </w:rPr>
        <w:t>(Attachment file)</w:t>
      </w:r>
    </w:p>
    <w:p w14:paraId="7157319D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szCs w:val="21"/>
        </w:rPr>
      </w:pPr>
    </w:p>
    <w:p w14:paraId="391737FE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b/>
          <w:szCs w:val="21"/>
        </w:rPr>
      </w:pPr>
      <w:r>
        <w:rPr>
          <w:rFonts w:ascii="Times New Roman" w:eastAsia="MS Mincho" w:hAnsi="Times New Roman" w:cs="Times New Roman"/>
          <w:b/>
          <w:szCs w:val="21"/>
        </w:rPr>
        <w:t>Supplementary Table S2. Nucleotide sequences of PCR primers.</w:t>
      </w: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1555"/>
        <w:gridCol w:w="4961"/>
        <w:gridCol w:w="3118"/>
      </w:tblGrid>
      <w:tr w:rsidR="003956F7" w14:paraId="412015CB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CABD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name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88BC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Sequence (5’-&gt;3’)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4020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Remarks</w:t>
            </w:r>
          </w:p>
        </w:tc>
      </w:tr>
      <w:tr w:rsidR="003956F7" w14:paraId="665026DA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E47E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bCs/>
                <w:szCs w:val="21"/>
              </w:rPr>
              <w:t>AfpodF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5DC9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C</w:t>
            </w: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CATATG</w:t>
            </w:r>
            <w:r>
              <w:rPr>
                <w:rFonts w:ascii="Times New Roman" w:eastAsia="MS Mincho" w:hAnsi="Times New Roman" w:cs="Times New Roman"/>
                <w:szCs w:val="21"/>
              </w:rPr>
              <w:t>GATACCCCACTCAGAGA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C1B6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Nde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5E2477DD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5AD4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bCs/>
                <w:szCs w:val="21"/>
              </w:rPr>
            </w:pPr>
            <w:r>
              <w:rPr>
                <w:rFonts w:ascii="Times New Roman" w:eastAsia="MS Mincho" w:hAnsi="Times New Roman" w:cs="Times New Roman"/>
                <w:bCs/>
                <w:szCs w:val="21"/>
              </w:rPr>
              <w:t>AfpodR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447F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G</w:t>
            </w: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CTCGAG</w:t>
            </w:r>
            <w:r>
              <w:rPr>
                <w:rFonts w:ascii="Times New Roman" w:eastAsia="MS Mincho" w:hAnsi="Times New Roman" w:cs="Times New Roman"/>
                <w:szCs w:val="21"/>
              </w:rPr>
              <w:t>TCAGCGAGTTTTAGTTAAGGGCG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6891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Xho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43100439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366C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bCs/>
                <w:szCs w:val="21"/>
              </w:rPr>
              <w:t>Afpod2F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9E9B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T</w:t>
            </w: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CATAT G</w:t>
            </w:r>
            <w:r>
              <w:rPr>
                <w:rFonts w:ascii="Times New Roman" w:eastAsia="MS Mincho" w:hAnsi="Times New Roman" w:cs="Times New Roman"/>
                <w:szCs w:val="21"/>
              </w:rPr>
              <w:t>AGTGACACCATGAGCTTGTC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8430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Nde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39F0CF04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CFEE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Afpod2R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B368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kern w:val="0"/>
                <w:szCs w:val="21"/>
              </w:rPr>
            </w:pP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MS Mincho" w:hAnsi="Times New Roman" w:cs="Times New Roman"/>
                <w:kern w:val="0"/>
                <w:szCs w:val="21"/>
                <w:u w:val="single"/>
              </w:rPr>
              <w:t>CTCGAG</w:t>
            </w: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CTCAAAAACATCCGTATGGC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5D5F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Xho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3B2076BC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AD8F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Afpod2t420cF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3060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kern w:val="0"/>
                <w:szCs w:val="21"/>
              </w:rPr>
            </w:pP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ATGTATCCCA</w:t>
            </w:r>
            <w:r>
              <w:rPr>
                <w:rFonts w:ascii="Times New Roman" w:eastAsia="MS Mincho" w:hAnsi="Times New Roman" w:cs="Times New Roman"/>
                <w:kern w:val="0"/>
                <w:szCs w:val="21"/>
                <w:u w:val="single"/>
              </w:rPr>
              <w:t>C</w:t>
            </w: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ATGGACAACT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C28" w14:textId="77777777" w:rsidR="003956F7" w:rsidRDefault="003956F7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Synonymous substitution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eastAsia="MS Mincho" w:hAnsi="Times New Roman" w:cs="Times New Roman"/>
                <w:szCs w:val="21"/>
              </w:rPr>
              <w:t xml:space="preserve">o remove an inherent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Nde</w:t>
            </w:r>
            <w:r>
              <w:rPr>
                <w:rFonts w:ascii="Times New Roman" w:eastAsia="MS Mincho" w:hAnsi="Times New Roman" w:cs="Times New Roman"/>
                <w:szCs w:val="21"/>
              </w:rPr>
              <w:t>I s</w:t>
            </w:r>
            <w:r>
              <w:rPr>
                <w:rFonts w:ascii="Times New Roman" w:hAnsi="Times New Roman" w:cs="Times New Roman"/>
                <w:szCs w:val="21"/>
              </w:rPr>
              <w:t>ite underlined</w:t>
            </w:r>
            <w:r>
              <w:rPr>
                <w:rFonts w:ascii="Times New Roman" w:eastAsia="MS Mincho" w:hAnsi="Times New Roman" w:cs="Times New Roman"/>
                <w:szCs w:val="21"/>
              </w:rPr>
              <w:t xml:space="preserve"> </w:t>
            </w:r>
          </w:p>
        </w:tc>
      </w:tr>
      <w:tr w:rsidR="003956F7" w14:paraId="68297C3F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D9B8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Afpod2t420cR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565C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kern w:val="0"/>
                <w:szCs w:val="21"/>
              </w:rPr>
            </w:pP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AGTTGTCCAT</w:t>
            </w:r>
            <w:r>
              <w:rPr>
                <w:rFonts w:ascii="Times New Roman" w:eastAsia="MS Mincho" w:hAnsi="Times New Roman" w:cs="Times New Roman"/>
                <w:kern w:val="0"/>
                <w:szCs w:val="21"/>
                <w:u w:val="single"/>
              </w:rPr>
              <w:t>G</w:t>
            </w: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TGGGATACAT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048E" w14:textId="77777777" w:rsidR="003956F7" w:rsidRDefault="003956F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956F7" w14:paraId="4E6B7BB4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73BA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Afpod3F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5D32" w14:textId="77777777" w:rsidR="003956F7" w:rsidRDefault="003956F7">
            <w:pPr>
              <w:pStyle w:val="Header"/>
              <w:shd w:val="clear" w:color="auto" w:fill="FFFFFF"/>
              <w:adjustRightIn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</w:t>
            </w: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CATATG</w:t>
            </w:r>
            <w:r>
              <w:rPr>
                <w:rFonts w:ascii="Times New Roman" w:eastAsia="MS Mincho" w:hAnsi="Times New Roman" w:cs="Times New Roman"/>
                <w:szCs w:val="21"/>
              </w:rPr>
              <w:t>AAGATTCAAGAGAAAAACCAGATT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0A99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Nde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323D19E8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865B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Afpod3R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FBFF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kern w:val="0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</w:t>
            </w: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CTCGAG</w:t>
            </w:r>
            <w:r>
              <w:rPr>
                <w:rFonts w:ascii="Times New Roman" w:eastAsia="MS Mincho" w:hAnsi="Times New Roman" w:cs="Times New Roman"/>
                <w:szCs w:val="21"/>
              </w:rPr>
              <w:t>CAGCAGCACACCGCCATCA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1C2F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Xho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53A517E3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A328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Afpod3t411cF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397B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kern w:val="0"/>
                <w:szCs w:val="21"/>
              </w:rPr>
            </w:pP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GTGGCTCA</w:t>
            </w:r>
            <w:r>
              <w:rPr>
                <w:rFonts w:ascii="Times New Roman" w:eastAsia="MS Mincho" w:hAnsi="Times New Roman" w:cs="Times New Roman"/>
                <w:kern w:val="0"/>
                <w:szCs w:val="21"/>
                <w:u w:val="single"/>
              </w:rPr>
              <w:t>C</w:t>
            </w:r>
            <w:r>
              <w:rPr>
                <w:rFonts w:ascii="Times New Roman" w:eastAsia="MS Mincho" w:hAnsi="Times New Roman" w:cs="Times New Roman"/>
                <w:kern w:val="0"/>
                <w:szCs w:val="21"/>
              </w:rPr>
              <w:t>ATGGACGCAACCCCT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F893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Synonymous substitution </w:t>
            </w:r>
            <w:r>
              <w:rPr>
                <w:rFonts w:ascii="Times New Roman" w:hAnsi="Times New Roman" w:cs="Times New Roman"/>
                <w:szCs w:val="21"/>
              </w:rPr>
              <w:t>t</w:t>
            </w:r>
            <w:r>
              <w:rPr>
                <w:rFonts w:ascii="Times New Roman" w:eastAsia="MS Mincho" w:hAnsi="Times New Roman" w:cs="Times New Roman"/>
                <w:szCs w:val="21"/>
              </w:rPr>
              <w:t xml:space="preserve">o remove an inherent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Nde</w:t>
            </w:r>
            <w:r>
              <w:rPr>
                <w:rFonts w:ascii="Times New Roman" w:eastAsia="MS Mincho" w:hAnsi="Times New Roman" w:cs="Times New Roman"/>
                <w:szCs w:val="21"/>
              </w:rPr>
              <w:t>I s</w:t>
            </w:r>
            <w:r>
              <w:rPr>
                <w:rFonts w:ascii="Times New Roman" w:hAnsi="Times New Roman" w:cs="Times New Roman"/>
                <w:szCs w:val="21"/>
              </w:rPr>
              <w:t>ite underlined</w:t>
            </w:r>
          </w:p>
        </w:tc>
      </w:tr>
      <w:tr w:rsidR="003956F7" w14:paraId="780991F9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3C4C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Afpod3t411cR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31D6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GCGTCCAT</w:t>
            </w: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G</w:t>
            </w:r>
            <w:r>
              <w:rPr>
                <w:rFonts w:ascii="Times New Roman" w:eastAsia="MS Mincho" w:hAnsi="Times New Roman" w:cs="Times New Roman"/>
                <w:szCs w:val="21"/>
              </w:rPr>
              <w:t>TGAGCCACAGCCAAA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ACE4" w14:textId="77777777" w:rsidR="003956F7" w:rsidRDefault="003956F7">
            <w:pPr>
              <w:rPr>
                <w:rFonts w:ascii="Times New Roman" w:eastAsia="MS Mincho" w:hAnsi="Times New Roman" w:cs="Times New Roman"/>
                <w:szCs w:val="21"/>
              </w:rPr>
            </w:pPr>
          </w:p>
        </w:tc>
      </w:tr>
      <w:tr w:rsidR="003956F7" w14:paraId="55BC87FD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F412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Axpod2F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1EB1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Gothic" w:hAnsi="Times New Roman" w:cs="Times New Roman"/>
                <w:noProof w:val="0"/>
                <w:kern w:val="0"/>
                <w:szCs w:val="21"/>
              </w:rPr>
              <w:t>A</w:t>
            </w:r>
            <w:r>
              <w:rPr>
                <w:rFonts w:ascii="Times New Roman" w:eastAsia="MS Gothic" w:hAnsi="Times New Roman" w:cs="Times New Roman"/>
                <w:noProof w:val="0"/>
                <w:kern w:val="0"/>
                <w:szCs w:val="21"/>
                <w:u w:val="single"/>
              </w:rPr>
              <w:t>CATATG</w:t>
            </w:r>
            <w:r>
              <w:rPr>
                <w:rFonts w:ascii="Times New Roman" w:eastAsia="MS Gothic" w:hAnsi="Times New Roman" w:cs="Times New Roman"/>
                <w:noProof w:val="0"/>
                <w:kern w:val="0"/>
                <w:szCs w:val="21"/>
              </w:rPr>
              <w:t xml:space="preserve">GCCGATACGATGCATTTGG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696F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Nde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39C21870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C563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Axpod2R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3497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C</w:t>
            </w: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CTCGAG</w:t>
            </w:r>
            <w:r>
              <w:rPr>
                <w:rFonts w:ascii="Times New Roman" w:eastAsia="MS Mincho" w:hAnsi="Times New Roman" w:cs="Times New Roman"/>
                <w:szCs w:val="21"/>
              </w:rPr>
              <w:t>CGCGCCCAGCACGTCCGGGT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6596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Xho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3F366330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5E92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NepodF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F7BB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GCTAGC</w:t>
            </w:r>
            <w:r>
              <w:rPr>
                <w:rFonts w:ascii="Times New Roman" w:eastAsia="MS Mincho" w:hAnsi="Times New Roman" w:cs="Times New Roman"/>
                <w:szCs w:val="21"/>
              </w:rPr>
              <w:t>GAAACGTTTGATCTCGACAAG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A1F7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Nhe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tr w:rsidR="003956F7" w14:paraId="5FA5BD53" w14:textId="77777777" w:rsidTr="003956F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F5D7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>NepodR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04F0" w14:textId="77777777" w:rsidR="003956F7" w:rsidRDefault="003956F7">
            <w:pPr>
              <w:adjustRightInd w:val="0"/>
              <w:snapToGrid w:val="0"/>
              <w:jc w:val="both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  <w:u w:val="single"/>
              </w:rPr>
              <w:t>CTCGAG</w:t>
            </w:r>
            <w:r>
              <w:rPr>
                <w:rFonts w:ascii="Times New Roman" w:eastAsia="MS Mincho" w:hAnsi="Times New Roman" w:cs="Times New Roman"/>
                <w:szCs w:val="21"/>
              </w:rPr>
              <w:t>CAAACAGTCGGAACA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17C6" w14:textId="77777777" w:rsidR="003956F7" w:rsidRDefault="003956F7">
            <w:pPr>
              <w:adjustRightInd w:val="0"/>
              <w:snapToGrid w:val="0"/>
              <w:rPr>
                <w:rFonts w:ascii="Times New Roman" w:eastAsia="MS Mincho" w:hAnsi="Times New Roman" w:cs="Times New Roman"/>
                <w:szCs w:val="21"/>
              </w:rPr>
            </w:pPr>
            <w:r>
              <w:rPr>
                <w:rFonts w:ascii="Times New Roman" w:eastAsia="MS Mincho" w:hAnsi="Times New Roman" w:cs="Times New Roman"/>
                <w:szCs w:val="21"/>
              </w:rPr>
              <w:t xml:space="preserve">Artificial </w:t>
            </w:r>
            <w:r>
              <w:rPr>
                <w:rFonts w:ascii="Times New Roman" w:eastAsia="MS Mincho" w:hAnsi="Times New Roman" w:cs="Times New Roman"/>
                <w:i/>
                <w:szCs w:val="21"/>
              </w:rPr>
              <w:t>Xho</w:t>
            </w:r>
            <w:r>
              <w:rPr>
                <w:rFonts w:ascii="Times New Roman" w:eastAsia="MS Mincho" w:hAnsi="Times New Roman" w:cs="Times New Roman"/>
                <w:szCs w:val="21"/>
              </w:rPr>
              <w:t>I site underlined.</w:t>
            </w:r>
          </w:p>
        </w:tc>
      </w:tr>
      <w:bookmarkEnd w:id="1"/>
    </w:tbl>
    <w:p w14:paraId="745D1469" w14:textId="77777777" w:rsidR="003956F7" w:rsidRDefault="003956F7" w:rsidP="003956F7">
      <w:pPr>
        <w:adjustRightInd w:val="0"/>
        <w:snapToGrid w:val="0"/>
        <w:spacing w:line="360" w:lineRule="auto"/>
        <w:rPr>
          <w:rFonts w:ascii="Times New Roman" w:eastAsia="MS Mincho" w:hAnsi="Times New Roman" w:cs="Times New Roman"/>
          <w:szCs w:val="21"/>
        </w:rPr>
      </w:pPr>
    </w:p>
    <w:p w14:paraId="71245F6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F7"/>
    <w:rsid w:val="003956F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BE665"/>
  <w15:chartTrackingRefBased/>
  <w15:docId w15:val="{F1D86795-3DC2-439A-8918-2A1B46EB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F7"/>
    <w:pPr>
      <w:spacing w:after="0" w:line="240" w:lineRule="auto"/>
    </w:pPr>
    <w:rPr>
      <w:rFonts w:eastAsiaTheme="minorEastAsia"/>
      <w:noProof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56F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6F7"/>
    <w:rPr>
      <w:rFonts w:eastAsiaTheme="minorEastAsia"/>
      <w:noProof/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3956F7"/>
    <w:pPr>
      <w:spacing w:after="0" w:line="240" w:lineRule="auto"/>
    </w:pPr>
    <w:rPr>
      <w:rFonts w:eastAsiaTheme="minorEastAsia"/>
      <w:kern w:val="2"/>
      <w:sz w:val="21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4357</Characters>
  <Application>Microsoft Office Word</Application>
  <DocSecurity>0</DocSecurity>
  <Lines>36</Lines>
  <Paragraphs>10</Paragraphs>
  <ScaleCrop>false</ScaleCrop>
  <Company>Springer Nature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2023-03-31T06:45:00Z</dcterms:created>
  <dcterms:modified xsi:type="dcterms:W3CDTF">2023-03-31T06:45:00Z</dcterms:modified>
</cp:coreProperties>
</file>