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5A26B" w14:textId="77777777" w:rsidR="00E0798B" w:rsidRDefault="00E0798B" w:rsidP="00E0798B">
      <w:pPr>
        <w:spacing w:line="480" w:lineRule="auto"/>
        <w:rPr>
          <w:rFonts w:ascii="Times New Roman" w:hAnsi="Times New Roman" w:cs="Times New Roman"/>
          <w:b/>
          <w:sz w:val="24"/>
          <w:szCs w:val="24"/>
        </w:rPr>
      </w:pPr>
      <w:r w:rsidRPr="00D43B0A">
        <w:rPr>
          <w:rFonts w:ascii="Times New Roman" w:eastAsia="宋体" w:hAnsi="Times New Roman" w:cs="Times New Roman"/>
          <w:b/>
          <w:sz w:val="24"/>
          <w:szCs w:val="24"/>
        </w:rPr>
        <w:t>Figure</w:t>
      </w:r>
      <w:r>
        <w:rPr>
          <w:rFonts w:ascii="Times New Roman" w:eastAsia="宋体" w:hAnsi="Times New Roman" w:cs="Times New Roman"/>
          <w:b/>
          <w:sz w:val="24"/>
          <w:szCs w:val="24"/>
        </w:rPr>
        <w:t xml:space="preserve"> S</w:t>
      </w:r>
      <w:r w:rsidRPr="00D43B0A">
        <w:rPr>
          <w:rFonts w:ascii="Times New Roman" w:eastAsia="宋体" w:hAnsi="Times New Roman" w:cs="Times New Roman"/>
          <w:b/>
          <w:sz w:val="24"/>
          <w:szCs w:val="24"/>
        </w:rPr>
        <w:t>1</w:t>
      </w:r>
      <w:r>
        <w:rPr>
          <w:rFonts w:ascii="Times New Roman" w:eastAsia="宋体" w:hAnsi="Times New Roman" w:cs="Times New Roman"/>
          <w:bCs/>
          <w:sz w:val="24"/>
          <w:szCs w:val="24"/>
        </w:rPr>
        <w:t xml:space="preserve"> </w:t>
      </w:r>
      <w:r w:rsidRPr="00307280">
        <w:rPr>
          <w:rFonts w:ascii="Times New Roman" w:hAnsi="Times New Roman" w:cs="Times New Roman"/>
          <w:b/>
          <w:sz w:val="24"/>
          <w:szCs w:val="24"/>
        </w:rPr>
        <w:t>Prognostic analysis of 8 hypoxia-associated gene signature in the GSE42743 and GSE117973.</w:t>
      </w:r>
    </w:p>
    <w:p w14:paraId="7634C9E5" w14:textId="77777777" w:rsidR="00E0798B" w:rsidRPr="004A3D98" w:rsidRDefault="00E0798B" w:rsidP="00E0798B">
      <w:pPr>
        <w:spacing w:line="480" w:lineRule="auto"/>
        <w:rPr>
          <w:rFonts w:ascii="Times New Roman" w:hAnsi="Times New Roman" w:cs="Times New Roman"/>
          <w:bCs/>
          <w:sz w:val="24"/>
          <w:szCs w:val="24"/>
        </w:rPr>
      </w:pPr>
      <w:r w:rsidRPr="004A3D98">
        <w:rPr>
          <w:rFonts w:ascii="Times New Roman" w:hAnsi="Times New Roman" w:cs="Times New Roman"/>
          <w:bCs/>
          <w:sz w:val="24"/>
          <w:szCs w:val="24"/>
        </w:rPr>
        <w:t>(A) Time-dependent ROC analysis of HNSCC patients in the GSE42743. (B) Time-dependent ROC analysis of HNSCC patients in the GSE117973. (C) Kaplan-Meier survival analysis of 103 HNSCC patients in the GSE42743. (D) Kaplan-Meier survival analysis of HNSCC patients in the GSE117973. (E) Characteristic risk score analysis of HNSCC patients in the GSE42743. (F) Characteristic risk score analysis of HNSCC patients in the GSE117973.</w:t>
      </w:r>
    </w:p>
    <w:p w14:paraId="5DE5823B" w14:textId="559EE93E" w:rsidR="000B12A2" w:rsidRDefault="000B12A2">
      <w:r>
        <w:rPr>
          <w:rFonts w:hint="eastAsia"/>
          <w:noProof/>
        </w:rPr>
        <w:drawing>
          <wp:inline distT="0" distB="0" distL="0" distR="0" wp14:anchorId="4C66D7AC" wp14:editId="5F63CE1A">
            <wp:extent cx="5274310" cy="501777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5017770"/>
                    </a:xfrm>
                    <a:prstGeom prst="rect">
                      <a:avLst/>
                    </a:prstGeom>
                  </pic:spPr>
                </pic:pic>
              </a:graphicData>
            </a:graphic>
          </wp:inline>
        </w:drawing>
      </w:r>
    </w:p>
    <w:p w14:paraId="1B6CBAC6" w14:textId="77777777" w:rsidR="00E0798B" w:rsidRDefault="00E0798B"/>
    <w:p w14:paraId="06A78DCE" w14:textId="77777777" w:rsidR="00E0798B" w:rsidRDefault="00E0798B">
      <w:pPr>
        <w:rPr>
          <w:rFonts w:hint="eastAsia"/>
        </w:rPr>
      </w:pPr>
    </w:p>
    <w:p w14:paraId="2C265A96" w14:textId="77777777" w:rsidR="00E0798B" w:rsidRDefault="00E0798B" w:rsidP="00E0798B">
      <w:pPr>
        <w:spacing w:line="480" w:lineRule="auto"/>
        <w:rPr>
          <w:rFonts w:ascii="Times New Roman" w:hAnsi="Times New Roman" w:cs="Times New Roman"/>
          <w:b/>
          <w:sz w:val="24"/>
          <w:szCs w:val="24"/>
        </w:rPr>
      </w:pPr>
      <w:r w:rsidRPr="00D43B0A">
        <w:rPr>
          <w:rFonts w:ascii="Times New Roman" w:eastAsia="宋体" w:hAnsi="Times New Roman" w:cs="Times New Roman"/>
          <w:b/>
          <w:sz w:val="24"/>
          <w:szCs w:val="24"/>
        </w:rPr>
        <w:lastRenderedPageBreak/>
        <w:t xml:space="preserve">Figure </w:t>
      </w:r>
      <w:r>
        <w:rPr>
          <w:rFonts w:ascii="Times New Roman" w:eastAsia="宋体" w:hAnsi="Times New Roman" w:cs="Times New Roman"/>
          <w:b/>
          <w:sz w:val="24"/>
          <w:szCs w:val="24"/>
        </w:rPr>
        <w:t>S2</w:t>
      </w:r>
      <w:r w:rsidRPr="00D4608B">
        <w:rPr>
          <w:rFonts w:ascii="Times New Roman" w:hAnsi="Times New Roman" w:cs="Times New Roman"/>
          <w:b/>
          <w:sz w:val="24"/>
          <w:szCs w:val="24"/>
        </w:rPr>
        <w:t>.</w:t>
      </w:r>
      <w:r w:rsidRPr="00307280">
        <w:rPr>
          <w:rFonts w:ascii="Times New Roman" w:hAnsi="Times New Roman" w:cs="Times New Roman"/>
          <w:b/>
          <w:sz w:val="24"/>
          <w:szCs w:val="24"/>
        </w:rPr>
        <w:t xml:space="preserve"> Kaplan-Meier survival curves for the high-risk and low-risk groups stratified by clinical </w:t>
      </w:r>
      <w:r>
        <w:rPr>
          <w:rFonts w:ascii="Times New Roman" w:hAnsi="Times New Roman" w:cs="Times New Roman" w:hint="eastAsia"/>
          <w:b/>
          <w:sz w:val="24"/>
          <w:szCs w:val="24"/>
        </w:rPr>
        <w:t>characteristics</w:t>
      </w:r>
      <w:r w:rsidRPr="00307280">
        <w:rPr>
          <w:rFonts w:ascii="Times New Roman" w:hAnsi="Times New Roman" w:cs="Times New Roman"/>
          <w:b/>
          <w:sz w:val="24"/>
          <w:szCs w:val="24"/>
        </w:rPr>
        <w:t>.</w:t>
      </w:r>
    </w:p>
    <w:p w14:paraId="566DFF96" w14:textId="77777777" w:rsidR="00E0798B" w:rsidRDefault="00E0798B" w:rsidP="00E0798B">
      <w:pPr>
        <w:spacing w:line="480" w:lineRule="auto"/>
        <w:rPr>
          <w:rFonts w:ascii="Times New Roman" w:hAnsi="Times New Roman" w:cs="Times New Roman"/>
          <w:bCs/>
          <w:sz w:val="24"/>
          <w:szCs w:val="24"/>
        </w:rPr>
      </w:pPr>
      <w:r w:rsidRPr="004A3D98">
        <w:rPr>
          <w:rFonts w:ascii="Times New Roman" w:hAnsi="Times New Roman" w:cs="Times New Roman"/>
          <w:bCs/>
          <w:sz w:val="24"/>
          <w:szCs w:val="24"/>
        </w:rPr>
        <w:t>(A) Age ≥60 years, (B) Age &lt; 60 years, (C) Gender (female), (D) Gender (male), (E) Grade I-II, (F) Grade III-IV, (G) Mstage M0 and (H) Mstage M1+Mx.</w:t>
      </w:r>
    </w:p>
    <w:p w14:paraId="6995D5AA" w14:textId="18BFDDD3" w:rsidR="00E0798B" w:rsidRDefault="00E0798B">
      <w:r>
        <w:rPr>
          <w:rFonts w:hint="eastAsia"/>
          <w:noProof/>
        </w:rPr>
        <w:drawing>
          <wp:inline distT="0" distB="0" distL="0" distR="0" wp14:anchorId="13ADAD6A" wp14:editId="686781AC">
            <wp:extent cx="5274310" cy="602234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6022340"/>
                    </a:xfrm>
                    <a:prstGeom prst="rect">
                      <a:avLst/>
                    </a:prstGeom>
                  </pic:spPr>
                </pic:pic>
              </a:graphicData>
            </a:graphic>
          </wp:inline>
        </w:drawing>
      </w:r>
    </w:p>
    <w:p w14:paraId="59BE2428" w14:textId="77777777" w:rsidR="00E0798B" w:rsidRDefault="00E0798B"/>
    <w:p w14:paraId="6F2132D9" w14:textId="77777777" w:rsidR="00E0798B" w:rsidRDefault="00E0798B"/>
    <w:p w14:paraId="48A3F3D1" w14:textId="77777777" w:rsidR="00E0798B" w:rsidRDefault="00E0798B"/>
    <w:p w14:paraId="67E6C450" w14:textId="77777777" w:rsidR="00E0798B" w:rsidRDefault="00E0798B"/>
    <w:p w14:paraId="56A2BAA0" w14:textId="77777777" w:rsidR="00E0798B" w:rsidRDefault="00E0798B"/>
    <w:p w14:paraId="373CA149" w14:textId="77777777" w:rsidR="00E0798B" w:rsidRDefault="00E0798B" w:rsidP="00E0798B">
      <w:pPr>
        <w:spacing w:line="480" w:lineRule="auto"/>
        <w:rPr>
          <w:rFonts w:ascii="Times New Roman" w:hAnsi="Times New Roman" w:cs="Times New Roman"/>
          <w:bCs/>
          <w:sz w:val="24"/>
          <w:szCs w:val="24"/>
        </w:rPr>
      </w:pPr>
      <w:r w:rsidRPr="00D43B0A">
        <w:rPr>
          <w:rFonts w:ascii="Times New Roman" w:eastAsia="宋体" w:hAnsi="Times New Roman" w:cs="Times New Roman"/>
          <w:b/>
          <w:sz w:val="24"/>
          <w:szCs w:val="24"/>
        </w:rPr>
        <w:lastRenderedPageBreak/>
        <w:t xml:space="preserve">Figure </w:t>
      </w:r>
      <w:r>
        <w:rPr>
          <w:rFonts w:ascii="Times New Roman" w:eastAsia="宋体" w:hAnsi="Times New Roman" w:cs="Times New Roman"/>
          <w:b/>
          <w:sz w:val="24"/>
          <w:szCs w:val="24"/>
        </w:rPr>
        <w:t>S3</w:t>
      </w:r>
      <w:r w:rsidRPr="00D4608B">
        <w:rPr>
          <w:rFonts w:ascii="Times New Roman" w:hAnsi="Times New Roman" w:cs="Times New Roman"/>
          <w:b/>
          <w:sz w:val="24"/>
          <w:szCs w:val="24"/>
        </w:rPr>
        <w:t xml:space="preserve">. </w:t>
      </w:r>
      <w:r w:rsidRPr="00307280">
        <w:rPr>
          <w:rFonts w:ascii="Times New Roman" w:hAnsi="Times New Roman" w:cs="Times New Roman"/>
          <w:b/>
          <w:sz w:val="24"/>
          <w:szCs w:val="24"/>
        </w:rPr>
        <w:t xml:space="preserve">Kaplan-Meier survival curves for the high-risk and low-risk groups stratified by clinical </w:t>
      </w:r>
      <w:r>
        <w:rPr>
          <w:rFonts w:ascii="Times New Roman" w:hAnsi="Times New Roman" w:cs="Times New Roman" w:hint="eastAsia"/>
          <w:b/>
          <w:sz w:val="24"/>
          <w:szCs w:val="24"/>
        </w:rPr>
        <w:t>characteristics</w:t>
      </w:r>
      <w:r w:rsidRPr="00307280">
        <w:rPr>
          <w:rFonts w:ascii="Times New Roman" w:hAnsi="Times New Roman" w:cs="Times New Roman"/>
          <w:b/>
          <w:sz w:val="24"/>
          <w:szCs w:val="24"/>
        </w:rPr>
        <w:t>.</w:t>
      </w:r>
    </w:p>
    <w:p w14:paraId="2C044D81" w14:textId="77777777" w:rsidR="00E0798B" w:rsidRPr="00106C5E" w:rsidRDefault="00E0798B" w:rsidP="00E0798B">
      <w:pPr>
        <w:spacing w:line="480" w:lineRule="auto"/>
        <w:rPr>
          <w:rFonts w:ascii="Times New Roman" w:hAnsi="Times New Roman" w:cs="Times New Roman"/>
          <w:bCs/>
          <w:sz w:val="24"/>
          <w:szCs w:val="24"/>
        </w:rPr>
      </w:pPr>
      <w:r w:rsidRPr="004A3D98">
        <w:rPr>
          <w:rFonts w:ascii="Times New Roman" w:hAnsi="Times New Roman" w:cs="Times New Roman"/>
          <w:bCs/>
          <w:sz w:val="24"/>
          <w:szCs w:val="24"/>
        </w:rPr>
        <w:t>(A) Nstage N+, (B) Nstage N0, (C) Radiation therapy NO</w:t>
      </w:r>
      <w:r>
        <w:rPr>
          <w:rFonts w:ascii="Times New Roman" w:hAnsi="Times New Roman" w:cs="Times New Roman"/>
          <w:bCs/>
          <w:sz w:val="24"/>
          <w:szCs w:val="24"/>
        </w:rPr>
        <w:t xml:space="preserve">, </w:t>
      </w:r>
      <w:r w:rsidRPr="004A3D98">
        <w:rPr>
          <w:rFonts w:ascii="Times New Roman" w:hAnsi="Times New Roman" w:cs="Times New Roman"/>
          <w:bCs/>
          <w:sz w:val="24"/>
          <w:szCs w:val="24"/>
        </w:rPr>
        <w:t xml:space="preserve">(D) Radiation therapy YES, (E) Stage I-II, (F) Stage III-IV, (G) Tstage T0-T2 and (H) Tstage T3-T4. </w:t>
      </w:r>
    </w:p>
    <w:p w14:paraId="64EACB8E" w14:textId="1641A67B" w:rsidR="00E0798B" w:rsidRDefault="00E0798B">
      <w:pPr>
        <w:rPr>
          <w:rFonts w:hint="eastAsia"/>
        </w:rPr>
      </w:pPr>
      <w:r>
        <w:rPr>
          <w:rFonts w:hint="eastAsia"/>
          <w:noProof/>
        </w:rPr>
        <w:drawing>
          <wp:inline distT="0" distB="0" distL="0" distR="0" wp14:anchorId="6F9C76AD" wp14:editId="50BBFA2A">
            <wp:extent cx="5274310" cy="6647180"/>
            <wp:effectExtent l="0" t="0" r="254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6647180"/>
                    </a:xfrm>
                    <a:prstGeom prst="rect">
                      <a:avLst/>
                    </a:prstGeom>
                  </pic:spPr>
                </pic:pic>
              </a:graphicData>
            </a:graphic>
          </wp:inline>
        </w:drawing>
      </w:r>
    </w:p>
    <w:sectPr w:rsidR="00E0798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GxMDQwNDQyNzG1MLBU0lEKTi0uzszPAykwrAUAUqUdHywAAAA="/>
  </w:docVars>
  <w:rsids>
    <w:rsidRoot w:val="00F92361"/>
    <w:rsid w:val="000B12A2"/>
    <w:rsid w:val="00B638C6"/>
    <w:rsid w:val="00D979F2"/>
    <w:rsid w:val="00E0798B"/>
    <w:rsid w:val="00F923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E9C5B"/>
  <w15:chartTrackingRefBased/>
  <w15:docId w15:val="{08C73031-33F9-434D-BDAE-CF70F15D5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161</Words>
  <Characters>923</Characters>
  <Application>Microsoft Office Word</Application>
  <DocSecurity>0</DocSecurity>
  <Lines>7</Lines>
  <Paragraphs>2</Paragraphs>
  <ScaleCrop>false</ScaleCrop>
  <Company/>
  <LinksUpToDate>false</LinksUpToDate>
  <CharactersWithSpaces>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dc:creator>
  <cp:keywords/>
  <dc:description/>
  <cp:lastModifiedBy>Jane</cp:lastModifiedBy>
  <cp:revision>3</cp:revision>
  <dcterms:created xsi:type="dcterms:W3CDTF">2023-03-28T12:43:00Z</dcterms:created>
  <dcterms:modified xsi:type="dcterms:W3CDTF">2023-03-28T12:51:00Z</dcterms:modified>
</cp:coreProperties>
</file>