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Times New Roman" w:hAnsi="Times New Roman" w:cs="Times New Roman" w:eastAsiaTheme="minorEastAsia"/>
          <w:b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</w:t>
      </w:r>
      <w:r>
        <w:rPr>
          <w:rFonts w:hint="default" w:ascii="Times New Roman" w:hAnsi="Times New Roman" w:cs="Times New Roman" w:eastAsiaTheme="minorEastAsia"/>
          <w:b/>
          <w:szCs w:val="21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sz w:val="21"/>
          <w:szCs w:val="21"/>
        </w:rPr>
        <w:t>Figure</w:t>
      </w:r>
    </w:p>
    <w:p>
      <w:pPr>
        <w:spacing w:line="360" w:lineRule="auto"/>
        <w:jc w:val="left"/>
        <w:rPr>
          <w:rFonts w:hint="default" w:ascii="Times New Roman" w:hAnsi="Times New Roman" w:cs="Times New Roman" w:eastAsiaTheme="minorEastAsia"/>
          <w:b/>
          <w:sz w:val="18"/>
          <w:szCs w:val="18"/>
        </w:rPr>
      </w:pPr>
      <w:r>
        <w:rPr>
          <w:rFonts w:hint="default" w:ascii="Times New Roman" w:hAnsi="Times New Roman" w:cs="Times New Roman" w:eastAsiaTheme="minorEastAsia"/>
          <w:b/>
          <w:sz w:val="18"/>
          <w:szCs w:val="18"/>
        </w:rPr>
        <w:drawing>
          <wp:inline distT="0" distB="0" distL="114300" distR="114300">
            <wp:extent cx="5325110" cy="5555615"/>
            <wp:effectExtent l="0" t="0" r="8890" b="6985"/>
            <wp:docPr id="11" name="图片 11" descr="华大胶回收鉴定图满A4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华大胶回收鉴定图满A4纸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5110" cy="555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F</w:t>
      </w:r>
      <w:r>
        <w:rPr>
          <w:rFonts w:hint="default" w:ascii="Times New Roman" w:hAnsi="Times New Roman" w:cs="Times New Roman" w:eastAsiaTheme="minorEastAsia"/>
          <w:b/>
          <w:sz w:val="20"/>
          <w:szCs w:val="20"/>
        </w:rPr>
        <w:t>igure 1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. </w:t>
      </w:r>
      <w:r>
        <w:rPr>
          <w:rFonts w:hint="default" w:ascii="Times New Roman" w:hAnsi="Times New Roman" w:cs="Times New Roman" w:eastAsiaTheme="minorEastAsia"/>
          <w:bCs/>
          <w:sz w:val="20"/>
          <w:szCs w:val="20"/>
        </w:rPr>
        <w:t>Multiplex PCR product agarose gel recovery and identification electropherogram</w:t>
      </w:r>
      <w:r>
        <w:rPr>
          <w:rFonts w:hint="default" w:ascii="Times New Roman" w:hAnsi="Times New Roman" w:cs="Times New Roman"/>
          <w:bCs/>
          <w:sz w:val="20"/>
          <w:szCs w:val="20"/>
        </w:rPr>
        <w:t>.</w:t>
      </w:r>
    </w:p>
    <w:p>
      <w:pPr>
        <w:spacing w:line="360" w:lineRule="auto"/>
        <w:jc w:val="left"/>
        <w:rPr>
          <w:rFonts w:hint="default" w:ascii="Times New Roman" w:hAnsi="Times New Roman" w:cs="Times New Roman" w:eastAsiaTheme="minorEastAsia"/>
          <w:b w:val="0"/>
          <w:bCs/>
          <w:sz w:val="20"/>
          <w:szCs w:val="20"/>
        </w:rPr>
      </w:pPr>
      <w:r>
        <w:rPr>
          <w:rFonts w:hint="default" w:ascii="Times New Roman" w:hAnsi="Times New Roman" w:cs="Times New Roman" w:eastAsiaTheme="minorEastAsia"/>
          <w:b w:val="0"/>
          <w:bCs/>
          <w:sz w:val="20"/>
          <w:szCs w:val="20"/>
        </w:rPr>
        <w:t>Note: The sample number corresponding to the serial number in the figure</w:t>
      </w:r>
    </w:p>
    <w:tbl>
      <w:tblPr>
        <w:tblStyle w:val="5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125"/>
        <w:gridCol w:w="1125"/>
        <w:gridCol w:w="1125"/>
        <w:gridCol w:w="1126"/>
        <w:gridCol w:w="1126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Serial number</w:t>
            </w:r>
          </w:p>
        </w:tc>
        <w:tc>
          <w:tcPr>
            <w:tcW w:w="11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Sample number</w:t>
            </w:r>
          </w:p>
        </w:tc>
        <w:tc>
          <w:tcPr>
            <w:tcW w:w="11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Serial number</w:t>
            </w:r>
          </w:p>
        </w:tc>
        <w:tc>
          <w:tcPr>
            <w:tcW w:w="11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Sample number</w:t>
            </w:r>
          </w:p>
        </w:tc>
        <w:tc>
          <w:tcPr>
            <w:tcW w:w="11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Serial number</w:t>
            </w:r>
          </w:p>
        </w:tc>
        <w:tc>
          <w:tcPr>
            <w:tcW w:w="112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Sample number</w:t>
            </w:r>
          </w:p>
        </w:tc>
        <w:tc>
          <w:tcPr>
            <w:tcW w:w="112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Serial number</w:t>
            </w:r>
          </w:p>
        </w:tc>
        <w:tc>
          <w:tcPr>
            <w:tcW w:w="112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Sample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M3S1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87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M20S3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98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M20BM5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112</w:t>
            </w:r>
          </w:p>
        </w:tc>
        <w:tc>
          <w:tcPr>
            <w:tcW w:w="1126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M12BM2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88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M12BM3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89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M12BM4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M12BM5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M3BM1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M3BM2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M20BM1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120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M3S9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M3BM3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M20BM2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122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M3BM4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84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M20BM3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109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M12S9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123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M3BM5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12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86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M20S2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M20BM4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111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  <w:t>M12BM1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spacing w:line="276" w:lineRule="auto"/>
              <w:jc w:val="left"/>
              <w:rPr>
                <w:rFonts w:hint="default" w:ascii="Times New Roman" w:hAnsi="Times New Roman" w:cs="Times New Roman" w:eastAsiaTheme="minorEastAsia"/>
                <w:bCs/>
                <w:sz w:val="20"/>
                <w:szCs w:val="20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cs="Times New Roman" w:eastAsiaTheme="minorEastAsia"/>
          <w:b/>
          <w:sz w:val="18"/>
          <w:szCs w:val="18"/>
        </w:rPr>
      </w:pPr>
      <w:r>
        <w:rPr>
          <w:rFonts w:hint="default" w:ascii="Times New Roman" w:hAnsi="Times New Roman" w:cs="Times New Roman"/>
          <w:color w:val="000000"/>
          <w:sz w:val="21"/>
          <w:szCs w:val="21"/>
        </w:rPr>
        <w:drawing>
          <wp:inline distT="0" distB="0" distL="114300" distR="114300">
            <wp:extent cx="5044440" cy="8858885"/>
            <wp:effectExtent l="0" t="0" r="10160" b="5715"/>
            <wp:docPr id="12" name="图片 12" descr="P-IGHV组图满A4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P-IGHV组图满A4纸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8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  <w:t>Figure 2-1.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0"/>
          <w:szCs w:val="20"/>
        </w:rPr>
        <w:t>P</w:t>
      </w:r>
      <w:r>
        <w:rPr>
          <w:rFonts w:hint="default" w:ascii="Times New Roman" w:hAnsi="Times New Roman" w:cs="Times New Roman" w:eastAsiaTheme="minorEastAsia"/>
          <w:b w:val="0"/>
          <w:bCs/>
          <w:sz w:val="20"/>
          <w:szCs w:val="20"/>
        </w:rPr>
        <w:t>seudogene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 xml:space="preserve"> sequence </w:t>
      </w:r>
      <w:r>
        <w:rPr>
          <w:rFonts w:hint="default" w:ascii="Times New Roman" w:hAnsi="Times New Roman" w:cs="Times New Roman"/>
          <w:i/>
          <w:iCs/>
          <w:color w:val="000000"/>
          <w:sz w:val="20"/>
          <w:szCs w:val="20"/>
        </w:rPr>
        <w:t>IGHV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 xml:space="preserve"> gene frequency in mice of different ages</w:t>
      </w:r>
      <w:r>
        <w:rPr>
          <w:rFonts w:hint="default" w:ascii="Times New Roman" w:hAnsi="Times New Roman" w:eastAsia="Times New Roman" w:cs="Times New Roman"/>
          <w:sz w:val="20"/>
          <w:szCs w:val="20"/>
        </w:rPr>
        <w:t xml:space="preserve">. </w:t>
      </w:r>
      <w:r>
        <w:rPr>
          <w:rFonts w:hint="default" w:ascii="Times New Roman" w:hAnsi="Times New Roman" w:eastAsia="Times New Roman" w:cs="Times New Roman"/>
          <w:b/>
          <w:bCs/>
          <w:sz w:val="20"/>
          <w:szCs w:val="20"/>
        </w:rPr>
        <w:t>a</w:t>
      </w:r>
      <w:r>
        <w:rPr>
          <w:rFonts w:hint="default" w:ascii="Times New Roman" w:hAnsi="Times New Roman" w:eastAsia="宋体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0"/>
          <w:szCs w:val="20"/>
        </w:rPr>
        <w:t xml:space="preserve">The 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gene frequency of the </w:t>
      </w:r>
      <w:r>
        <w:rPr>
          <w:rFonts w:hint="default" w:ascii="Times New Roman" w:hAnsi="Times New Roman" w:eastAsia="MinionPro" w:cs="Times New Roman"/>
          <w:b w:val="0"/>
          <w:bCs w:val="0"/>
          <w:i/>
          <w:iCs/>
          <w:sz w:val="20"/>
          <w:szCs w:val="20"/>
        </w:rPr>
        <w:t>IGHV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 gene in the bone marrow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B cells. </w:t>
      </w:r>
      <w: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  <w:t>b</w:t>
      </w:r>
      <w:r>
        <w:rPr>
          <w:rFonts w:hint="default" w:ascii="Times New Roman" w:hAnsi="Times New Roman" w:eastAsia="宋体" w:cs="Times New Roman"/>
          <w:b/>
          <w:bCs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0"/>
          <w:szCs w:val="20"/>
        </w:rPr>
        <w:t xml:space="preserve">The 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gene frequency of the </w:t>
      </w:r>
      <w:r>
        <w:rPr>
          <w:rFonts w:hint="default" w:ascii="Times New Roman" w:hAnsi="Times New Roman" w:eastAsia="MinionPro" w:cs="Times New Roman"/>
          <w:b w:val="0"/>
          <w:bCs w:val="0"/>
          <w:i/>
          <w:iCs/>
          <w:sz w:val="20"/>
          <w:szCs w:val="20"/>
        </w:rPr>
        <w:t>IGHV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 gene in the spleen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B cells. </w:t>
      </w:r>
      <w: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The gene frequency of the </w:t>
      </w:r>
      <w:r>
        <w:rPr>
          <w:rFonts w:hint="default" w:ascii="Times New Roman" w:hAnsi="Times New Roman" w:eastAsia="MinionPro" w:cs="Times New Roman"/>
          <w:b w:val="0"/>
          <w:bCs w:val="0"/>
          <w:i/>
          <w:iCs/>
          <w:sz w:val="20"/>
          <w:szCs w:val="20"/>
        </w:rPr>
        <w:t>IGHV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 gene in the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>spleen memory</w:t>
      </w:r>
      <w:r>
        <w:rPr>
          <w:rFonts w:hint="default" w:ascii="Times New Roman" w:hAnsi="Times New Roman" w:eastAsia="MinionPro" w:cs="Times New Roman"/>
          <w:b w:val="0"/>
          <w:bCs w:val="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B cells. </w:t>
      </w:r>
      <w:r>
        <w:rPr>
          <w:rFonts w:hint="default" w:ascii="Times New Roman" w:hAnsi="Times New Roman" w:eastAsia="Times New Roman" w:cs="Times New Roman"/>
          <w:sz w:val="20"/>
          <w:szCs w:val="20"/>
          <w:lang w:val="en-GB"/>
        </w:rPr>
        <w:t xml:space="preserve">The </w:t>
      </w:r>
      <w:r>
        <w:rPr>
          <w:rFonts w:hint="default" w:ascii="Times New Roman" w:hAnsi="Times New Roman" w:eastAsia="Times New Roman" w:cs="Times New Roman"/>
          <w:i w:val="0"/>
          <w:iCs w:val="0"/>
          <w:sz w:val="20"/>
          <w:szCs w:val="20"/>
          <w:lang w:val="en-GB"/>
        </w:rPr>
        <w:t>p</w:t>
      </w:r>
      <w:r>
        <w:rPr>
          <w:rFonts w:hint="default" w:ascii="Times New Roman" w:hAnsi="Times New Roman" w:eastAsia="Times New Roman" w:cs="Times New Roman"/>
          <w:i/>
          <w:iCs/>
          <w:sz w:val="20"/>
          <w:szCs w:val="20"/>
          <w:lang w:val="en-GB"/>
        </w:rPr>
        <w:t xml:space="preserve"> </w:t>
      </w:r>
      <w:r>
        <w:rPr>
          <w:rFonts w:hint="default" w:ascii="Times New Roman" w:hAnsi="Times New Roman" w:eastAsia="Times New Roman" w:cs="Times New Roman"/>
          <w:sz w:val="20"/>
          <w:szCs w:val="20"/>
          <w:lang w:val="en-GB"/>
        </w:rPr>
        <w:t xml:space="preserve">values were determined using </w:t>
      </w:r>
      <w:r>
        <w:rPr>
          <w:rFonts w:hint="default" w:ascii="Times New Roman" w:hAnsi="Times New Roman" w:eastAsia="Times New Roman" w:cs="Times New Roman"/>
          <w:sz w:val="20"/>
          <w:szCs w:val="20"/>
        </w:rPr>
        <w:t>one</w:t>
      </w:r>
      <w:r>
        <w:rPr>
          <w:rFonts w:hint="default" w:ascii="Times New Roman" w:hAnsi="Times New Roman" w:eastAsia="Times New Roman" w:cs="Times New Roman"/>
          <w:sz w:val="20"/>
          <w:szCs w:val="20"/>
          <w:lang w:val="en-GB"/>
        </w:rPr>
        <w:t xml:space="preserve">-way ANOVA with a Bonferroni correction. All the statistically significant differences are indicated. * = </w:t>
      </w:r>
      <w:r>
        <w:rPr>
          <w:rFonts w:hint="default" w:ascii="Times New Roman" w:hAnsi="Times New Roman" w:eastAsia="Times New Roman" w:cs="Times New Roman"/>
          <w:i/>
          <w:iCs/>
          <w:sz w:val="20"/>
          <w:szCs w:val="20"/>
          <w:lang w:val="en-GB"/>
        </w:rPr>
        <w:t>p</w:t>
      </w:r>
      <w:r>
        <w:rPr>
          <w:rFonts w:hint="default" w:ascii="Times New Roman" w:hAnsi="Times New Roman" w:eastAsia="Times New Roman" w:cs="Times New Roman"/>
          <w:sz w:val="20"/>
          <w:szCs w:val="20"/>
          <w:lang w:val="en-GB"/>
        </w:rPr>
        <w:t xml:space="preserve"> &lt; 0.05, ** = </w:t>
      </w:r>
      <w:r>
        <w:rPr>
          <w:rFonts w:hint="default" w:ascii="Times New Roman" w:hAnsi="Times New Roman" w:eastAsia="Times New Roman" w:cs="Times New Roman"/>
          <w:i/>
          <w:iCs/>
          <w:sz w:val="20"/>
          <w:szCs w:val="20"/>
          <w:lang w:val="en-GB"/>
        </w:rPr>
        <w:t>p</w:t>
      </w:r>
      <w:r>
        <w:rPr>
          <w:rFonts w:hint="default" w:ascii="Times New Roman" w:hAnsi="Times New Roman" w:eastAsia="Times New Roman" w:cs="Times New Roman"/>
          <w:sz w:val="20"/>
          <w:szCs w:val="20"/>
          <w:lang w:val="en-GB"/>
        </w:rPr>
        <w:t xml:space="preserve"> &lt; 0.01. </w:t>
      </w:r>
    </w:p>
    <w:p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</w:rPr>
        <w:drawing>
          <wp:inline distT="0" distB="0" distL="114300" distR="114300">
            <wp:extent cx="5267960" cy="4133850"/>
            <wp:effectExtent l="0" t="0" r="15240" b="6350"/>
            <wp:docPr id="13" name="图片 13" descr="OUT-IGHV满A4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OUT-IGHV满A4组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  <w:t>Figure 2-2.</w:t>
      </w:r>
      <w:r>
        <w:rPr>
          <w:rFonts w:hint="default" w:ascii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sz w:val="20"/>
          <w:szCs w:val="20"/>
        </w:rPr>
        <w:t>Out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>-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sz w:val="20"/>
          <w:szCs w:val="20"/>
        </w:rPr>
        <w:t>of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>-f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sz w:val="20"/>
          <w:szCs w:val="20"/>
        </w:rPr>
        <w:t>rame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 xml:space="preserve"> sequence </w:t>
      </w:r>
      <w:r>
        <w:rPr>
          <w:rFonts w:hint="default" w:ascii="Times New Roman" w:hAnsi="Times New Roman" w:cs="Times New Roman"/>
          <w:b w:val="0"/>
          <w:bCs/>
          <w:i/>
          <w:iCs/>
          <w:color w:val="000000"/>
          <w:sz w:val="20"/>
          <w:szCs w:val="20"/>
        </w:rPr>
        <w:t>IGHV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 xml:space="preserve"> gene frequency in mice of different ages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</w:rPr>
        <w:t>.</w:t>
      </w:r>
      <w:r>
        <w:rPr>
          <w:rFonts w:hint="default" w:ascii="Times New Roman" w:hAnsi="Times New Roman" w:eastAsia="Times New Roman" w:cs="Times New Roman"/>
          <w:b/>
          <w:bCs w:val="0"/>
          <w:sz w:val="20"/>
          <w:szCs w:val="20"/>
          <w:lang w:val="en-GB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 w:val="0"/>
          <w:sz w:val="20"/>
          <w:szCs w:val="20"/>
        </w:rPr>
        <w:t>a</w:t>
      </w:r>
      <w:r>
        <w:rPr>
          <w:rFonts w:hint="default" w:ascii="Times New Roman" w:hAnsi="Times New Roman" w:eastAsia="宋体" w:cs="Times New Roman"/>
          <w:b/>
          <w:bCs w:val="0"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0"/>
          <w:szCs w:val="20"/>
        </w:rPr>
        <w:t xml:space="preserve">The 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gene frequency of the </w:t>
      </w:r>
      <w:r>
        <w:rPr>
          <w:rFonts w:hint="default" w:ascii="Times New Roman" w:hAnsi="Times New Roman" w:eastAsia="MinionPro" w:cs="Times New Roman"/>
          <w:b w:val="0"/>
          <w:bCs/>
          <w:i/>
          <w:iCs/>
          <w:sz w:val="20"/>
          <w:szCs w:val="20"/>
        </w:rPr>
        <w:t>IGHV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 gene in the bone marrow 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 xml:space="preserve">B cells. </w:t>
      </w:r>
      <w:r>
        <w:rPr>
          <w:rFonts w:hint="default" w:ascii="Times New Roman" w:hAnsi="Times New Roman" w:cs="Times New Roman"/>
          <w:b/>
          <w:bCs w:val="0"/>
          <w:color w:val="000000"/>
          <w:sz w:val="20"/>
          <w:szCs w:val="20"/>
        </w:rPr>
        <w:t>b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0"/>
          <w:szCs w:val="20"/>
        </w:rPr>
        <w:t xml:space="preserve"> The 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gene frequency of the </w:t>
      </w:r>
      <w:r>
        <w:rPr>
          <w:rFonts w:hint="default" w:ascii="Times New Roman" w:hAnsi="Times New Roman" w:eastAsia="MinionPro" w:cs="Times New Roman"/>
          <w:b w:val="0"/>
          <w:bCs/>
          <w:i/>
          <w:iCs/>
          <w:sz w:val="20"/>
          <w:szCs w:val="20"/>
        </w:rPr>
        <w:t>IGHV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 gene in the spleen 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>B cells.</w:t>
      </w:r>
      <w:r>
        <w:rPr>
          <w:rFonts w:hint="default" w:ascii="Times New Roman" w:hAnsi="Times New Roman" w:cs="Times New Roman"/>
          <w:b/>
          <w:bCs w:val="0"/>
          <w:color w:val="000000"/>
          <w:sz w:val="20"/>
          <w:szCs w:val="20"/>
        </w:rPr>
        <w:t xml:space="preserve"> c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The gene frequency of the </w:t>
      </w:r>
      <w:r>
        <w:rPr>
          <w:rFonts w:hint="default" w:ascii="Times New Roman" w:hAnsi="Times New Roman" w:eastAsia="MinionPro" w:cs="Times New Roman"/>
          <w:b w:val="0"/>
          <w:bCs/>
          <w:i/>
          <w:iCs/>
          <w:sz w:val="20"/>
          <w:szCs w:val="20"/>
        </w:rPr>
        <w:t>IGHV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 gene in the 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>spleen memory</w:t>
      </w:r>
      <w:r>
        <w:rPr>
          <w:rFonts w:hint="default" w:ascii="Times New Roman" w:hAnsi="Times New Roman" w:eastAsia="MinionPro" w:cs="Times New Roman"/>
          <w:b w:val="0"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000000"/>
          <w:sz w:val="20"/>
          <w:szCs w:val="20"/>
        </w:rPr>
        <w:t xml:space="preserve">B cells.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  <w:t xml:space="preserve">The </w:t>
      </w:r>
      <w:r>
        <w:rPr>
          <w:rFonts w:hint="default" w:ascii="Times New Roman" w:hAnsi="Times New Roman" w:eastAsia="Times New Roman" w:cs="Times New Roman"/>
          <w:b w:val="0"/>
          <w:bCs/>
          <w:i w:val="0"/>
          <w:iCs w:val="0"/>
          <w:sz w:val="20"/>
          <w:szCs w:val="20"/>
          <w:lang w:val="en-GB"/>
        </w:rPr>
        <w:t>p</w:t>
      </w:r>
      <w:r>
        <w:rPr>
          <w:rFonts w:hint="default" w:ascii="Times New Roman" w:hAnsi="Times New Roman" w:eastAsia="Times New Roman" w:cs="Times New Roman"/>
          <w:b w:val="0"/>
          <w:bCs/>
          <w:i/>
          <w:iCs/>
          <w:sz w:val="20"/>
          <w:szCs w:val="20"/>
          <w:lang w:val="en-GB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  <w:t xml:space="preserve">values were determined using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</w:rPr>
        <w:t>one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  <w:t xml:space="preserve">-way ANOVA with a Bonferroni correction. All the statistically significant differences are indicated. * = </w:t>
      </w:r>
      <w:r>
        <w:rPr>
          <w:rFonts w:hint="default" w:ascii="Times New Roman" w:hAnsi="Times New Roman" w:eastAsia="Times New Roman" w:cs="Times New Roman"/>
          <w:b w:val="0"/>
          <w:bCs/>
          <w:i/>
          <w:iCs/>
          <w:sz w:val="20"/>
          <w:szCs w:val="20"/>
          <w:lang w:val="en-GB"/>
        </w:rPr>
        <w:t>p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  <w:t xml:space="preserve"> &lt; 0.05, ** = </w:t>
      </w:r>
      <w:r>
        <w:rPr>
          <w:rFonts w:hint="default" w:ascii="Times New Roman" w:hAnsi="Times New Roman" w:eastAsia="Times New Roman" w:cs="Times New Roman"/>
          <w:b w:val="0"/>
          <w:bCs/>
          <w:i/>
          <w:iCs/>
          <w:sz w:val="20"/>
          <w:szCs w:val="20"/>
          <w:lang w:val="en-GB"/>
        </w:rPr>
        <w:t>p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  <w:t xml:space="preserve"> &lt; 0.01.</w:t>
      </w: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pStyle w:val="2"/>
        <w:widowControl/>
        <w:spacing w:beforeAutospacing="0" w:afterAutospacing="0" w:line="360" w:lineRule="auto"/>
        <w:rPr>
          <w:rFonts w:hint="default" w:ascii="Times New Roman" w:hAnsi="Times New Roman" w:cs="Times New Roman"/>
          <w:color w:val="000000"/>
          <w:sz w:val="21"/>
          <w:szCs w:val="21"/>
        </w:rPr>
      </w:pPr>
      <w:r>
        <w:rPr>
          <w:rFonts w:hint="default" w:ascii="Times New Roman" w:hAnsi="Times New Roman" w:cs="Times New Roman"/>
          <w:color w:val="000000"/>
          <w:sz w:val="21"/>
          <w:szCs w:val="21"/>
        </w:rPr>
        <w:drawing>
          <wp:inline distT="0" distB="0" distL="114300" distR="114300">
            <wp:extent cx="6578600" cy="7315835"/>
            <wp:effectExtent l="0" t="0" r="12700" b="18415"/>
            <wp:docPr id="6" name="图片 6" descr="Pro-V-J配对满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Pro-V-J配对满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8600" cy="731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 w:eastAsiaTheme="minorEastAsia"/>
          <w:b w:val="0"/>
          <w:bCs w:val="0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20"/>
          <w:szCs w:val="20"/>
        </w:rPr>
        <w:t>Figure 3</w:t>
      </w:r>
      <w:r>
        <w:rPr>
          <w:rFonts w:hint="eastAsia" w:ascii="Times New Roman" w:hAnsi="Times New Roman" w:cs="Times New Roman"/>
          <w:b/>
          <w:bCs/>
          <w:color w:val="FF0000"/>
          <w:sz w:val="20"/>
          <w:szCs w:val="20"/>
          <w:lang w:val="en-US" w:eastAsia="zh-CN"/>
        </w:rPr>
        <w:t>-1</w:t>
      </w:r>
      <w:r>
        <w:rPr>
          <w:rFonts w:ascii="Times New Roman" w:hAnsi="Times New Roman" w:cs="Times New Roman"/>
          <w:b/>
          <w:bCs/>
          <w:color w:val="FF000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Pairing and cluster analysis of</w:t>
      </w:r>
      <w:r>
        <w:rPr>
          <w:rFonts w:ascii="Times New Roman" w:hAnsi="Times New Roman" w:eastAsia="宋体" w:cs="Times New Roman"/>
          <w:color w:val="000000"/>
          <w:sz w:val="20"/>
          <w:szCs w:val="20"/>
        </w:rPr>
        <w:t xml:space="preserve"> the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V-J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gene in the productive sequences </w:t>
      </w:r>
      <w:r>
        <w:rPr>
          <w:rFonts w:ascii="Times New Roman" w:hAnsi="Times New Roman" w:eastAsia="宋体" w:cs="Times New Roman"/>
          <w:color w:val="000000"/>
          <w:sz w:val="20"/>
          <w:szCs w:val="20"/>
        </w:rPr>
        <w:t>of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mice of different ages. </w:t>
      </w:r>
      <w:r>
        <w:rPr>
          <w:rFonts w:hint="eastAsia" w:ascii="Times New Roman" w:hAnsi="Times New Roman" w:eastAsia="宋体"/>
          <w:b/>
          <w:bCs/>
          <w:color w:val="FF0000"/>
          <w:sz w:val="20"/>
          <w:szCs w:val="20"/>
          <w:highlight w:val="none"/>
          <w:lang w:val="en-US" w:eastAsia="zh-CN"/>
        </w:rPr>
        <w:t xml:space="preserve">A. </w:t>
      </w:r>
      <w:r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Bone marrow B cell productive sequence </w:t>
      </w:r>
      <w:r>
        <w:rPr>
          <w:rFonts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>V-J</w:t>
      </w:r>
      <w:r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gene pairing (left) and cluster analysis (right).</w:t>
      </w:r>
      <w:r>
        <w:rPr>
          <w:rFonts w:hint="eastAsia" w:ascii="Times New Roman" w:hAnsi="Times New Roman" w:cs="Times New Roman"/>
          <w:b w:val="0"/>
          <w:bCs w:val="0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FF0000"/>
          <w:sz w:val="20"/>
          <w:szCs w:val="20"/>
          <w:highlight w:val="none"/>
          <w:lang w:val="en-US" w:eastAsia="zh-CN"/>
        </w:rPr>
        <w:t xml:space="preserve">B. </w:t>
      </w:r>
      <w:r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Spleen B cell productive sequence </w:t>
      </w:r>
      <w:r>
        <w:rPr>
          <w:rFonts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>V-J</w:t>
      </w:r>
      <w:r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gene pairing (left) and cluster analysis (right). </w:t>
      </w:r>
      <w:r>
        <w:rPr>
          <w:rFonts w:hint="eastAsia" w:ascii="Times New Roman" w:hAnsi="Times New Roman" w:eastAsia="宋体"/>
          <w:b/>
          <w:bCs/>
          <w:color w:val="FF0000"/>
          <w:sz w:val="20"/>
          <w:szCs w:val="20"/>
          <w:highlight w:val="none"/>
          <w:lang w:val="en-US" w:eastAsia="zh-CN"/>
        </w:rPr>
        <w:t xml:space="preserve">C. </w:t>
      </w:r>
      <w:r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Spleen memory B cell productive sequence </w:t>
      </w:r>
      <w:r>
        <w:rPr>
          <w:rFonts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 xml:space="preserve">V-J </w:t>
      </w:r>
      <w:r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>gene pairing (left) and cluster analysis (right).</w:t>
      </w:r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val="en-GB"/>
        </w:rPr>
      </w:pPr>
    </w:p>
    <w:p>
      <w:pPr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/>
          <w:color w:val="000000"/>
          <w:sz w:val="21"/>
          <w:szCs w:val="21"/>
        </w:rPr>
        <w:drawing>
          <wp:inline distT="0" distB="0" distL="114300" distR="114300">
            <wp:extent cx="5273040" cy="5401945"/>
            <wp:effectExtent l="0" t="0" r="10160" b="8255"/>
            <wp:docPr id="14" name="图片 14" descr="Pro-V-J配对满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Pro-V-J配对满A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40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Supplementary Figure </w:t>
      </w:r>
      <w:r>
        <w:rPr>
          <w:rFonts w:hint="default" w:ascii="Times New Roman" w:hAnsi="Times New Roman" w:cs="Times New Roman"/>
          <w:b/>
          <w:bCs/>
          <w:color w:val="FF0000"/>
          <w:sz w:val="20"/>
          <w:szCs w:val="20"/>
        </w:rPr>
        <w:t>3-</w:t>
      </w:r>
      <w:r>
        <w:rPr>
          <w:rFonts w:hint="eastAsia" w:ascii="Times New Roman" w:hAnsi="Times New Roman" w:cs="Times New Roman"/>
          <w:b/>
          <w:bCs/>
          <w:color w:val="FF0000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FF0000"/>
          <w:sz w:val="20"/>
          <w:szCs w:val="20"/>
        </w:rPr>
        <w:t>.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Pairing and cluster analysis of</w:t>
      </w:r>
      <w:r>
        <w:rPr>
          <w:rFonts w:hint="default"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V-J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gene in the p</w:t>
      </w:r>
      <w:r>
        <w:rPr>
          <w:rFonts w:hint="default" w:ascii="Times New Roman" w:hAnsi="Times New Roman" w:cs="Times New Roman" w:eastAsiaTheme="minorEastAsia"/>
          <w:b w:val="0"/>
          <w:b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seudogene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sequences </w:t>
      </w:r>
      <w:r>
        <w:rPr>
          <w:rFonts w:hint="default"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of</w:t>
      </w:r>
      <w:r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mice of different ages. </w:t>
      </w:r>
      <w:r>
        <w:rPr>
          <w:rFonts w:hint="eastAsia" w:ascii="Times New Roman" w:hAnsi="Times New Roman" w:cs="Times New Roman"/>
          <w:color w:val="FF0000"/>
          <w:sz w:val="20"/>
          <w:szCs w:val="20"/>
          <w:lang w:val="en-US" w:eastAsia="zh-CN"/>
        </w:rPr>
        <w:t xml:space="preserve">A.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Bone marrow B cell productive sequence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V-J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gene pairing (left) and cluster analysis (right).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 xml:space="preserve">B.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Spleen B cell productive sequence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V-J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gene pairing (left) and cluster analysis (right).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C.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Spleen memory B cell productive sequence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V-J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gene pairing (left) and cluster analysis (right).</w:t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cs="Times New Roman" w:eastAsiaTheme="minorEastAsia"/>
          <w:color w:val="000000"/>
          <w:sz w:val="21"/>
          <w:szCs w:val="21"/>
        </w:rPr>
        <w:drawing>
          <wp:inline distT="0" distB="0" distL="114300" distR="114300">
            <wp:extent cx="5270500" cy="5354955"/>
            <wp:effectExtent l="0" t="0" r="12700" b="4445"/>
            <wp:docPr id="16" name="图片 16" descr="OUT-V-J配对满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OUT-V-J配对满A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35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color w:val="000000"/>
          <w:sz w:val="20"/>
          <w:szCs w:val="20"/>
        </w:rPr>
        <w:t xml:space="preserve">Figure </w:t>
      </w:r>
      <w:r>
        <w:rPr>
          <w:rFonts w:hint="default" w:ascii="Times New Roman" w:hAnsi="Times New Roman" w:cs="Times New Roman"/>
          <w:b/>
          <w:bCs/>
          <w:color w:val="FF0000"/>
          <w:sz w:val="20"/>
          <w:szCs w:val="20"/>
        </w:rPr>
        <w:t>3-</w:t>
      </w:r>
      <w:r>
        <w:rPr>
          <w:rFonts w:hint="eastAsia" w:ascii="Times New Roman" w:hAnsi="Times New Roman" w:cs="Times New Roman"/>
          <w:b/>
          <w:bCs/>
          <w:color w:val="FF0000"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FF0000"/>
          <w:sz w:val="20"/>
          <w:szCs w:val="20"/>
        </w:rPr>
        <w:t>.</w:t>
      </w:r>
      <w:r>
        <w:rPr>
          <w:rFonts w:hint="default" w:ascii="Times New Roman" w:hAnsi="Times New Roman" w:cs="Times New Roman"/>
          <w:color w:val="000000"/>
          <w:szCs w:val="21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>Pairing and cluster analysis of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0"/>
          <w:szCs w:val="20"/>
        </w:rPr>
        <w:t xml:space="preserve"> the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>V-J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gene in the o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/>
          <w:sz w:val="20"/>
          <w:szCs w:val="20"/>
        </w:rPr>
        <w:t>ut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>-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/>
          <w:sz w:val="20"/>
          <w:szCs w:val="20"/>
        </w:rPr>
        <w:t>of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>-f</w:t>
      </w:r>
      <w:r>
        <w:rPr>
          <w:rFonts w:hint="default" w:ascii="Times New Roman" w:hAnsi="Times New Roman" w:cs="Times New Roman" w:eastAsiaTheme="minorEastAsia"/>
          <w:b w:val="0"/>
          <w:bCs w:val="0"/>
          <w:color w:val="000000"/>
          <w:sz w:val="20"/>
          <w:szCs w:val="20"/>
        </w:rPr>
        <w:t>rame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sequences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0"/>
          <w:szCs w:val="20"/>
        </w:rPr>
        <w:t>of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mice of different ages.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A.</w:t>
      </w:r>
      <w:r>
        <w:rPr>
          <w:rFonts w:hint="default" w:ascii="Times New Roman" w:hAnsi="Times New Roman" w:cs="Times New Roman"/>
          <w:b/>
          <w:bCs/>
          <w:color w:val="FF000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Bone marrow B cell productive sequence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>V-J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gene pairing (left) and cluster analysis (right).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 xml:space="preserve">B.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Spleen B cell productive sequence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>V-J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gene pairing (left) and cluster analysis (right).</w:t>
      </w:r>
      <w:r>
        <w:rPr>
          <w:rFonts w:hint="eastAsia" w:ascii="Times New Roman" w:hAnsi="Times New Roman" w:cs="Times New Roman"/>
          <w:b w:val="0"/>
          <w:bCs w:val="0"/>
          <w:color w:val="00000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C.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Spleen memory B cell productive sequence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000000"/>
          <w:sz w:val="20"/>
          <w:szCs w:val="20"/>
        </w:rPr>
        <w:t xml:space="preserve">V-J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>gene pairing (left) and cluster analysis (right).</w:t>
      </w: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>
      <w:pPr>
        <w:adjustRightInd w:val="0"/>
        <w:snapToGrid w:val="0"/>
        <w:spacing w:line="360" w:lineRule="auto"/>
        <w:jc w:val="left"/>
        <w:rPr>
          <w:rFonts w:hint="default" w:ascii="Times New Roman" w:hAnsi="Times New Roman" w:cs="Times New Roman" w:eastAsiaTheme="minorEastAsia"/>
          <w:bCs/>
          <w:sz w:val="24"/>
        </w:rPr>
      </w:pPr>
      <w:r>
        <w:rPr>
          <w:rFonts w:hint="default" w:ascii="Times New Roman" w:hAnsi="Times New Roman" w:cs="Times New Roman" w:eastAsiaTheme="minorEastAsia"/>
          <w:bCs/>
          <w:sz w:val="24"/>
        </w:rPr>
        <w:drawing>
          <wp:inline distT="0" distB="0" distL="114300" distR="114300">
            <wp:extent cx="5269230" cy="3169285"/>
            <wp:effectExtent l="0" t="0" r="13970" b="5715"/>
            <wp:docPr id="17" name="图片 17" descr="反辛普森指数组图满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反辛普森指数组图满A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Supplementary Figure 4.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Clonal distribution of the BCR H-CDR3 repertoire in mice of different ages.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A.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Clonal distribution of bone marrow B cell repertoire in mice at 3 months of age.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B.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Clonal distribution of bone marrow B cell repertoire in mice at 12 months of age. 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C.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Clonal distribution of bone marrow B cell repertoire in mice at 20 months of age.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 xml:space="preserve">D.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Clonal distribution of spleen B cell repertoire in mice at 3 months of age.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bookmarkStart w:id="0" w:name="_GoBack"/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E</w:t>
      </w:r>
      <w:bookmarkEnd w:id="0"/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Clonal distribution of spleen B cell repertoire in mice at 12 months of age.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F.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Clonal distribution of spleen B cell repertoire in mice at 20 months of age.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>G.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Clonal distribution of spleen memory B cell repertoire in mice at 3 months of age.</w:t>
      </w:r>
      <w:r>
        <w:rPr>
          <w:rFonts w:hint="default" w:ascii="Times New Roman" w:hAnsi="Times New Roman" w:cs="Times New Roman"/>
          <w:b w:val="0"/>
          <w:bCs w:val="0"/>
          <w:color w:val="FF000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 xml:space="preserve">H.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Clonal distribution of spleen memory B cell repertoire in mice at 12 months of age.</w:t>
      </w:r>
      <w:r>
        <w:rPr>
          <w:rFonts w:hint="eastAsia" w:ascii="Times New Roman" w:hAnsi="Times New Roman" w:cs="Times New Roman"/>
          <w:b w:val="0"/>
          <w:bCs w:val="0"/>
          <w:color w:val="FF0000"/>
          <w:sz w:val="20"/>
          <w:szCs w:val="20"/>
          <w:lang w:val="en-US" w:eastAsia="zh-CN"/>
        </w:rPr>
        <w:t xml:space="preserve"> I.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Clonal distribution of spleen memory B cell repertoire in mice at 20 months of age.</w:t>
      </w:r>
    </w:p>
    <w:p>
      <w:pPr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eastAsia="黑体-简" w:cs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Table S1-</w:t>
      </w:r>
      <w:r>
        <w:rPr>
          <w:rFonts w:hint="default" w:ascii="Times New Roman" w:hAnsi="Times New Roman" w:eastAsia="黑体-简" w:cs="Times New Roman"/>
          <w:b/>
          <w:bCs/>
          <w:color w:val="000000"/>
          <w:sz w:val="20"/>
          <w:szCs w:val="20"/>
        </w:rPr>
        <w:t xml:space="preserve">1. </w:t>
      </w:r>
      <w:r>
        <w:rPr>
          <w:rFonts w:hint="default" w:ascii="Times New Roman" w:hAnsi="Times New Roman" w:eastAsia="黑体-简" w:cs="Times New Roman"/>
          <w:color w:val="000000"/>
          <w:sz w:val="20"/>
          <w:szCs w:val="20"/>
        </w:rPr>
        <w:t xml:space="preserve">The upstream </w:t>
      </w:r>
      <w:r>
        <w:rPr>
          <w:rFonts w:hint="default" w:ascii="Times New Roman" w:hAnsi="Times New Roman" w:eastAsia="黑体-简" w:cs="Times New Roman"/>
          <w:i/>
          <w:iCs/>
          <w:color w:val="000000"/>
          <w:sz w:val="20"/>
          <w:szCs w:val="20"/>
        </w:rPr>
        <w:t>IGHV</w:t>
      </w:r>
      <w:r>
        <w:rPr>
          <w:rFonts w:hint="default" w:ascii="Times New Roman" w:hAnsi="Times New Roman" w:eastAsia="黑体-简" w:cs="Times New Roman"/>
          <w:color w:val="000000"/>
          <w:sz w:val="20"/>
          <w:szCs w:val="20"/>
        </w:rPr>
        <w:t xml:space="preserve"> primer (5'-3') for mouse BCR H-CDR3 repertoire</w:t>
      </w:r>
    </w:p>
    <w:tbl>
      <w:tblPr>
        <w:tblStyle w:val="4"/>
        <w:tblW w:w="5353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685"/>
      </w:tblGrid>
      <w:tr>
        <w:trPr>
          <w:trHeight w:val="318" w:hRule="atLeast"/>
        </w:trPr>
        <w:tc>
          <w:tcPr>
            <w:tcW w:w="166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Primer</w:t>
            </w:r>
          </w:p>
        </w:tc>
        <w:tc>
          <w:tcPr>
            <w:tcW w:w="368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IGHV Gene Sequence(5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’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’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CCTCCAGCACAGCCTACTG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TCCAAGAGCCAAGTTTTCTT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66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GTTGAATTCTGTGACTACTGAGG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GCCAAAAATACGCTGTACCTG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CGATTCACCATCTCCAGAGAC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GATGATTCCAAAAGTAGTGTC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top w:val="nil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IGHV7</w:t>
            </w:r>
          </w:p>
        </w:tc>
        <w:tc>
          <w:tcPr>
            <w:tcW w:w="3685" w:type="dxa"/>
            <w:tcBorders>
              <w:top w:val="nil"/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TTCCCAAAGCATCCTCTATC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IGHV8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ATACCTCCAACAACCAGGTA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IGHV9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TCTGCCAGCACTGCCTATTT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IGHV10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CCAGAGATGATTCACAAAGC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IGHV11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CCTGCAGATGAGCAATGTGC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IGHV12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TTTATCCAGCTGAGCTCTGT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IGHV13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ATGCAGAGTCTGTGAAAGGC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IGHV14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CATCCTCCAACACAGCCTAC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668" w:type="dxa"/>
            <w:tcBorders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IGHV15</w:t>
            </w:r>
          </w:p>
        </w:tc>
        <w:tc>
          <w:tcPr>
            <w:tcW w:w="3685" w:type="dxa"/>
            <w:tcBorders>
              <w:lef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TGTCCAACACAGCCTACTTG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" w:hRule="atLeast"/>
        </w:trPr>
        <w:tc>
          <w:tcPr>
            <w:tcW w:w="1668" w:type="dxa"/>
            <w:tcBorders>
              <w:bottom w:val="single" w:color="000000" w:sz="12" w:space="0"/>
              <w:right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IGHV16</w:t>
            </w:r>
          </w:p>
        </w:tc>
        <w:tc>
          <w:tcPr>
            <w:tcW w:w="3685" w:type="dxa"/>
            <w:tcBorders>
              <w:left w:val="nil"/>
              <w:bottom w:val="single" w:color="000000" w:sz="1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GACAGATTCTCCATCTCCAG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360" w:lineRule="auto"/>
        <w:rPr>
          <w:rFonts w:hint="default" w:ascii="Times New Roman" w:hAnsi="Times New Roman" w:eastAsia="黑体-简" w:cs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Table S1-2</w:t>
      </w:r>
      <w:r>
        <w:rPr>
          <w:rFonts w:hint="default" w:ascii="Times New Roman" w:hAnsi="Times New Roman" w:eastAsia="黑体-简" w:cs="Times New Roman"/>
          <w:b/>
          <w:bCs/>
          <w:color w:val="000000"/>
          <w:sz w:val="20"/>
          <w:szCs w:val="20"/>
        </w:rPr>
        <w:t>.</w:t>
      </w:r>
      <w:r>
        <w:rPr>
          <w:rFonts w:hint="default" w:ascii="Times New Roman" w:hAnsi="Times New Roman" w:eastAsia="黑体-简" w:cs="Times New Roman"/>
          <w:color w:val="000000"/>
          <w:sz w:val="20"/>
          <w:szCs w:val="20"/>
        </w:rPr>
        <w:t xml:space="preserve"> The downstream </w:t>
      </w:r>
      <w:r>
        <w:rPr>
          <w:rFonts w:hint="default" w:ascii="Times New Roman" w:hAnsi="Times New Roman" w:eastAsia="黑体-简" w:cs="Times New Roman"/>
          <w:i/>
          <w:iCs/>
          <w:color w:val="000000"/>
          <w:sz w:val="20"/>
          <w:szCs w:val="20"/>
        </w:rPr>
        <w:t>IGHJ</w:t>
      </w:r>
      <w:r>
        <w:rPr>
          <w:rFonts w:hint="default" w:ascii="Times New Roman" w:hAnsi="Times New Roman" w:eastAsia="黑体-简" w:cs="Times New Roman"/>
          <w:color w:val="000000"/>
          <w:sz w:val="20"/>
          <w:szCs w:val="20"/>
        </w:rPr>
        <w:t xml:space="preserve"> primer (5'-3') for mouse BCR H-CDR3 repertoire</w:t>
      </w:r>
    </w:p>
    <w:tbl>
      <w:tblPr>
        <w:tblStyle w:val="4"/>
        <w:tblW w:w="549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686"/>
      </w:tblGrid>
      <w:tr>
        <w:trPr>
          <w:trHeight w:val="318" w:hRule="atLeast"/>
        </w:trPr>
        <w:tc>
          <w:tcPr>
            <w:tcW w:w="180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Primer</w:t>
            </w:r>
          </w:p>
        </w:tc>
        <w:tc>
          <w:tcPr>
            <w:tcW w:w="36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IGHC Gene Sequence(5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’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’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809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IGHJ1</w:t>
            </w:r>
          </w:p>
        </w:tc>
        <w:tc>
          <w:tcPr>
            <w:tcW w:w="3686" w:type="dxa"/>
            <w:tcBorders>
              <w:top w:val="single" w:color="000000" w:sz="4" w:space="0"/>
              <w:left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TGAGGAGACGGTGACCGTGGTC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IGHJ2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AGGAGACTGTGAGAGTGGTGCC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" w:hRule="atLeast"/>
        </w:trPr>
        <w:tc>
          <w:tcPr>
            <w:tcW w:w="1809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IGHJ3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CAGAGACAGTGACCAGAGTCCC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809" w:type="dxa"/>
            <w:tcBorders>
              <w:top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IGHJ4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CGGTGACTGAGGTTCCTTGACC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eastAsia="黑体-简" w:cs="Times New Roman"/>
          <w:b/>
          <w:bCs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Table S1-3</w:t>
      </w:r>
      <w:r>
        <w:rPr>
          <w:rFonts w:hint="default" w:ascii="Times New Roman" w:hAnsi="Times New Roman" w:eastAsia="黑体-简" w:cs="Times New Roman"/>
          <w:b/>
          <w:bCs/>
          <w:color w:val="000000"/>
          <w:sz w:val="20"/>
          <w:szCs w:val="20"/>
        </w:rPr>
        <w:t xml:space="preserve">. </w:t>
      </w:r>
      <w:r>
        <w:rPr>
          <w:rFonts w:hint="default" w:ascii="Times New Roman" w:hAnsi="Times New Roman" w:eastAsia="黑体-简" w:cs="Times New Roman"/>
          <w:color w:val="000000"/>
          <w:sz w:val="20"/>
          <w:szCs w:val="20"/>
        </w:rPr>
        <w:t>The GAPDH sequence of the upstream and downstream primers (5'-3') of mice</w:t>
      </w:r>
      <w:r>
        <w:rPr>
          <w:rFonts w:hint="default" w:ascii="Times New Roman" w:hAnsi="Times New Roman" w:eastAsia="黑体-简" w:cs="Times New Roman"/>
          <w:b/>
          <w:bCs/>
          <w:color w:val="000000"/>
          <w:sz w:val="20"/>
          <w:szCs w:val="20"/>
        </w:rPr>
        <w:t xml:space="preserve"> </w:t>
      </w:r>
    </w:p>
    <w:tbl>
      <w:tblPr>
        <w:tblStyle w:val="4"/>
        <w:tblW w:w="549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544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8" w:hRule="atLeast"/>
        </w:trPr>
        <w:tc>
          <w:tcPr>
            <w:tcW w:w="195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Primer</w:t>
            </w:r>
          </w:p>
        </w:tc>
        <w:tc>
          <w:tcPr>
            <w:tcW w:w="35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IGHC Gene Sequence(5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’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’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951" w:type="dxa"/>
            <w:tcBorders>
              <w:top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GAPDH sense</w:t>
            </w:r>
          </w:p>
        </w:tc>
        <w:tc>
          <w:tcPr>
            <w:tcW w:w="3544" w:type="dxa"/>
            <w:tcBorders>
              <w:top w:val="single" w:color="000000" w:sz="4" w:space="0"/>
              <w:left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 xml:space="preserve"> GGTGAAGGTCGGTGTGAACG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" w:hRule="atLeast"/>
        </w:trPr>
        <w:tc>
          <w:tcPr>
            <w:tcW w:w="1951" w:type="dxa"/>
            <w:tcBorders>
              <w:top w:val="nil"/>
              <w:bottom w:val="single" w:color="000000" w:sz="12" w:space="0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GAPDH anti-sense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000000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</w:rPr>
              <w:t>CTCGCTCCTGGAAGATGGTG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720" w:right="720" w:bottom="720" w:left="72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nionPr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BABAE"/>
    <w:rsid w:val="17DF2BDF"/>
    <w:rsid w:val="21136A54"/>
    <w:rsid w:val="33FEFD3F"/>
    <w:rsid w:val="3FFFA277"/>
    <w:rsid w:val="4430052A"/>
    <w:rsid w:val="4A653B9D"/>
    <w:rsid w:val="5C6D595C"/>
    <w:rsid w:val="7E7BABAE"/>
    <w:rsid w:val="7FF29C12"/>
    <w:rsid w:val="7FFD1C29"/>
    <w:rsid w:val="B7C56D86"/>
    <w:rsid w:val="F777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2019-11-13T06:31:00Z</dcterms:created>
  <dc:creator>user</dc:creator>
  <cp:lastModifiedBy>user</cp:lastModifiedBy>
  <dcterms:modified xsi:type="dcterms:W3CDTF">2020-10-10T19:43:28Z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