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A535" w14:textId="5AD2CD3E" w:rsidR="007514C1" w:rsidRDefault="007514C1" w:rsidP="007514C1">
      <w:pPr>
        <w:spacing w:line="360" w:lineRule="auto"/>
        <w:rPr>
          <w:rFonts w:ascii="Arial" w:hAnsi="Arial" w:cs="Arial"/>
          <w:b/>
          <w:bCs/>
          <w:sz w:val="24"/>
          <w:szCs w:val="24"/>
        </w:rPr>
      </w:pPr>
      <w:r w:rsidRPr="00577E0C">
        <w:rPr>
          <w:rFonts w:ascii="Arial" w:hAnsi="Arial" w:cs="Arial"/>
          <w:b/>
          <w:bCs/>
          <w:sz w:val="24"/>
          <w:szCs w:val="24"/>
        </w:rPr>
        <w:t xml:space="preserve">Supplemental </w:t>
      </w:r>
      <w:r>
        <w:rPr>
          <w:rFonts w:ascii="Arial" w:hAnsi="Arial" w:cs="Arial" w:hint="eastAsia"/>
          <w:b/>
          <w:bCs/>
          <w:sz w:val="24"/>
          <w:szCs w:val="24"/>
        </w:rPr>
        <w:t>figure</w:t>
      </w:r>
      <w:r w:rsidRPr="00577E0C">
        <w:rPr>
          <w:rFonts w:ascii="Arial" w:hAnsi="Arial" w:cs="Arial"/>
          <w:b/>
          <w:bCs/>
          <w:sz w:val="24"/>
          <w:szCs w:val="24"/>
        </w:rPr>
        <w:t xml:space="preserve"> titles and legends</w:t>
      </w:r>
    </w:p>
    <w:p w14:paraId="1277E96D" w14:textId="09B28EFB" w:rsidR="007514C1" w:rsidRDefault="007514C1" w:rsidP="007514C1">
      <w:pPr>
        <w:spacing w:line="360" w:lineRule="auto"/>
        <w:rPr>
          <w:rFonts w:ascii="Arial" w:hAnsi="Arial" w:cs="Arial"/>
          <w:b/>
          <w:bCs/>
          <w:sz w:val="24"/>
          <w:szCs w:val="24"/>
        </w:rPr>
      </w:pPr>
    </w:p>
    <w:p w14:paraId="2223F6B2" w14:textId="466161C6" w:rsidR="007E0018" w:rsidRDefault="007E0018" w:rsidP="007514C1">
      <w:pPr>
        <w:spacing w:line="360" w:lineRule="auto"/>
        <w:rPr>
          <w:rFonts w:ascii="Arial" w:hAnsi="Arial" w:cs="Arial"/>
          <w:b/>
          <w:bCs/>
          <w:sz w:val="24"/>
          <w:szCs w:val="24"/>
        </w:rPr>
      </w:pPr>
      <w:r>
        <w:rPr>
          <w:rFonts w:ascii="Arial" w:hAnsi="Arial" w:cs="Arial"/>
          <w:b/>
          <w:bCs/>
          <w:sz w:val="24"/>
          <w:szCs w:val="24"/>
        </w:rPr>
        <w:t>Supplementary Figure 1.</w:t>
      </w:r>
      <w:r w:rsidR="005B63D9">
        <w:rPr>
          <w:rFonts w:ascii="Arial" w:hAnsi="Arial" w:cs="Arial"/>
          <w:b/>
          <w:bCs/>
          <w:sz w:val="24"/>
          <w:szCs w:val="24"/>
        </w:rPr>
        <w:t xml:space="preserve"> SARS-CoV-2-specific T cell response after 2</w:t>
      </w:r>
      <w:r w:rsidR="005B63D9" w:rsidRPr="005B63D9">
        <w:rPr>
          <w:rFonts w:ascii="Arial" w:hAnsi="Arial" w:cs="Arial"/>
          <w:b/>
          <w:bCs/>
          <w:sz w:val="24"/>
          <w:szCs w:val="24"/>
          <w:vertAlign w:val="superscript"/>
        </w:rPr>
        <w:t>nd</w:t>
      </w:r>
      <w:r w:rsidR="005B63D9">
        <w:rPr>
          <w:rFonts w:ascii="Arial" w:hAnsi="Arial" w:cs="Arial"/>
          <w:b/>
          <w:bCs/>
          <w:sz w:val="24"/>
          <w:szCs w:val="24"/>
        </w:rPr>
        <w:t xml:space="preserve"> dose of vaccination in SOT patients</w:t>
      </w:r>
    </w:p>
    <w:p w14:paraId="34021064" w14:textId="17EBBBA1" w:rsidR="007E0018" w:rsidRPr="007E0018" w:rsidRDefault="007E0018" w:rsidP="007E0018">
      <w:pPr>
        <w:spacing w:line="360" w:lineRule="auto"/>
        <w:jc w:val="both"/>
        <w:rPr>
          <w:rFonts w:ascii="Arial" w:hAnsi="Arial" w:cs="Arial"/>
          <w:sz w:val="24"/>
          <w:szCs w:val="24"/>
        </w:rPr>
      </w:pPr>
      <w:r w:rsidRPr="008534B3">
        <w:rPr>
          <w:rFonts w:ascii="Arial" w:hAnsi="Arial" w:cs="Arial"/>
          <w:b/>
          <w:bCs/>
          <w:sz w:val="24"/>
          <w:szCs w:val="24"/>
        </w:rPr>
        <w:t>A</w:t>
      </w:r>
      <w:r w:rsidRPr="005769E7">
        <w:rPr>
          <w:rFonts w:ascii="Arial" w:hAnsi="Arial" w:cs="Arial"/>
          <w:sz w:val="24"/>
          <w:szCs w:val="24"/>
        </w:rPr>
        <w:t>.</w:t>
      </w:r>
      <w:r>
        <w:rPr>
          <w:rFonts w:ascii="Arial" w:hAnsi="Arial" w:cs="Arial"/>
          <w:sz w:val="24"/>
          <w:szCs w:val="24"/>
        </w:rPr>
        <w:t xml:space="preserve"> </w:t>
      </w:r>
      <w:r w:rsidRPr="005769E7">
        <w:rPr>
          <w:rFonts w:ascii="Arial" w:hAnsi="Arial" w:cs="Arial"/>
          <w:sz w:val="24"/>
          <w:szCs w:val="24"/>
        </w:rPr>
        <w:t>Healthy individuals (</w:t>
      </w:r>
      <w:r w:rsidRPr="006A1D5A">
        <w:rPr>
          <w:rFonts w:ascii="Arial" w:hAnsi="Arial" w:cs="Arial"/>
          <w:i/>
          <w:iCs/>
          <w:sz w:val="24"/>
          <w:szCs w:val="24"/>
        </w:rPr>
        <w:t>n=26</w:t>
      </w:r>
      <w:r w:rsidRPr="005769E7">
        <w:rPr>
          <w:rFonts w:ascii="Arial" w:hAnsi="Arial" w:cs="Arial"/>
          <w:sz w:val="24"/>
          <w:szCs w:val="24"/>
        </w:rPr>
        <w:t>) and transplant patients (</w:t>
      </w:r>
      <w:r w:rsidRPr="006A1D5A">
        <w:rPr>
          <w:rFonts w:ascii="Arial" w:hAnsi="Arial" w:cs="Arial"/>
          <w:i/>
          <w:iCs/>
          <w:sz w:val="24"/>
          <w:szCs w:val="24"/>
        </w:rPr>
        <w:t>n=13</w:t>
      </w:r>
      <w:r>
        <w:rPr>
          <w:rFonts w:ascii="Arial" w:hAnsi="Arial" w:cs="Arial"/>
          <w:i/>
          <w:iCs/>
          <w:sz w:val="24"/>
          <w:szCs w:val="24"/>
        </w:rPr>
        <w:t>8</w:t>
      </w:r>
      <w:r w:rsidRPr="005769E7">
        <w:rPr>
          <w:rFonts w:ascii="Arial" w:hAnsi="Arial" w:cs="Arial"/>
          <w:sz w:val="24"/>
          <w:szCs w:val="24"/>
        </w:rPr>
        <w:t xml:space="preserve">) were vaccinated with 2 doses of BNT162b2 mRNA vaccine. </w:t>
      </w:r>
      <w:r>
        <w:rPr>
          <w:rFonts w:ascii="Arial" w:hAnsi="Arial" w:cs="Arial"/>
          <w:sz w:val="24"/>
          <w:szCs w:val="24"/>
        </w:rPr>
        <w:t xml:space="preserve">SOT patients were separated into three different groups according to different combinations of immunosuppressive drugs:36 patients were under the treatment of TAC combined with MMF and Pred, 66 patients were receiving CYA combined with MMF and Pred, while 36 patients had the combinations of other different immunosuppressants. </w:t>
      </w:r>
      <w:r w:rsidRPr="005769E7">
        <w:rPr>
          <w:rFonts w:ascii="Arial" w:hAnsi="Arial" w:cs="Arial"/>
          <w:sz w:val="24"/>
          <w:szCs w:val="24"/>
        </w:rPr>
        <w:t>Blood samples were taken on days 21</w:t>
      </w:r>
      <w:r>
        <w:rPr>
          <w:rFonts w:ascii="Arial" w:hAnsi="Arial" w:cs="Arial"/>
          <w:sz w:val="24"/>
          <w:szCs w:val="24"/>
        </w:rPr>
        <w:t xml:space="preserve"> after the vaccination</w:t>
      </w:r>
      <w:r w:rsidRPr="005769E7">
        <w:rPr>
          <w:rFonts w:ascii="Arial" w:hAnsi="Arial" w:cs="Arial"/>
          <w:sz w:val="24"/>
          <w:szCs w:val="24"/>
        </w:rPr>
        <w:t xml:space="preserve">. </w:t>
      </w:r>
      <w:r w:rsidRPr="007E0018">
        <w:rPr>
          <w:rFonts w:ascii="Arial" w:hAnsi="Arial" w:cs="Arial"/>
          <w:b/>
          <w:bCs/>
          <w:sz w:val="24"/>
          <w:szCs w:val="24"/>
        </w:rPr>
        <w:t>B, C left</w:t>
      </w:r>
      <w:r>
        <w:rPr>
          <w:rFonts w:ascii="Arial" w:hAnsi="Arial" w:cs="Arial"/>
          <w:sz w:val="24"/>
          <w:szCs w:val="24"/>
        </w:rPr>
        <w:t xml:space="preserve">: </w:t>
      </w:r>
      <w:r w:rsidRPr="005769E7">
        <w:rPr>
          <w:rFonts w:ascii="Arial" w:hAnsi="Arial" w:cs="Arial"/>
          <w:sz w:val="24"/>
          <w:szCs w:val="24"/>
        </w:rPr>
        <w:t xml:space="preserve">Levels of IL-2 </w:t>
      </w:r>
      <w:r>
        <w:rPr>
          <w:rFonts w:ascii="Arial" w:hAnsi="Arial" w:cs="Arial"/>
          <w:sz w:val="24"/>
          <w:szCs w:val="24"/>
        </w:rPr>
        <w:t>(</w:t>
      </w:r>
      <w:r w:rsidRPr="008534B3">
        <w:rPr>
          <w:rFonts w:ascii="Arial" w:hAnsi="Arial" w:cs="Arial"/>
          <w:b/>
          <w:bCs/>
          <w:sz w:val="24"/>
          <w:szCs w:val="24"/>
        </w:rPr>
        <w:t>B</w:t>
      </w:r>
      <w:r>
        <w:rPr>
          <w:rFonts w:ascii="Arial" w:hAnsi="Arial" w:cs="Arial"/>
          <w:sz w:val="24"/>
          <w:szCs w:val="24"/>
        </w:rPr>
        <w:t xml:space="preserve">) </w:t>
      </w:r>
      <w:r w:rsidRPr="005769E7">
        <w:rPr>
          <w:rFonts w:ascii="Arial" w:hAnsi="Arial" w:cs="Arial"/>
          <w:sz w:val="24"/>
          <w:szCs w:val="24"/>
        </w:rPr>
        <w:t>and IFN</w:t>
      </w:r>
      <w:r>
        <w:rPr>
          <w:rFonts w:ascii="Arial" w:hAnsi="Arial" w:cs="Arial"/>
          <w:sz w:val="24"/>
          <w:szCs w:val="24"/>
        </w:rPr>
        <w:t>-</w:t>
      </w:r>
      <w:r w:rsidRPr="005769E7">
        <w:rPr>
          <w:rFonts w:ascii="Calibri" w:hAnsi="Calibri" w:cs="Calibri"/>
          <w:sz w:val="24"/>
          <w:szCs w:val="24"/>
        </w:rPr>
        <w:t>γ</w:t>
      </w:r>
      <w:r w:rsidRPr="005769E7">
        <w:rPr>
          <w:rFonts w:ascii="Arial" w:hAnsi="Arial" w:cs="Arial"/>
          <w:sz w:val="24"/>
          <w:szCs w:val="24"/>
        </w:rPr>
        <w:t xml:space="preserve"> </w:t>
      </w:r>
      <w:r>
        <w:rPr>
          <w:rFonts w:ascii="Arial" w:hAnsi="Arial" w:cs="Arial"/>
          <w:sz w:val="24"/>
          <w:szCs w:val="24"/>
        </w:rPr>
        <w:t>(</w:t>
      </w:r>
      <w:r w:rsidRPr="008534B3">
        <w:rPr>
          <w:rFonts w:ascii="Arial" w:hAnsi="Arial" w:cs="Arial"/>
          <w:b/>
          <w:bCs/>
          <w:sz w:val="24"/>
          <w:szCs w:val="24"/>
        </w:rPr>
        <w:t>C</w:t>
      </w:r>
      <w:r>
        <w:rPr>
          <w:rFonts w:ascii="Arial" w:hAnsi="Arial" w:cs="Arial"/>
          <w:sz w:val="24"/>
          <w:szCs w:val="24"/>
        </w:rPr>
        <w:t xml:space="preserve">) (normalized to </w:t>
      </w:r>
      <w:r w:rsidRPr="005769E7">
        <w:rPr>
          <w:rFonts w:ascii="Arial" w:hAnsi="Arial" w:cs="Arial"/>
          <w:sz w:val="24"/>
          <w:szCs w:val="24"/>
        </w:rPr>
        <w:t>dimethyl sulfoxide (DMSO)</w:t>
      </w:r>
      <w:r>
        <w:rPr>
          <w:rFonts w:ascii="Arial" w:hAnsi="Arial" w:cs="Arial"/>
          <w:sz w:val="24"/>
          <w:szCs w:val="24"/>
        </w:rPr>
        <w:t xml:space="preserve">) </w:t>
      </w:r>
      <w:r w:rsidRPr="005769E7">
        <w:rPr>
          <w:rFonts w:ascii="Arial" w:hAnsi="Arial" w:cs="Arial"/>
          <w:sz w:val="24"/>
          <w:szCs w:val="24"/>
        </w:rPr>
        <w:t>released into the plasma after whole blood stimulation with Spike-peptide pool were quantified</w:t>
      </w:r>
      <w:r>
        <w:rPr>
          <w:rFonts w:ascii="Arial" w:hAnsi="Arial" w:cs="Arial"/>
          <w:sz w:val="24"/>
          <w:szCs w:val="24"/>
        </w:rPr>
        <w:t xml:space="preserve">. </w:t>
      </w:r>
      <w:r w:rsidRPr="007E0018">
        <w:rPr>
          <w:rFonts w:ascii="Arial" w:hAnsi="Arial" w:cs="Arial"/>
          <w:b/>
          <w:bCs/>
          <w:sz w:val="24"/>
          <w:szCs w:val="24"/>
        </w:rPr>
        <w:t>B, C right</w:t>
      </w:r>
      <w:r>
        <w:rPr>
          <w:rFonts w:ascii="Arial" w:hAnsi="Arial" w:cs="Arial"/>
          <w:sz w:val="24"/>
          <w:szCs w:val="24"/>
        </w:rPr>
        <w:t xml:space="preserve">: Percentage of different levels of </w:t>
      </w:r>
      <w:r w:rsidRPr="005769E7">
        <w:rPr>
          <w:rFonts w:ascii="Arial" w:hAnsi="Arial" w:cs="Arial"/>
          <w:sz w:val="24"/>
          <w:szCs w:val="24"/>
        </w:rPr>
        <w:t>IL-2 and IFN</w:t>
      </w:r>
      <w:r>
        <w:rPr>
          <w:rFonts w:ascii="Arial" w:hAnsi="Arial" w:cs="Arial"/>
          <w:sz w:val="24"/>
          <w:szCs w:val="24"/>
        </w:rPr>
        <w:t>-</w:t>
      </w:r>
      <w:r w:rsidRPr="005769E7">
        <w:rPr>
          <w:rFonts w:ascii="Calibri" w:hAnsi="Calibri" w:cs="Calibri"/>
          <w:sz w:val="24"/>
          <w:szCs w:val="24"/>
        </w:rPr>
        <w:t>γ</w:t>
      </w:r>
      <w:r w:rsidRPr="005769E7">
        <w:rPr>
          <w:rFonts w:ascii="Arial" w:hAnsi="Arial" w:cs="Arial"/>
          <w:sz w:val="24"/>
          <w:szCs w:val="24"/>
        </w:rPr>
        <w:t xml:space="preserve"> </w:t>
      </w:r>
      <w:r>
        <w:rPr>
          <w:rFonts w:ascii="Arial" w:hAnsi="Arial" w:cs="Arial"/>
          <w:sz w:val="24"/>
          <w:szCs w:val="24"/>
        </w:rPr>
        <w:t xml:space="preserve">(&lt; 10, 10-30, and &gt; 30 </w:t>
      </w:r>
      <w:proofErr w:type="spellStart"/>
      <w:r>
        <w:rPr>
          <w:rFonts w:ascii="Arial" w:hAnsi="Arial" w:cs="Arial"/>
          <w:sz w:val="24"/>
          <w:szCs w:val="24"/>
        </w:rPr>
        <w:t>pg</w:t>
      </w:r>
      <w:proofErr w:type="spellEnd"/>
      <w:r>
        <w:rPr>
          <w:rFonts w:ascii="Arial" w:hAnsi="Arial" w:cs="Arial"/>
          <w:sz w:val="24"/>
          <w:szCs w:val="24"/>
        </w:rPr>
        <w:t xml:space="preserve">/ml) was quantified and displayed in different </w:t>
      </w:r>
      <w:proofErr w:type="spellStart"/>
      <w:r>
        <w:rPr>
          <w:rFonts w:ascii="Arial" w:hAnsi="Arial" w:cs="Arial"/>
          <w:sz w:val="24"/>
          <w:szCs w:val="24"/>
        </w:rPr>
        <w:t>color</w:t>
      </w:r>
      <w:proofErr w:type="spellEnd"/>
      <w:r>
        <w:rPr>
          <w:rFonts w:ascii="Arial" w:hAnsi="Arial" w:cs="Arial"/>
          <w:sz w:val="24"/>
          <w:szCs w:val="24"/>
        </w:rPr>
        <w:t>.  Significance was calculated using one-way ANOVA. ns: no significance; **</w:t>
      </w:r>
      <w:r w:rsidRPr="000B61A6">
        <w:rPr>
          <w:rFonts w:ascii="Arial" w:hAnsi="Arial" w:cs="Arial"/>
          <w:i/>
          <w:iCs/>
          <w:sz w:val="24"/>
          <w:szCs w:val="24"/>
        </w:rPr>
        <w:t>P</w:t>
      </w:r>
      <w:r>
        <w:rPr>
          <w:rFonts w:ascii="Arial" w:hAnsi="Arial" w:cs="Arial"/>
          <w:sz w:val="24"/>
          <w:szCs w:val="24"/>
        </w:rPr>
        <w:t>&lt;0.01; ***</w:t>
      </w:r>
      <w:r w:rsidRPr="000B61A6">
        <w:rPr>
          <w:rFonts w:ascii="Arial" w:hAnsi="Arial" w:cs="Arial"/>
          <w:i/>
          <w:iCs/>
          <w:sz w:val="24"/>
          <w:szCs w:val="24"/>
        </w:rPr>
        <w:t>P</w:t>
      </w:r>
      <w:r>
        <w:rPr>
          <w:rFonts w:ascii="Arial" w:hAnsi="Arial" w:cs="Arial"/>
          <w:sz w:val="24"/>
          <w:szCs w:val="24"/>
        </w:rPr>
        <w:t>&lt;0.001; ****</w:t>
      </w:r>
      <w:r w:rsidRPr="000B61A6">
        <w:rPr>
          <w:rFonts w:ascii="Arial" w:hAnsi="Arial" w:cs="Arial"/>
          <w:i/>
          <w:iCs/>
          <w:sz w:val="24"/>
          <w:szCs w:val="24"/>
        </w:rPr>
        <w:t>P</w:t>
      </w:r>
      <w:r>
        <w:rPr>
          <w:rFonts w:ascii="Arial" w:hAnsi="Arial" w:cs="Arial"/>
          <w:sz w:val="24"/>
          <w:szCs w:val="24"/>
        </w:rPr>
        <w:t>&lt;0.0001.</w:t>
      </w:r>
    </w:p>
    <w:p w14:paraId="623187FB" w14:textId="6FF5BDB2" w:rsidR="007E0018" w:rsidRDefault="007E0018" w:rsidP="007514C1">
      <w:pPr>
        <w:spacing w:line="360" w:lineRule="auto"/>
        <w:rPr>
          <w:rFonts w:ascii="Arial" w:hAnsi="Arial" w:cs="Arial"/>
          <w:b/>
          <w:bCs/>
          <w:sz w:val="24"/>
          <w:szCs w:val="24"/>
        </w:rPr>
      </w:pPr>
    </w:p>
    <w:p w14:paraId="417B5A10" w14:textId="27E55D67" w:rsidR="005519F1" w:rsidRDefault="005519F1" w:rsidP="005519F1">
      <w:pPr>
        <w:spacing w:line="360" w:lineRule="auto"/>
        <w:jc w:val="both"/>
        <w:rPr>
          <w:rFonts w:ascii="Arial" w:hAnsi="Arial" w:cs="Arial"/>
          <w:b/>
          <w:bCs/>
          <w:sz w:val="24"/>
          <w:szCs w:val="24"/>
        </w:rPr>
      </w:pPr>
      <w:r>
        <w:rPr>
          <w:rFonts w:ascii="Arial" w:hAnsi="Arial" w:cs="Arial"/>
          <w:b/>
          <w:bCs/>
          <w:sz w:val="24"/>
          <w:szCs w:val="24"/>
        </w:rPr>
        <w:t xml:space="preserve">Supplementary Figure 2. T cell profile after </w:t>
      </w:r>
      <w:r w:rsidRPr="007F5415">
        <w:rPr>
          <w:rFonts w:ascii="Arial" w:hAnsi="Arial" w:cs="Arial"/>
          <w:b/>
          <w:bCs/>
          <w:i/>
          <w:iCs/>
          <w:sz w:val="24"/>
          <w:szCs w:val="24"/>
        </w:rPr>
        <w:t>in vitro</w:t>
      </w:r>
      <w:r>
        <w:rPr>
          <w:rFonts w:ascii="Arial" w:hAnsi="Arial" w:cs="Arial"/>
          <w:b/>
          <w:bCs/>
          <w:sz w:val="24"/>
          <w:szCs w:val="24"/>
        </w:rPr>
        <w:t xml:space="preserve"> expansion and electroporation</w:t>
      </w:r>
    </w:p>
    <w:p w14:paraId="253D04FF" w14:textId="66E45F3E" w:rsidR="005519F1" w:rsidRPr="00BE5F91" w:rsidRDefault="00BE5F91" w:rsidP="00BE5F91">
      <w:pPr>
        <w:spacing w:line="360" w:lineRule="auto"/>
        <w:jc w:val="both"/>
        <w:rPr>
          <w:rFonts w:ascii="Arial" w:hAnsi="Arial" w:cs="Arial"/>
          <w:sz w:val="24"/>
          <w:szCs w:val="24"/>
        </w:rPr>
      </w:pPr>
      <w:r w:rsidRPr="00BE5F91">
        <w:rPr>
          <w:rFonts w:ascii="Arial" w:hAnsi="Arial" w:cs="Arial"/>
          <w:b/>
          <w:bCs/>
          <w:sz w:val="24"/>
          <w:szCs w:val="24"/>
        </w:rPr>
        <w:t>A</w:t>
      </w:r>
      <w:r w:rsidRPr="00BE5F91">
        <w:rPr>
          <w:rFonts w:ascii="Arial" w:hAnsi="Arial" w:cs="Arial"/>
          <w:sz w:val="24"/>
          <w:szCs w:val="24"/>
        </w:rPr>
        <w:t>.</w:t>
      </w:r>
      <w:r>
        <w:rPr>
          <w:rFonts w:ascii="Arial" w:hAnsi="Arial" w:cs="Arial"/>
          <w:sz w:val="24"/>
          <w:szCs w:val="24"/>
        </w:rPr>
        <w:t xml:space="preserve"> Representative FACS plots showing the percentage of CD3</w:t>
      </w:r>
      <w:r w:rsidRPr="00BE5F91">
        <w:rPr>
          <w:rFonts w:ascii="Arial" w:hAnsi="Arial" w:cs="Arial"/>
          <w:sz w:val="24"/>
          <w:szCs w:val="24"/>
          <w:vertAlign w:val="superscript"/>
        </w:rPr>
        <w:t>+</w:t>
      </w:r>
      <w:r>
        <w:rPr>
          <w:rFonts w:ascii="Arial" w:hAnsi="Arial" w:cs="Arial"/>
          <w:sz w:val="24"/>
          <w:szCs w:val="24"/>
        </w:rPr>
        <w:t>, CD4</w:t>
      </w:r>
      <w:r w:rsidRPr="00BE5F91">
        <w:rPr>
          <w:rFonts w:ascii="Arial" w:hAnsi="Arial" w:cs="Arial"/>
          <w:sz w:val="24"/>
          <w:szCs w:val="24"/>
          <w:vertAlign w:val="superscript"/>
        </w:rPr>
        <w:t>+</w:t>
      </w:r>
      <w:r>
        <w:rPr>
          <w:rFonts w:ascii="Arial" w:hAnsi="Arial" w:cs="Arial"/>
          <w:sz w:val="24"/>
          <w:szCs w:val="24"/>
        </w:rPr>
        <w:t>, and CD8</w:t>
      </w:r>
      <w:r w:rsidRPr="00BE5F91">
        <w:rPr>
          <w:rFonts w:ascii="Arial" w:hAnsi="Arial" w:cs="Arial"/>
          <w:sz w:val="24"/>
          <w:szCs w:val="24"/>
          <w:vertAlign w:val="superscript"/>
        </w:rPr>
        <w:t>+</w:t>
      </w:r>
      <w:r>
        <w:rPr>
          <w:rFonts w:ascii="Arial" w:hAnsi="Arial" w:cs="Arial"/>
          <w:sz w:val="24"/>
          <w:szCs w:val="24"/>
        </w:rPr>
        <w:t xml:space="preserve"> T cells 8 days after </w:t>
      </w:r>
      <w:r w:rsidRPr="007F5415">
        <w:rPr>
          <w:rFonts w:ascii="Arial" w:hAnsi="Arial" w:cs="Arial"/>
          <w:i/>
          <w:iCs/>
          <w:sz w:val="24"/>
          <w:szCs w:val="24"/>
        </w:rPr>
        <w:t>in vitro</w:t>
      </w:r>
      <w:r>
        <w:rPr>
          <w:rFonts w:ascii="Arial" w:hAnsi="Arial" w:cs="Arial"/>
          <w:sz w:val="24"/>
          <w:szCs w:val="24"/>
        </w:rPr>
        <w:t xml:space="preserve"> expansion. </w:t>
      </w:r>
      <w:r w:rsidRPr="00BE5F91">
        <w:rPr>
          <w:rFonts w:ascii="Arial" w:hAnsi="Arial" w:cs="Arial"/>
          <w:b/>
          <w:bCs/>
          <w:sz w:val="24"/>
          <w:szCs w:val="24"/>
        </w:rPr>
        <w:t>B, C</w:t>
      </w:r>
      <w:r>
        <w:rPr>
          <w:rFonts w:ascii="Arial" w:hAnsi="Arial" w:cs="Arial"/>
          <w:sz w:val="24"/>
          <w:szCs w:val="24"/>
        </w:rPr>
        <w:t>. Percentage of CD3</w:t>
      </w:r>
      <w:r w:rsidRPr="00BE5F91">
        <w:rPr>
          <w:rFonts w:ascii="Arial" w:hAnsi="Arial" w:cs="Arial"/>
          <w:sz w:val="24"/>
          <w:szCs w:val="24"/>
          <w:vertAlign w:val="superscript"/>
        </w:rPr>
        <w:t>+</w:t>
      </w:r>
      <w:r>
        <w:rPr>
          <w:rFonts w:ascii="Arial" w:hAnsi="Arial" w:cs="Arial"/>
          <w:sz w:val="24"/>
          <w:szCs w:val="24"/>
        </w:rPr>
        <w:t>, CD4</w:t>
      </w:r>
      <w:r w:rsidRPr="00BE5F91">
        <w:rPr>
          <w:rFonts w:ascii="Arial" w:hAnsi="Arial" w:cs="Arial"/>
          <w:sz w:val="24"/>
          <w:szCs w:val="24"/>
          <w:vertAlign w:val="superscript"/>
        </w:rPr>
        <w:t>+</w:t>
      </w:r>
      <w:r>
        <w:rPr>
          <w:rFonts w:ascii="Arial" w:hAnsi="Arial" w:cs="Arial"/>
          <w:sz w:val="24"/>
          <w:szCs w:val="24"/>
        </w:rPr>
        <w:t>, and CD8</w:t>
      </w:r>
      <w:r w:rsidRPr="00BE5F91">
        <w:rPr>
          <w:rFonts w:ascii="Arial" w:hAnsi="Arial" w:cs="Arial"/>
          <w:sz w:val="24"/>
          <w:szCs w:val="24"/>
          <w:vertAlign w:val="superscript"/>
        </w:rPr>
        <w:t>+</w:t>
      </w:r>
      <w:r>
        <w:rPr>
          <w:rFonts w:ascii="Arial" w:hAnsi="Arial" w:cs="Arial"/>
          <w:sz w:val="24"/>
          <w:szCs w:val="24"/>
        </w:rPr>
        <w:t xml:space="preserve"> T cells 8 days after in vitro expansion summarized from A. n=7 for each condition. </w:t>
      </w:r>
      <w:r w:rsidRPr="00BE5F91">
        <w:rPr>
          <w:rFonts w:ascii="Arial" w:hAnsi="Arial" w:cs="Arial"/>
          <w:b/>
          <w:bCs/>
          <w:sz w:val="24"/>
          <w:szCs w:val="24"/>
        </w:rPr>
        <w:t>D</w:t>
      </w:r>
      <w:r>
        <w:rPr>
          <w:rFonts w:ascii="Arial" w:hAnsi="Arial" w:cs="Arial"/>
          <w:sz w:val="24"/>
          <w:szCs w:val="24"/>
        </w:rPr>
        <w:t xml:space="preserve">. Percentage of </w:t>
      </w:r>
      <w:r w:rsidRPr="005769E7">
        <w:rPr>
          <w:rFonts w:ascii="Arial" w:hAnsi="Arial" w:cs="Arial"/>
          <w:sz w:val="24"/>
          <w:szCs w:val="24"/>
        </w:rPr>
        <w:t>IFN</w:t>
      </w:r>
      <w:r>
        <w:rPr>
          <w:rFonts w:ascii="Arial" w:hAnsi="Arial" w:cs="Arial"/>
          <w:sz w:val="24"/>
          <w:szCs w:val="24"/>
        </w:rPr>
        <w:t>-</w:t>
      </w:r>
      <w:r w:rsidRPr="005769E7">
        <w:rPr>
          <w:rFonts w:ascii="Calibri" w:hAnsi="Calibri" w:cs="Calibri"/>
          <w:sz w:val="24"/>
          <w:szCs w:val="24"/>
        </w:rPr>
        <w:t>γ</w:t>
      </w:r>
      <w:r>
        <w:rPr>
          <w:rFonts w:ascii="Arial" w:hAnsi="Arial" w:cs="Arial"/>
          <w:sz w:val="24"/>
          <w:szCs w:val="24"/>
        </w:rPr>
        <w:t xml:space="preserve"> production of all the electroporated T cells </w:t>
      </w:r>
      <w:r w:rsidR="007F5415">
        <w:rPr>
          <w:rFonts w:ascii="Arial" w:hAnsi="Arial" w:cs="Arial"/>
          <w:sz w:val="24"/>
          <w:szCs w:val="24"/>
        </w:rPr>
        <w:t xml:space="preserve">(CD4 or CD8) </w:t>
      </w:r>
      <w:r>
        <w:rPr>
          <w:rFonts w:ascii="Arial" w:hAnsi="Arial" w:cs="Arial"/>
          <w:sz w:val="24"/>
          <w:szCs w:val="24"/>
        </w:rPr>
        <w:t>after overnight coculture with MHC-I matched EBV-B cells loaded with corresponding peptides. n=3 for each condition. Significance was calculated using one-way ANOVA. ns: no significance; *</w:t>
      </w:r>
      <w:r w:rsidRPr="00BE5F91">
        <w:rPr>
          <w:rFonts w:ascii="Arial" w:hAnsi="Arial" w:cs="Arial"/>
          <w:i/>
          <w:iCs/>
          <w:sz w:val="24"/>
          <w:szCs w:val="24"/>
        </w:rPr>
        <w:t>P</w:t>
      </w:r>
      <w:r>
        <w:rPr>
          <w:rFonts w:ascii="Arial" w:hAnsi="Arial" w:cs="Arial"/>
          <w:sz w:val="24"/>
          <w:szCs w:val="24"/>
        </w:rPr>
        <w:t>&lt;0.05; **</w:t>
      </w:r>
      <w:r w:rsidRPr="000B61A6">
        <w:rPr>
          <w:rFonts w:ascii="Arial" w:hAnsi="Arial" w:cs="Arial"/>
          <w:i/>
          <w:iCs/>
          <w:sz w:val="24"/>
          <w:szCs w:val="24"/>
        </w:rPr>
        <w:t>P</w:t>
      </w:r>
      <w:r>
        <w:rPr>
          <w:rFonts w:ascii="Arial" w:hAnsi="Arial" w:cs="Arial"/>
          <w:sz w:val="24"/>
          <w:szCs w:val="24"/>
        </w:rPr>
        <w:t>&lt;0.01.</w:t>
      </w:r>
    </w:p>
    <w:p w14:paraId="53D1660C" w14:textId="77777777" w:rsidR="005519F1" w:rsidRPr="00577E0C" w:rsidRDefault="005519F1" w:rsidP="005519F1">
      <w:pPr>
        <w:spacing w:line="360" w:lineRule="auto"/>
        <w:jc w:val="both"/>
        <w:rPr>
          <w:rFonts w:ascii="Arial" w:hAnsi="Arial" w:cs="Arial"/>
          <w:b/>
          <w:bCs/>
          <w:sz w:val="24"/>
          <w:szCs w:val="24"/>
        </w:rPr>
      </w:pPr>
    </w:p>
    <w:p w14:paraId="1D42C827" w14:textId="11FB4794" w:rsidR="007514C1" w:rsidRPr="00E75159" w:rsidRDefault="007514C1" w:rsidP="007514C1">
      <w:pPr>
        <w:spacing w:line="360" w:lineRule="auto"/>
        <w:jc w:val="both"/>
        <w:rPr>
          <w:rFonts w:ascii="Arial" w:hAnsi="Arial" w:cs="Arial"/>
          <w:b/>
          <w:bCs/>
          <w:sz w:val="24"/>
          <w:szCs w:val="24"/>
        </w:rPr>
      </w:pPr>
      <w:r w:rsidRPr="00E75159">
        <w:rPr>
          <w:rFonts w:ascii="Arial" w:hAnsi="Arial" w:cs="Arial"/>
          <w:b/>
          <w:bCs/>
          <w:sz w:val="24"/>
          <w:szCs w:val="24"/>
        </w:rPr>
        <w:t xml:space="preserve">Supplementary Figure </w:t>
      </w:r>
      <w:r w:rsidR="005519F1">
        <w:rPr>
          <w:rFonts w:ascii="Arial" w:hAnsi="Arial" w:cs="Arial"/>
          <w:b/>
          <w:bCs/>
          <w:sz w:val="24"/>
          <w:szCs w:val="24"/>
        </w:rPr>
        <w:t>3</w:t>
      </w:r>
      <w:r w:rsidRPr="00E75159">
        <w:rPr>
          <w:rFonts w:ascii="Arial" w:hAnsi="Arial" w:cs="Arial"/>
          <w:b/>
          <w:bCs/>
          <w:sz w:val="24"/>
          <w:szCs w:val="24"/>
        </w:rPr>
        <w:t>. Global frequencies of the HLA alleles from the SARS-CoV-2 TCR-T cell library</w:t>
      </w:r>
    </w:p>
    <w:p w14:paraId="26053392" w14:textId="655622F3" w:rsidR="007514C1" w:rsidRDefault="007514C1" w:rsidP="007514C1">
      <w:pPr>
        <w:spacing w:line="360" w:lineRule="auto"/>
        <w:jc w:val="both"/>
        <w:rPr>
          <w:rFonts w:ascii="Arial" w:hAnsi="Arial" w:cs="Arial"/>
          <w:sz w:val="24"/>
          <w:szCs w:val="24"/>
        </w:rPr>
      </w:pPr>
      <w:r w:rsidRPr="009B7F6F">
        <w:rPr>
          <w:rFonts w:ascii="Arial" w:hAnsi="Arial" w:cs="Arial"/>
          <w:b/>
          <w:bCs/>
          <w:sz w:val="24"/>
          <w:szCs w:val="24"/>
        </w:rPr>
        <w:lastRenderedPageBreak/>
        <w:t>A</w:t>
      </w:r>
      <w:r>
        <w:rPr>
          <w:rFonts w:ascii="Arial" w:hAnsi="Arial" w:cs="Arial"/>
          <w:sz w:val="24"/>
          <w:szCs w:val="24"/>
        </w:rPr>
        <w:t xml:space="preserve">. Heat map showing the geographical distribution of individual HLA allele </w:t>
      </w:r>
      <w:r w:rsidRPr="00E75159">
        <w:rPr>
          <w:rFonts w:ascii="Arial" w:hAnsi="Arial" w:cs="Arial"/>
          <w:sz w:val="24"/>
          <w:szCs w:val="24"/>
        </w:rPr>
        <w:t xml:space="preserve">from </w:t>
      </w:r>
      <w:r>
        <w:rPr>
          <w:rFonts w:ascii="Arial" w:hAnsi="Arial" w:cs="Arial"/>
          <w:sz w:val="24"/>
          <w:szCs w:val="24"/>
        </w:rPr>
        <w:t>the</w:t>
      </w:r>
      <w:r w:rsidRPr="00E75159">
        <w:rPr>
          <w:rFonts w:ascii="Arial" w:hAnsi="Arial" w:cs="Arial"/>
          <w:sz w:val="24"/>
          <w:szCs w:val="24"/>
        </w:rPr>
        <w:t xml:space="preserve"> SARS-CoV-2 TCR-T library.</w:t>
      </w:r>
      <w:r>
        <w:rPr>
          <w:rFonts w:ascii="Arial" w:hAnsi="Arial" w:cs="Arial"/>
          <w:sz w:val="24"/>
          <w:szCs w:val="24"/>
        </w:rPr>
        <w:t xml:space="preserve"> </w:t>
      </w:r>
      <w:r w:rsidRPr="009B7F6F">
        <w:rPr>
          <w:rFonts w:ascii="Arial" w:hAnsi="Arial" w:cs="Arial"/>
          <w:b/>
          <w:bCs/>
          <w:sz w:val="24"/>
          <w:szCs w:val="24"/>
        </w:rPr>
        <w:t>B</w:t>
      </w:r>
      <w:r>
        <w:rPr>
          <w:rFonts w:ascii="Arial" w:hAnsi="Arial" w:cs="Arial"/>
          <w:sz w:val="24"/>
          <w:szCs w:val="24"/>
        </w:rPr>
        <w:t>. Population coverage of the HLA alleles and epitopes from the SARS-CoV-2 TCR-T cell library. Data was generated from IEDB analysis resource.</w:t>
      </w:r>
    </w:p>
    <w:p w14:paraId="6E52D59E" w14:textId="77777777" w:rsidR="007514C1" w:rsidRDefault="007514C1" w:rsidP="007514C1">
      <w:pPr>
        <w:spacing w:line="360" w:lineRule="auto"/>
        <w:jc w:val="both"/>
        <w:rPr>
          <w:rFonts w:ascii="Arial" w:hAnsi="Arial" w:cs="Arial"/>
          <w:sz w:val="24"/>
          <w:szCs w:val="24"/>
        </w:rPr>
      </w:pPr>
    </w:p>
    <w:p w14:paraId="685AC17C" w14:textId="77777777" w:rsidR="007514C1" w:rsidRPr="007514C1" w:rsidRDefault="007514C1"/>
    <w:sectPr w:rsidR="007514C1" w:rsidRPr="007514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94E76"/>
    <w:multiLevelType w:val="hybridMultilevel"/>
    <w:tmpl w:val="01B0FF8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819729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CC"/>
    <w:rsid w:val="000A329D"/>
    <w:rsid w:val="000C3560"/>
    <w:rsid w:val="00222916"/>
    <w:rsid w:val="00543275"/>
    <w:rsid w:val="005519F1"/>
    <w:rsid w:val="005B4D07"/>
    <w:rsid w:val="005B63D9"/>
    <w:rsid w:val="005D0997"/>
    <w:rsid w:val="007514C1"/>
    <w:rsid w:val="0075688F"/>
    <w:rsid w:val="007C2E19"/>
    <w:rsid w:val="007E0018"/>
    <w:rsid w:val="007F5415"/>
    <w:rsid w:val="00801C81"/>
    <w:rsid w:val="00823AA8"/>
    <w:rsid w:val="00940ECE"/>
    <w:rsid w:val="00AE3DED"/>
    <w:rsid w:val="00BE5F91"/>
    <w:rsid w:val="00C30FCE"/>
    <w:rsid w:val="00DF370B"/>
    <w:rsid w:val="00EF74CC"/>
    <w:rsid w:val="00FC1B5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8539"/>
  <w15:chartTrackingRefBased/>
  <w15:docId w15:val="{27D6DF2F-ED08-4301-8D2A-339A237B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4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9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Chen</dc:creator>
  <cp:keywords/>
  <dc:description/>
  <cp:lastModifiedBy>Qi Chen</cp:lastModifiedBy>
  <cp:revision>21</cp:revision>
  <dcterms:created xsi:type="dcterms:W3CDTF">2023-01-08T15:23:00Z</dcterms:created>
  <dcterms:modified xsi:type="dcterms:W3CDTF">2023-03-27T10:00:00Z</dcterms:modified>
</cp:coreProperties>
</file>