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7DA3F7" w14:textId="731119E5" w:rsidR="00FB7AAE" w:rsidRPr="00686079" w:rsidRDefault="00FB7AAE" w:rsidP="00FB7AAE">
      <w:pPr>
        <w:pStyle w:val="Heading2"/>
        <w:numPr>
          <w:ilvl w:val="0"/>
          <w:numId w:val="0"/>
        </w:numPr>
        <w:ind w:left="576" w:hanging="576"/>
      </w:pPr>
      <w:r>
        <w:t>S</w:t>
      </w:r>
      <w:r w:rsidR="00F41E44">
        <w:t>I8</w:t>
      </w:r>
      <w:r>
        <w:t xml:space="preserve"> </w:t>
      </w:r>
      <w:r w:rsidRPr="00686079">
        <w:t>Decarbonisation</w:t>
      </w:r>
      <w:r>
        <w:t xml:space="preserve"> Assumptions</w:t>
      </w:r>
    </w:p>
    <w:p w14:paraId="38083431" w14:textId="77777777" w:rsidR="00FB7AAE" w:rsidRDefault="00FB7AAE" w:rsidP="00FB7AAE"/>
    <w:p w14:paraId="2DC70023" w14:textId="4F9E8093" w:rsidR="00FB7AAE" w:rsidRDefault="00FB7AAE" w:rsidP="00FB7AAE">
      <w:r>
        <w:t xml:space="preserve">Decarbonisation of the forestry value chain is highly dependent on the development of </w:t>
      </w:r>
      <w:r w:rsidR="00F265D3">
        <w:t xml:space="preserve">zero emissions mobile machinery and heavy goods vehicles (HGVs), as well as electricity and gas grid decarbonisation. </w:t>
      </w:r>
      <w:r>
        <w:t xml:space="preserve"> A summary of the decarbonisation projections </w:t>
      </w:r>
      <w:r w:rsidR="00CC4730">
        <w:t>used</w:t>
      </w:r>
      <w:r>
        <w:t xml:space="preserve"> in </w:t>
      </w:r>
      <w:r w:rsidR="00CC4730">
        <w:t xml:space="preserve">the study are summarised in </w:t>
      </w:r>
      <w:r w:rsidR="00EA56B9">
        <w:t>Table 1</w:t>
      </w:r>
      <w:r>
        <w:t xml:space="preserve"> and </w:t>
      </w:r>
      <w:r>
        <w:t>described</w:t>
      </w:r>
      <w:r>
        <w:t xml:space="preserve"> below. </w:t>
      </w:r>
      <w:r w:rsidR="00526C2F">
        <w:t>Calculations are also contained in S3 LCA – BAU.</w:t>
      </w:r>
      <w:bookmarkStart w:id="0" w:name="_GoBack"/>
      <w:bookmarkEnd w:id="0"/>
    </w:p>
    <w:p w14:paraId="465D0B5E" w14:textId="77777777" w:rsidR="00FB7AAE" w:rsidRDefault="00FB7AAE" w:rsidP="00FB7AAE"/>
    <w:p w14:paraId="7A89E804" w14:textId="7ADB0545" w:rsidR="00FB7AAE" w:rsidRDefault="00FB7AAE" w:rsidP="00FB7AAE">
      <w:pPr>
        <w:pStyle w:val="Caption"/>
        <w:keepNext/>
      </w:pPr>
      <w:r>
        <w:t xml:space="preserve">Table </w:t>
      </w:r>
      <w:r w:rsidR="00EA56B9">
        <w:t>1</w:t>
      </w:r>
      <w:r>
        <w:t xml:space="preserve"> – Industrial decarbonisation projection assumptions </w:t>
      </w:r>
      <w:r w:rsidR="002B26AF">
        <w:t>for</w:t>
      </w:r>
      <w:r>
        <w:t xml:space="preserve"> </w:t>
      </w:r>
      <w:r w:rsidR="002B26AF">
        <w:t>greenhouse gas (</w:t>
      </w:r>
      <w:r>
        <w:t>GHG</w:t>
      </w:r>
      <w:r w:rsidR="002B26AF">
        <w:t xml:space="preserve">) emissions </w:t>
      </w:r>
      <w:r>
        <w:t>from forestry operations, wood processing and transport</w:t>
      </w:r>
      <w:r w:rsidR="002B26AF">
        <w:t>, and from production of substituted products (concrete and fossil fuels</w:t>
      </w:r>
      <w:r>
        <w:t xml:space="preserve">). </w:t>
      </w:r>
      <w:r w:rsidR="002B26AF">
        <w:t>For clarity, 100% indicates zero GHG emissions</w:t>
      </w:r>
      <w:r>
        <w:t>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276"/>
        <w:gridCol w:w="1276"/>
        <w:gridCol w:w="1275"/>
        <w:gridCol w:w="1276"/>
        <w:gridCol w:w="1843"/>
      </w:tblGrid>
      <w:tr w:rsidR="00F265D3" w:rsidRPr="00F27F3A" w14:paraId="21654B8F" w14:textId="52487945" w:rsidTr="00F265D3">
        <w:trPr>
          <w:trHeight w:val="300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796DD9D" w14:textId="77777777" w:rsidR="00F265D3" w:rsidRPr="00F27F3A" w:rsidRDefault="00F265D3" w:rsidP="00F567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  <w:gridSpan w:val="4"/>
            <w:shd w:val="clear" w:color="auto" w:fill="auto"/>
            <w:noWrap/>
            <w:vAlign w:val="bottom"/>
            <w:hideMark/>
          </w:tcPr>
          <w:p w14:paraId="2A64A871" w14:textId="73A7CC22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b/>
                <w:color w:val="000000"/>
              </w:rPr>
              <w:t>Time period</w:t>
            </w:r>
          </w:p>
        </w:tc>
        <w:tc>
          <w:tcPr>
            <w:tcW w:w="1843" w:type="dxa"/>
          </w:tcPr>
          <w:p w14:paraId="41612D06" w14:textId="4911C1C1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</w:rPr>
              <w:t>Source</w:t>
            </w:r>
          </w:p>
        </w:tc>
      </w:tr>
      <w:tr w:rsidR="00F265D3" w:rsidRPr="00F27F3A" w14:paraId="2C4A5809" w14:textId="48091AAB" w:rsidTr="00F265D3">
        <w:trPr>
          <w:trHeight w:val="300"/>
        </w:trPr>
        <w:tc>
          <w:tcPr>
            <w:tcW w:w="2405" w:type="dxa"/>
            <w:shd w:val="clear" w:color="auto" w:fill="auto"/>
            <w:vAlign w:val="bottom"/>
            <w:hideMark/>
          </w:tcPr>
          <w:p w14:paraId="461062D3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b/>
                <w:color w:val="000000"/>
              </w:rPr>
              <w:t>Sub-sector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7DAC0321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2020-2029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4B00F7F5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2030-2039</w:t>
            </w:r>
          </w:p>
        </w:tc>
        <w:tc>
          <w:tcPr>
            <w:tcW w:w="1275" w:type="dxa"/>
            <w:shd w:val="clear" w:color="auto" w:fill="auto"/>
            <w:vAlign w:val="bottom"/>
            <w:hideMark/>
          </w:tcPr>
          <w:p w14:paraId="7F354C4A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2040-2049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3ABCAE5E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2050-2059</w:t>
            </w:r>
          </w:p>
        </w:tc>
        <w:tc>
          <w:tcPr>
            <w:tcW w:w="1843" w:type="dxa"/>
          </w:tcPr>
          <w:p w14:paraId="2050E3A5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265D3" w:rsidRPr="00F27F3A" w14:paraId="721B04C6" w14:textId="5A39FC65" w:rsidTr="00F265D3">
        <w:trPr>
          <w:trHeight w:val="600"/>
        </w:trPr>
        <w:tc>
          <w:tcPr>
            <w:tcW w:w="2405" w:type="dxa"/>
            <w:shd w:val="clear" w:color="auto" w:fill="auto"/>
            <w:vAlign w:val="bottom"/>
            <w:hideMark/>
          </w:tcPr>
          <w:p w14:paraId="3B202E68" w14:textId="79D81407" w:rsidR="00F265D3" w:rsidRPr="00F27F3A" w:rsidRDefault="00603B0A" w:rsidP="001E280D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Forestry operations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5CA11D27" w14:textId="3134F28C" w:rsidR="00F265D3" w:rsidRPr="00F27F3A" w:rsidRDefault="00F265D3" w:rsidP="001E280D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</w:rPr>
              <w:t>3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2BE8450D" w14:textId="42765297" w:rsidR="00F265D3" w:rsidRPr="00F27F3A" w:rsidRDefault="00F265D3" w:rsidP="001E280D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</w:rPr>
              <w:t>3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5" w:type="dxa"/>
            <w:shd w:val="clear" w:color="auto" w:fill="auto"/>
            <w:vAlign w:val="bottom"/>
            <w:hideMark/>
          </w:tcPr>
          <w:p w14:paraId="08ADBC13" w14:textId="6FF3B0BA" w:rsidR="00F265D3" w:rsidRPr="00F27F3A" w:rsidRDefault="00F265D3" w:rsidP="001E280D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</w:rPr>
              <w:t>7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0C14C8CC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100%</w:t>
            </w:r>
          </w:p>
        </w:tc>
        <w:tc>
          <w:tcPr>
            <w:tcW w:w="1843" w:type="dxa"/>
          </w:tcPr>
          <w:p w14:paraId="7D948528" w14:textId="1C2808BA" w:rsidR="00F265D3" w:rsidRPr="002B26AF" w:rsidRDefault="00F265D3" w:rsidP="002C5021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CCC Sixth Carbon budget report</w:t>
            </w:r>
            <w:r w:rsidR="002C5021">
              <w:rPr>
                <w:rFonts w:ascii="Calibri" w:eastAsia="Times New Roman" w:hAnsi="Calibri" w:cs="Times New Roman"/>
                <w:color w:val="000000"/>
                <w:highlight w:val="yellow"/>
                <w:vertAlign w:val="superscript"/>
              </w:rPr>
              <w:t>1</w:t>
            </w:r>
          </w:p>
        </w:tc>
      </w:tr>
      <w:tr w:rsidR="00F265D3" w:rsidRPr="00F27F3A" w14:paraId="001A7129" w14:textId="45C540E6" w:rsidTr="00F265D3">
        <w:trPr>
          <w:trHeight w:val="300"/>
        </w:trPr>
        <w:tc>
          <w:tcPr>
            <w:tcW w:w="2405" w:type="dxa"/>
            <w:shd w:val="clear" w:color="auto" w:fill="auto"/>
            <w:vAlign w:val="bottom"/>
            <w:hideMark/>
          </w:tcPr>
          <w:p w14:paraId="11931353" w14:textId="1506DF5A" w:rsidR="00F265D3" w:rsidRPr="00F27F3A" w:rsidRDefault="00F265D3" w:rsidP="001E280D">
            <w:pPr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Sawmills</w:t>
            </w:r>
            <w:r w:rsidR="002B26AF">
              <w:rPr>
                <w:rFonts w:ascii="Calibri" w:eastAsia="Times New Roman" w:hAnsi="Calibri" w:cs="Times New Roman"/>
                <w:color w:val="000000"/>
              </w:rPr>
              <w:t xml:space="preserve"> &amp; woodfuel production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52590023" w14:textId="2C4A03A1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39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3B672644" w14:textId="1EAC0733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62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5" w:type="dxa"/>
            <w:shd w:val="clear" w:color="auto" w:fill="auto"/>
            <w:vAlign w:val="bottom"/>
            <w:hideMark/>
          </w:tcPr>
          <w:p w14:paraId="7F33D996" w14:textId="6E8C8765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82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032F5C5D" w14:textId="6F6931C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92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843" w:type="dxa"/>
          </w:tcPr>
          <w:p w14:paraId="3B578AA7" w14:textId="3E966CDF" w:rsidR="00F265D3" w:rsidRPr="002B26AF" w:rsidRDefault="009646B3" w:rsidP="009646B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 (Wood fuel assumed to be similar to sawmills).</w:t>
            </w:r>
          </w:p>
        </w:tc>
      </w:tr>
      <w:tr w:rsidR="00F265D3" w:rsidRPr="00F27F3A" w14:paraId="072FD9DA" w14:textId="51E4C853" w:rsidTr="00F265D3">
        <w:trPr>
          <w:trHeight w:val="300"/>
        </w:trPr>
        <w:tc>
          <w:tcPr>
            <w:tcW w:w="2405" w:type="dxa"/>
            <w:shd w:val="clear" w:color="auto" w:fill="auto"/>
            <w:vAlign w:val="bottom"/>
            <w:hideMark/>
          </w:tcPr>
          <w:p w14:paraId="4AEC85E8" w14:textId="77777777" w:rsidR="00F265D3" w:rsidRPr="00F27F3A" w:rsidRDefault="00F265D3" w:rsidP="001E280D">
            <w:pPr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Wood panel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production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6ED9FD94" w14:textId="34B3539D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25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3BE210F9" w14:textId="16DDC14A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60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5" w:type="dxa"/>
            <w:shd w:val="clear" w:color="auto" w:fill="auto"/>
            <w:vAlign w:val="bottom"/>
            <w:hideMark/>
          </w:tcPr>
          <w:p w14:paraId="6AB2042F" w14:textId="08F8D0EF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</w:t>
            </w:r>
            <w:r w:rsidRPr="00F27F3A">
              <w:rPr>
                <w:rFonts w:ascii="Calibri" w:eastAsia="Times New Roman" w:hAnsi="Calibri" w:cs="Times New Roman"/>
                <w:color w:val="000000"/>
              </w:rPr>
              <w:t>0%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4A577636" w14:textId="77777777" w:rsidR="00F265D3" w:rsidRPr="00F27F3A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27F3A">
              <w:rPr>
                <w:rFonts w:ascii="Calibri" w:eastAsia="Times New Roman" w:hAnsi="Calibri" w:cs="Times New Roman"/>
                <w:color w:val="000000"/>
              </w:rPr>
              <w:t>79%</w:t>
            </w:r>
          </w:p>
        </w:tc>
        <w:tc>
          <w:tcPr>
            <w:tcW w:w="1843" w:type="dxa"/>
          </w:tcPr>
          <w:p w14:paraId="50E5EDF2" w14:textId="30842E8C" w:rsidR="00F265D3" w:rsidRPr="00F27F3A" w:rsidRDefault="00F342B5" w:rsidP="00F342B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SLR Consulting Ltd.</w:t>
            </w:r>
            <w:r w:rsidR="002C5021">
              <w:rPr>
                <w:rFonts w:ascii="Calibri" w:eastAsia="Times New Roman" w:hAnsi="Calibri" w:cs="Times New Roman"/>
                <w:color w:val="000000"/>
                <w:highlight w:val="yellow"/>
                <w:vertAlign w:val="superscript"/>
              </w:rPr>
              <w:t>2</w:t>
            </w:r>
          </w:p>
        </w:tc>
      </w:tr>
      <w:tr w:rsidR="00EF6F54" w:rsidRPr="00EF6F54" w14:paraId="10C9BEDA" w14:textId="77777777" w:rsidTr="00F265D3">
        <w:trPr>
          <w:trHeight w:val="300"/>
        </w:trPr>
        <w:tc>
          <w:tcPr>
            <w:tcW w:w="2405" w:type="dxa"/>
            <w:shd w:val="clear" w:color="auto" w:fill="auto"/>
            <w:vAlign w:val="bottom"/>
          </w:tcPr>
          <w:p w14:paraId="77709273" w14:textId="7E82D8DA" w:rsidR="00EF6F54" w:rsidRPr="00EF6F54" w:rsidRDefault="00EF6F54" w:rsidP="001E280D">
            <w:pPr>
              <w:rPr>
                <w:rFonts w:ascii="Calibri" w:eastAsia="Times New Roman" w:hAnsi="Calibri" w:cs="Times New Roman"/>
                <w:b/>
                <w:color w:val="000000"/>
              </w:rPr>
            </w:pPr>
            <w:r w:rsidRPr="00EF6F54">
              <w:rPr>
                <w:rFonts w:ascii="Calibri" w:eastAsia="Times New Roman" w:hAnsi="Calibri" w:cs="Times New Roman"/>
                <w:b/>
                <w:color w:val="000000"/>
              </w:rPr>
              <w:t>Energy supply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4AF2E61" w14:textId="77777777" w:rsidR="00EF6F54" w:rsidRPr="00EF6F54" w:rsidRDefault="00EF6F54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3F930898" w14:textId="77777777" w:rsidR="00EF6F54" w:rsidRPr="00EF6F54" w:rsidRDefault="00EF6F54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14:paraId="06BD8265" w14:textId="77777777" w:rsidR="00EF6F54" w:rsidRPr="00EF6F54" w:rsidRDefault="00EF6F54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F4001A2" w14:textId="77777777" w:rsidR="00EF6F54" w:rsidRPr="00EF6F54" w:rsidRDefault="00EF6F54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14:paraId="458B6C62" w14:textId="77777777" w:rsidR="00EF6F54" w:rsidRPr="00EF6F54" w:rsidRDefault="00EF6F54" w:rsidP="00F56782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</w:tr>
      <w:tr w:rsidR="00F265D3" w:rsidRPr="00F27F3A" w14:paraId="0955B992" w14:textId="77777777" w:rsidTr="00F56782">
        <w:trPr>
          <w:trHeight w:val="300"/>
        </w:trPr>
        <w:tc>
          <w:tcPr>
            <w:tcW w:w="2405" w:type="dxa"/>
            <w:shd w:val="clear" w:color="auto" w:fill="auto"/>
            <w:vAlign w:val="bottom"/>
          </w:tcPr>
          <w:p w14:paraId="765B297C" w14:textId="77777777" w:rsidR="00F265D3" w:rsidRDefault="00F265D3" w:rsidP="00F56782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Gas grid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2537BE6" w14:textId="77777777" w:rsidR="00F265D3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5%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7C4F826" w14:textId="77777777" w:rsidR="00F265D3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10%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A70C296" w14:textId="77777777" w:rsidR="00F265D3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20%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2E5ED34" w14:textId="77777777" w:rsidR="00F265D3" w:rsidRDefault="00F265D3" w:rsidP="00F56782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30%</w:t>
            </w:r>
          </w:p>
        </w:tc>
        <w:tc>
          <w:tcPr>
            <w:tcW w:w="1843" w:type="dxa"/>
          </w:tcPr>
          <w:p w14:paraId="39C9AF45" w14:textId="370DF4DC" w:rsidR="00F265D3" w:rsidRDefault="00F342B5" w:rsidP="002C5021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SLR Consulting Ltd</w:t>
            </w:r>
            <w:r w:rsidR="002C5021">
              <w:rPr>
                <w:rFonts w:ascii="Calibri" w:eastAsia="Times New Roman" w:hAnsi="Calibri" w:cs="Times New Roman"/>
                <w:color w:val="000000"/>
                <w:highlight w:val="yellow"/>
                <w:vertAlign w:val="superscript"/>
              </w:rPr>
              <w:t>2</w:t>
            </w:r>
          </w:p>
        </w:tc>
      </w:tr>
      <w:tr w:rsidR="00EF6F54" w:rsidRPr="00F27F3A" w14:paraId="541E7B10" w14:textId="77777777" w:rsidTr="00F56782">
        <w:trPr>
          <w:trHeight w:val="300"/>
        </w:trPr>
        <w:tc>
          <w:tcPr>
            <w:tcW w:w="2405" w:type="dxa"/>
            <w:shd w:val="clear" w:color="auto" w:fill="auto"/>
            <w:vAlign w:val="bottom"/>
          </w:tcPr>
          <w:p w14:paraId="596634C6" w14:textId="24933AB7" w:rsidR="00EF6F54" w:rsidRDefault="00EF6F54" w:rsidP="00EF6F54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Electricity grid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1036606" w14:textId="7CECDF92" w:rsidR="00EF6F54" w:rsidRDefault="00EF6F54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50%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A6DC2B5" w14:textId="2649CC91" w:rsidR="00EF6F54" w:rsidRDefault="00EF6F54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77%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FD35B05" w14:textId="78399922" w:rsidR="00EF6F54" w:rsidRDefault="00EF6F54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95%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578A50" w14:textId="54B4B1F9" w:rsidR="00EF6F54" w:rsidRDefault="00EF6F54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100%</w:t>
            </w:r>
          </w:p>
        </w:tc>
        <w:tc>
          <w:tcPr>
            <w:tcW w:w="1843" w:type="dxa"/>
          </w:tcPr>
          <w:p w14:paraId="5B61DB14" w14:textId="719F5C4C" w:rsidR="00EF6F54" w:rsidRDefault="00EF6F54" w:rsidP="002C5021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CCC Sixth Carbon budget report</w:t>
            </w:r>
            <w:r w:rsidR="002C5021" w:rsidRPr="002C5021">
              <w:rPr>
                <w:rFonts w:ascii="Calibri" w:eastAsia="Times New Roman" w:hAnsi="Calibri" w:cs="Times New Roman"/>
                <w:color w:val="000000"/>
                <w:highlight w:val="yellow"/>
                <w:vertAlign w:val="superscript"/>
              </w:rPr>
              <w:t>1</w:t>
            </w:r>
          </w:p>
        </w:tc>
      </w:tr>
      <w:tr w:rsidR="00EF6F54" w:rsidRPr="00F265D3" w14:paraId="6F934887" w14:textId="77777777" w:rsidTr="00F56782">
        <w:trPr>
          <w:trHeight w:val="300"/>
        </w:trPr>
        <w:tc>
          <w:tcPr>
            <w:tcW w:w="2405" w:type="dxa"/>
            <w:shd w:val="clear" w:color="auto" w:fill="auto"/>
            <w:vAlign w:val="bottom"/>
          </w:tcPr>
          <w:p w14:paraId="3AFAA00D" w14:textId="08FF9584" w:rsidR="00EF6F54" w:rsidRPr="00F265D3" w:rsidRDefault="00EF6F54" w:rsidP="00EF6F54">
            <w:pPr>
              <w:rPr>
                <w:rFonts w:ascii="Calibri" w:eastAsia="Times New Roman" w:hAnsi="Calibri" w:cs="Times New Roman"/>
                <w:b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</w:rPr>
              <w:t>Substitution credits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BDAD93B" w14:textId="77777777" w:rsidR="00EF6F54" w:rsidRPr="00F265D3" w:rsidRDefault="00EF6F54" w:rsidP="00EF6F54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55CC8359" w14:textId="77777777" w:rsidR="00EF6F54" w:rsidRPr="00F265D3" w:rsidRDefault="00EF6F54" w:rsidP="00EF6F54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14:paraId="21D7E226" w14:textId="77777777" w:rsidR="00EF6F54" w:rsidRPr="00F265D3" w:rsidRDefault="00EF6F54" w:rsidP="00EF6F54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720B8619" w14:textId="77777777" w:rsidR="00EF6F54" w:rsidRPr="00F265D3" w:rsidRDefault="00EF6F54" w:rsidP="00EF6F54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  <w:tc>
          <w:tcPr>
            <w:tcW w:w="1843" w:type="dxa"/>
          </w:tcPr>
          <w:p w14:paraId="3F24530F" w14:textId="77777777" w:rsidR="00EF6F54" w:rsidRPr="00F265D3" w:rsidRDefault="00EF6F54" w:rsidP="00EF6F54">
            <w:pPr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</w:p>
        </w:tc>
      </w:tr>
      <w:tr w:rsidR="00EF6F54" w:rsidRPr="00F27F3A" w14:paraId="082C633D" w14:textId="39FA7A9D" w:rsidTr="00F265D3">
        <w:trPr>
          <w:trHeight w:val="300"/>
        </w:trPr>
        <w:tc>
          <w:tcPr>
            <w:tcW w:w="2405" w:type="dxa"/>
            <w:shd w:val="clear" w:color="auto" w:fill="auto"/>
            <w:vAlign w:val="bottom"/>
          </w:tcPr>
          <w:p w14:paraId="683BD2DA" w14:textId="77777777" w:rsidR="00EF6F54" w:rsidRDefault="00EF6F54" w:rsidP="00EF6F54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Concrete production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A14E403" w14:textId="60DBD2FD" w:rsidR="00EF6F54" w:rsidRPr="00F27F3A" w:rsidRDefault="0034099A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</w:t>
            </w:r>
            <w:r w:rsidR="00EF6F54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E7C39BA" w14:textId="6815F59B" w:rsidR="00EF6F54" w:rsidRPr="00F27F3A" w:rsidRDefault="0034099A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</w:t>
            </w:r>
            <w:r w:rsidR="00EF6F54">
              <w:rPr>
                <w:rFonts w:ascii="Calibri" w:eastAsia="Times New Roman" w:hAnsi="Calibri" w:cs="Times New Roman"/>
                <w:color w:val="000000"/>
              </w:rPr>
              <w:t>0%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2EBF9154" w14:textId="65781186" w:rsidR="00EF6F54" w:rsidRPr="00F27F3A" w:rsidRDefault="0034099A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</w:t>
            </w:r>
            <w:r w:rsidR="00EF6F54">
              <w:rPr>
                <w:rFonts w:ascii="Calibri" w:eastAsia="Times New Roman" w:hAnsi="Calibri" w:cs="Times New Roman"/>
                <w:color w:val="000000"/>
              </w:rPr>
              <w:t>0%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63707A1" w14:textId="1DBFAF3B" w:rsidR="00EF6F54" w:rsidRPr="00F27F3A" w:rsidRDefault="0034099A" w:rsidP="00EF6F54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33</w:t>
            </w:r>
            <w:r w:rsidR="00EF6F54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843" w:type="dxa"/>
          </w:tcPr>
          <w:p w14:paraId="593EA323" w14:textId="10643DF3" w:rsidR="00EF6F54" w:rsidRDefault="00DE3C86" w:rsidP="002C5021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WSP </w:t>
            </w:r>
            <w:r w:rsidR="00F342B5">
              <w:rPr>
                <w:rFonts w:ascii="Calibri" w:eastAsia="Times New Roman" w:hAnsi="Calibri" w:cs="Times New Roman"/>
                <w:color w:val="000000"/>
              </w:rPr>
              <w:t>Global Inc.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&amp; DNV GL</w:t>
            </w:r>
            <w:r w:rsidR="002C5021">
              <w:rPr>
                <w:rFonts w:ascii="Calibri" w:eastAsia="Times New Roman" w:hAnsi="Calibri" w:cs="Times New Roman"/>
                <w:color w:val="000000"/>
                <w:highlight w:val="yellow"/>
                <w:vertAlign w:val="superscript"/>
              </w:rPr>
              <w:t>3</w:t>
            </w:r>
          </w:p>
        </w:tc>
      </w:tr>
    </w:tbl>
    <w:p w14:paraId="6D0B09E0" w14:textId="77777777" w:rsidR="00FB7AAE" w:rsidRPr="00F27F3A" w:rsidRDefault="00FB7AAE" w:rsidP="00FB7AAE">
      <w:pPr>
        <w:rPr>
          <w:highlight w:val="yellow"/>
        </w:rPr>
      </w:pPr>
    </w:p>
    <w:p w14:paraId="5B86D96C" w14:textId="77777777" w:rsidR="00FB7AAE" w:rsidRDefault="00FB7AAE" w:rsidP="00FB7AAE"/>
    <w:p w14:paraId="60F10BAF" w14:textId="2560E368" w:rsidR="00B30559" w:rsidRPr="00603B0A" w:rsidRDefault="00603B0A">
      <w:pPr>
        <w:rPr>
          <w:b/>
        </w:rPr>
      </w:pPr>
      <w:r>
        <w:rPr>
          <w:b/>
        </w:rPr>
        <w:t>Forestry operations</w:t>
      </w:r>
    </w:p>
    <w:p w14:paraId="54D13BC7" w14:textId="4B2786DB" w:rsidR="009646B3" w:rsidRDefault="00596396">
      <w:r>
        <w:t xml:space="preserve">Projections for </w:t>
      </w:r>
      <w:r w:rsidR="005A1BEF">
        <w:t>forestry operations are</w:t>
      </w:r>
      <w:r>
        <w:t xml:space="preserve"> taken from the Committee for Climate Change Sixth Carbon Budget</w:t>
      </w:r>
      <w:r w:rsidR="00714773">
        <w:rPr>
          <w:highlight w:val="yellow"/>
          <w:vertAlign w:val="superscript"/>
        </w:rPr>
        <w:t>1</w:t>
      </w:r>
      <w:r>
        <w:t xml:space="preserve"> </w:t>
      </w:r>
      <w:r w:rsidR="00F100F9">
        <w:t xml:space="preserve">‘balanced net zero pathway’ </w:t>
      </w:r>
      <w:r>
        <w:t>for decarbonising heavy goods vehicles (HGVs)</w:t>
      </w:r>
      <w:r w:rsidR="005A1BEF">
        <w:t xml:space="preserve"> </w:t>
      </w:r>
      <w:r w:rsidR="005A1BEF">
        <w:t xml:space="preserve">(optimistically, given the remote </w:t>
      </w:r>
      <w:r w:rsidR="005A1BEF">
        <w:t>and arduous</w:t>
      </w:r>
      <w:r w:rsidR="005A1BEF">
        <w:t xml:space="preserve"> nature of operations)</w:t>
      </w:r>
      <w:r w:rsidR="00F100F9">
        <w:t xml:space="preserve">; </w:t>
      </w:r>
      <w:r w:rsidR="00C25E80">
        <w:t>a</w:t>
      </w:r>
      <w:r>
        <w:t>gricultural machinery has similar decarbonisation projections</w:t>
      </w:r>
      <w:r w:rsidR="005A1BEF">
        <w:t xml:space="preserve"> in the CCC report</w:t>
      </w:r>
      <w:r>
        <w:t xml:space="preserve">. </w:t>
      </w:r>
    </w:p>
    <w:p w14:paraId="55E134C4" w14:textId="77777777" w:rsidR="00596396" w:rsidRDefault="00596396"/>
    <w:p w14:paraId="68DBEBE3" w14:textId="2BDB7803" w:rsidR="009646B3" w:rsidRPr="00596396" w:rsidRDefault="009646B3">
      <w:pPr>
        <w:rPr>
          <w:b/>
        </w:rPr>
      </w:pPr>
      <w:r w:rsidRPr="00596396">
        <w:rPr>
          <w:b/>
        </w:rPr>
        <w:t>Sawmills &amp; wood fuel production</w:t>
      </w:r>
    </w:p>
    <w:p w14:paraId="1D97CC21" w14:textId="637EDAF0" w:rsidR="00596396" w:rsidRDefault="00596396"/>
    <w:p w14:paraId="14A217EF" w14:textId="62FD1EA1" w:rsidR="00596396" w:rsidRDefault="001A5EA2">
      <w:pPr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 xml:space="preserve">Projections for decarbonising sawmills are calculated using </w:t>
      </w:r>
      <w:r w:rsidR="00596396">
        <w:rPr>
          <w:rFonts w:ascii="Calibri" w:eastAsia="Times New Roman" w:hAnsi="Calibri" w:cs="Times New Roman"/>
          <w:color w:val="000000"/>
        </w:rPr>
        <w:t xml:space="preserve">the </w:t>
      </w:r>
      <w:r>
        <w:rPr>
          <w:rFonts w:ascii="Calibri" w:eastAsia="Times New Roman" w:hAnsi="Calibri" w:cs="Times New Roman"/>
          <w:color w:val="000000"/>
        </w:rPr>
        <w:t>projections</w:t>
      </w:r>
      <w:r w:rsidR="00596396">
        <w:rPr>
          <w:rFonts w:ascii="Calibri" w:eastAsia="Times New Roman" w:hAnsi="Calibri" w:cs="Times New Roman"/>
          <w:color w:val="000000"/>
        </w:rPr>
        <w:t xml:space="preserve"> for </w:t>
      </w:r>
      <w:r>
        <w:rPr>
          <w:rFonts w:ascii="Calibri" w:eastAsia="Times New Roman" w:hAnsi="Calibri" w:cs="Times New Roman"/>
          <w:color w:val="000000"/>
        </w:rPr>
        <w:t>forestry operations (</w:t>
      </w:r>
      <w:r w:rsidR="00596396">
        <w:rPr>
          <w:rFonts w:ascii="Calibri" w:eastAsia="Times New Roman" w:hAnsi="Calibri" w:cs="Times New Roman"/>
          <w:color w:val="000000"/>
        </w:rPr>
        <w:t>mobile plant</w:t>
      </w:r>
      <w:r>
        <w:rPr>
          <w:rFonts w:ascii="Calibri" w:eastAsia="Times New Roman" w:hAnsi="Calibri" w:cs="Times New Roman"/>
          <w:color w:val="000000"/>
        </w:rPr>
        <w:t>)</w:t>
      </w:r>
      <w:r w:rsidR="00596396">
        <w:rPr>
          <w:rFonts w:ascii="Calibri" w:eastAsia="Times New Roman" w:hAnsi="Calibri" w:cs="Times New Roman"/>
          <w:color w:val="000000"/>
        </w:rPr>
        <w:t>,</w:t>
      </w:r>
      <w:r w:rsidR="005A1BEF">
        <w:rPr>
          <w:rFonts w:ascii="Calibri" w:eastAsia="Times New Roman" w:hAnsi="Calibri" w:cs="Times New Roman"/>
          <w:color w:val="000000"/>
        </w:rPr>
        <w:t xml:space="preserve"> </w:t>
      </w:r>
      <w:r w:rsidR="00F27D25">
        <w:rPr>
          <w:rFonts w:ascii="Calibri" w:eastAsia="Times New Roman" w:hAnsi="Calibri" w:cs="Times New Roman"/>
          <w:color w:val="000000"/>
        </w:rPr>
        <w:t>the</w:t>
      </w:r>
      <w:r w:rsidR="00596396">
        <w:rPr>
          <w:rFonts w:ascii="Calibri" w:eastAsia="Times New Roman" w:hAnsi="Calibri" w:cs="Times New Roman"/>
          <w:color w:val="000000"/>
        </w:rPr>
        <w:t xml:space="preserve"> electricity grid and gas grid; </w:t>
      </w:r>
      <w:r w:rsidR="00F27D25">
        <w:rPr>
          <w:rFonts w:ascii="Calibri" w:eastAsia="Times New Roman" w:hAnsi="Calibri" w:cs="Times New Roman"/>
          <w:color w:val="000000"/>
        </w:rPr>
        <w:t xml:space="preserve">and </w:t>
      </w:r>
      <w:r w:rsidR="003B77E6">
        <w:rPr>
          <w:rFonts w:ascii="Calibri" w:eastAsia="Times New Roman" w:hAnsi="Calibri" w:cs="Times New Roman"/>
          <w:color w:val="000000"/>
        </w:rPr>
        <w:t xml:space="preserve">apportioned according to </w:t>
      </w:r>
      <w:r w:rsidR="003B77E6">
        <w:rPr>
          <w:rFonts w:ascii="Calibri" w:eastAsia="Times New Roman" w:hAnsi="Calibri" w:cs="Times New Roman"/>
          <w:color w:val="000000"/>
        </w:rPr>
        <w:t>the breakdown of energy sources and tonnage</w:t>
      </w:r>
      <w:r w:rsidR="00F100F9">
        <w:rPr>
          <w:rFonts w:ascii="Calibri" w:eastAsia="Times New Roman" w:hAnsi="Calibri" w:cs="Times New Roman"/>
          <w:color w:val="000000"/>
        </w:rPr>
        <w:t xml:space="preserve"> </w:t>
      </w:r>
      <w:r w:rsidR="003B77E6">
        <w:rPr>
          <w:rFonts w:ascii="Calibri" w:eastAsia="Times New Roman" w:hAnsi="Calibri" w:cs="Times New Roman"/>
          <w:color w:val="000000"/>
        </w:rPr>
        <w:t>(averaged across the sector)</w:t>
      </w:r>
      <w:r w:rsidR="00596396">
        <w:rPr>
          <w:rFonts w:ascii="Calibri" w:eastAsia="Times New Roman" w:hAnsi="Calibri" w:cs="Times New Roman"/>
          <w:color w:val="000000"/>
        </w:rPr>
        <w:t xml:space="preserve"> </w:t>
      </w:r>
      <w:r w:rsidR="003B77E6">
        <w:rPr>
          <w:rFonts w:ascii="Calibri" w:eastAsia="Times New Roman" w:hAnsi="Calibri" w:cs="Times New Roman"/>
          <w:color w:val="000000"/>
        </w:rPr>
        <w:t>from</w:t>
      </w:r>
      <w:r w:rsidR="00596396">
        <w:rPr>
          <w:rFonts w:ascii="Calibri" w:eastAsia="Times New Roman" w:hAnsi="Calibri" w:cs="Times New Roman"/>
          <w:color w:val="000000"/>
        </w:rPr>
        <w:t xml:space="preserve"> primary UK sawmill data </w:t>
      </w:r>
      <w:r w:rsidR="003B77E6">
        <w:rPr>
          <w:rFonts w:ascii="Calibri" w:eastAsia="Times New Roman" w:hAnsi="Calibri" w:cs="Times New Roman"/>
          <w:color w:val="000000"/>
        </w:rPr>
        <w:t>(2020)</w:t>
      </w:r>
      <w:r w:rsidR="00714773">
        <w:rPr>
          <w:rFonts w:ascii="Calibri" w:eastAsia="Times New Roman" w:hAnsi="Calibri" w:cs="Times New Roman"/>
          <w:color w:val="000000"/>
          <w:highlight w:val="yellow"/>
          <w:vertAlign w:val="superscript"/>
        </w:rPr>
        <w:t>4</w:t>
      </w:r>
      <w:r w:rsidR="00596396">
        <w:rPr>
          <w:rFonts w:ascii="Calibri" w:eastAsia="Times New Roman" w:hAnsi="Calibri" w:cs="Times New Roman"/>
          <w:color w:val="000000"/>
        </w:rPr>
        <w:t>.</w:t>
      </w:r>
      <w:r>
        <w:rPr>
          <w:rFonts w:ascii="Calibri" w:eastAsia="Times New Roman" w:hAnsi="Calibri" w:cs="Times New Roman"/>
          <w:color w:val="000000"/>
        </w:rPr>
        <w:t xml:space="preserve"> </w:t>
      </w:r>
    </w:p>
    <w:p w14:paraId="0C4BAF67" w14:textId="77777777" w:rsidR="00596396" w:rsidRDefault="00596396"/>
    <w:p w14:paraId="4BB66B95" w14:textId="4C006537" w:rsidR="009646B3" w:rsidRDefault="00596396">
      <w:r>
        <w:rPr>
          <w:rFonts w:ascii="Calibri" w:eastAsia="Times New Roman" w:hAnsi="Calibri" w:cs="Times New Roman"/>
          <w:color w:val="000000"/>
        </w:rPr>
        <w:t xml:space="preserve">Woodfuel </w:t>
      </w:r>
      <w:r w:rsidR="003B77E6">
        <w:rPr>
          <w:rFonts w:ascii="Calibri" w:eastAsia="Times New Roman" w:hAnsi="Calibri" w:cs="Times New Roman"/>
          <w:color w:val="000000"/>
        </w:rPr>
        <w:t xml:space="preserve">production </w:t>
      </w:r>
      <w:r w:rsidR="003E2DE1">
        <w:rPr>
          <w:rFonts w:ascii="Calibri" w:eastAsia="Times New Roman" w:hAnsi="Calibri" w:cs="Times New Roman"/>
          <w:color w:val="000000"/>
        </w:rPr>
        <w:t xml:space="preserve">decarbonisation </w:t>
      </w:r>
      <w:r w:rsidR="003B77E6">
        <w:rPr>
          <w:rFonts w:ascii="Calibri" w:eastAsia="Times New Roman" w:hAnsi="Calibri" w:cs="Times New Roman"/>
          <w:color w:val="000000"/>
        </w:rPr>
        <w:t xml:space="preserve">is </w:t>
      </w:r>
      <w:r>
        <w:rPr>
          <w:rFonts w:ascii="Calibri" w:eastAsia="Times New Roman" w:hAnsi="Calibri" w:cs="Times New Roman"/>
          <w:color w:val="000000"/>
        </w:rPr>
        <w:t>ass</w:t>
      </w:r>
      <w:r>
        <w:rPr>
          <w:rFonts w:ascii="Calibri" w:eastAsia="Times New Roman" w:hAnsi="Calibri" w:cs="Times New Roman"/>
          <w:color w:val="000000"/>
        </w:rPr>
        <w:t xml:space="preserve">umed to be similar to sawmills since </w:t>
      </w:r>
      <w:r w:rsidR="001A5EA2">
        <w:rPr>
          <w:rFonts w:ascii="Calibri" w:eastAsia="Times New Roman" w:hAnsi="Calibri" w:cs="Times New Roman"/>
          <w:color w:val="000000"/>
        </w:rPr>
        <w:t xml:space="preserve">the </w:t>
      </w:r>
      <w:r>
        <w:rPr>
          <w:rFonts w:ascii="Calibri" w:eastAsia="Times New Roman" w:hAnsi="Calibri" w:cs="Times New Roman"/>
          <w:color w:val="000000"/>
        </w:rPr>
        <w:t xml:space="preserve">process is also highly electrified and employs mobile plant for moving material around site. </w:t>
      </w:r>
    </w:p>
    <w:p w14:paraId="1552D1C8" w14:textId="77777777" w:rsidR="00596396" w:rsidRDefault="00596396"/>
    <w:p w14:paraId="259D87B6" w14:textId="74CCC4A0" w:rsidR="009646B3" w:rsidRPr="001A5EA2" w:rsidRDefault="009646B3">
      <w:pPr>
        <w:rPr>
          <w:b/>
        </w:rPr>
      </w:pPr>
      <w:r w:rsidRPr="001A5EA2">
        <w:rPr>
          <w:b/>
        </w:rPr>
        <w:t>Wood panel production</w:t>
      </w:r>
    </w:p>
    <w:p w14:paraId="77ECB96C" w14:textId="16545AA9" w:rsidR="00CE2360" w:rsidRDefault="00CE2360">
      <w:r>
        <w:t xml:space="preserve">The Wood Panel Industry Federation </w:t>
      </w:r>
      <w:r w:rsidR="00AB3082">
        <w:t xml:space="preserve">(WPIF) </w:t>
      </w:r>
      <w:r>
        <w:t>commissioned a report</w:t>
      </w:r>
      <w:r w:rsidR="00125B96" w:rsidRPr="00125B96">
        <w:rPr>
          <w:highlight w:val="yellow"/>
          <w:vertAlign w:val="superscript"/>
        </w:rPr>
        <w:t>2</w:t>
      </w:r>
      <w:r>
        <w:t xml:space="preserve"> </w:t>
      </w:r>
      <w:r w:rsidR="00F342B5">
        <w:t xml:space="preserve">(by SLR Consulting Ltd) </w:t>
      </w:r>
      <w:r w:rsidR="00125B96">
        <w:t xml:space="preserve">in 2022 </w:t>
      </w:r>
      <w:r>
        <w:t xml:space="preserve">to </w:t>
      </w:r>
      <w:r w:rsidR="00577BE1">
        <w:t>outline a</w:t>
      </w:r>
      <w:r>
        <w:t xml:space="preserve"> decarbonisation </w:t>
      </w:r>
      <w:r w:rsidR="00577BE1">
        <w:t>pathway for</w:t>
      </w:r>
      <w:r>
        <w:t xml:space="preserve"> the wood panel industry in the UK and Ireland. The </w:t>
      </w:r>
      <w:r w:rsidR="00577BE1">
        <w:t xml:space="preserve">‘realistic’ </w:t>
      </w:r>
      <w:r>
        <w:t xml:space="preserve">decarbonisation </w:t>
      </w:r>
      <w:r w:rsidR="00577BE1">
        <w:t xml:space="preserve">pathway </w:t>
      </w:r>
      <w:r w:rsidR="00125B96">
        <w:t>proposed in</w:t>
      </w:r>
      <w:r w:rsidR="00577BE1">
        <w:t xml:space="preserve"> this report is </w:t>
      </w:r>
      <w:r w:rsidR="00125B96">
        <w:t>used to</w:t>
      </w:r>
      <w:r w:rsidR="00577BE1">
        <w:t xml:space="preserve"> </w:t>
      </w:r>
      <w:r w:rsidR="00125B96">
        <w:t>project</w:t>
      </w:r>
      <w:r w:rsidR="00577BE1">
        <w:t xml:space="preserve"> decarbonisation </w:t>
      </w:r>
      <w:r w:rsidR="00125B96">
        <w:t xml:space="preserve">of the wood panel production </w:t>
      </w:r>
      <w:r w:rsidR="00577BE1">
        <w:t>in this study</w:t>
      </w:r>
      <w:r>
        <w:t>.</w:t>
      </w:r>
      <w:r w:rsidR="00F100F9">
        <w:t xml:space="preserve"> </w:t>
      </w:r>
      <w:r>
        <w:t xml:space="preserve"> </w:t>
      </w:r>
    </w:p>
    <w:p w14:paraId="3BCF652B" w14:textId="77777777" w:rsidR="00CE2360" w:rsidRDefault="00CE2360"/>
    <w:p w14:paraId="499689F2" w14:textId="5EEC4ABF" w:rsidR="009646B3" w:rsidRPr="00343438" w:rsidRDefault="009646B3">
      <w:pPr>
        <w:rPr>
          <w:b/>
        </w:rPr>
      </w:pPr>
      <w:r w:rsidRPr="00343438">
        <w:rPr>
          <w:b/>
        </w:rPr>
        <w:t>Electricity grid</w:t>
      </w:r>
    </w:p>
    <w:p w14:paraId="29FC5874" w14:textId="4B58E94C" w:rsidR="00343438" w:rsidRDefault="00FC073D">
      <w:r>
        <w:t>The projection</w:t>
      </w:r>
      <w:r w:rsidR="00343438">
        <w:t xml:space="preserve"> for </w:t>
      </w:r>
      <w:r w:rsidR="00343438">
        <w:t xml:space="preserve">electricity grid decarbonisation </w:t>
      </w:r>
      <w:r w:rsidR="00DD7CAA">
        <w:t>is</w:t>
      </w:r>
      <w:r w:rsidR="00343438">
        <w:t xml:space="preserve"> taken from the Committee for Climate Change Sixth Carbon Budget </w:t>
      </w:r>
      <w:r w:rsidR="005171AF">
        <w:t>‘balanced net zero pathway’</w:t>
      </w:r>
      <w:r w:rsidR="005171AF">
        <w:t xml:space="preserve"> for electricity generation</w:t>
      </w:r>
      <w:r w:rsidR="00125B96">
        <w:rPr>
          <w:highlight w:val="yellow"/>
          <w:vertAlign w:val="superscript"/>
        </w:rPr>
        <w:t>1</w:t>
      </w:r>
      <w:r w:rsidR="00343438">
        <w:t>.</w:t>
      </w:r>
    </w:p>
    <w:p w14:paraId="07EF4A18" w14:textId="01FA3518" w:rsidR="009646B3" w:rsidRDefault="009646B3"/>
    <w:p w14:paraId="6EA02170" w14:textId="77777777" w:rsidR="00CE2360" w:rsidRPr="001A5EA2" w:rsidRDefault="00CE2360" w:rsidP="00CE2360">
      <w:pPr>
        <w:rPr>
          <w:b/>
        </w:rPr>
      </w:pPr>
      <w:r w:rsidRPr="001A5EA2">
        <w:rPr>
          <w:b/>
        </w:rPr>
        <w:t>Gas grid</w:t>
      </w:r>
    </w:p>
    <w:p w14:paraId="112CAB95" w14:textId="4B6FAD1F" w:rsidR="00CE2360" w:rsidRDefault="00D2044F" w:rsidP="00D2044F">
      <w:r>
        <w:t>Gas decarbonisation is highly uncertain and will be regionally dependent</w:t>
      </w:r>
      <w:r w:rsidR="00125B96">
        <w:rPr>
          <w:highlight w:val="yellow"/>
          <w:vertAlign w:val="superscript"/>
        </w:rPr>
        <w:t>1</w:t>
      </w:r>
      <w:r w:rsidR="00C761C2" w:rsidRPr="00C761C2">
        <w:rPr>
          <w:highlight w:val="yellow"/>
          <w:vertAlign w:val="superscript"/>
        </w:rPr>
        <w:t>,</w:t>
      </w:r>
      <w:r w:rsidR="00125B96">
        <w:rPr>
          <w:highlight w:val="yellow"/>
          <w:vertAlign w:val="superscript"/>
        </w:rPr>
        <w:t>5</w:t>
      </w:r>
      <w:r w:rsidRPr="00C761C2">
        <w:rPr>
          <w:vertAlign w:val="superscript"/>
        </w:rPr>
        <w:t xml:space="preserve"> </w:t>
      </w:r>
      <w:r>
        <w:t>(CCC report and National grid report). Therefore</w:t>
      </w:r>
      <w:r>
        <w:t>, we</w:t>
      </w:r>
      <w:r>
        <w:t xml:space="preserve"> use </w:t>
      </w:r>
      <w:r w:rsidR="00D25AE3">
        <w:t>the</w:t>
      </w:r>
      <w:r>
        <w:t xml:space="preserve"> assumptions </w:t>
      </w:r>
      <w:r w:rsidR="00D25AE3">
        <w:t>proposed</w:t>
      </w:r>
      <w:r>
        <w:t xml:space="preserve"> in </w:t>
      </w:r>
      <w:r w:rsidR="008873C8">
        <w:t>the</w:t>
      </w:r>
      <w:r>
        <w:t xml:space="preserve"> WPIF report</w:t>
      </w:r>
      <w:r w:rsidR="00343438">
        <w:t xml:space="preserve"> regarding gas decarbonisation</w:t>
      </w:r>
      <w:r>
        <w:t xml:space="preserve">, which takes into account </w:t>
      </w:r>
      <w:r w:rsidR="00343438">
        <w:t xml:space="preserve">industry </w:t>
      </w:r>
      <w:r>
        <w:t>specific barriers, including r</w:t>
      </w:r>
      <w:r>
        <w:t>emote location</w:t>
      </w:r>
      <w:r w:rsidR="00D25AE3">
        <w:t xml:space="preserve">. </w:t>
      </w:r>
      <w:r>
        <w:t xml:space="preserve"> </w:t>
      </w:r>
    </w:p>
    <w:p w14:paraId="37C46602" w14:textId="154EBC4C" w:rsidR="0022726E" w:rsidRDefault="0022726E"/>
    <w:p w14:paraId="24698270" w14:textId="6C86CFF3" w:rsidR="009646B3" w:rsidRDefault="009646B3">
      <w:pPr>
        <w:rPr>
          <w:b/>
        </w:rPr>
      </w:pPr>
      <w:r w:rsidRPr="0022726E">
        <w:rPr>
          <w:b/>
        </w:rPr>
        <w:t>Concrete production</w:t>
      </w:r>
    </w:p>
    <w:p w14:paraId="0AE495C4" w14:textId="72847209" w:rsidR="003B6058" w:rsidRDefault="003B6058" w:rsidP="003B6058">
      <w:r>
        <w:t>The</w:t>
      </w:r>
      <w:r>
        <w:t xml:space="preserve"> decarbonisation</w:t>
      </w:r>
      <w:r>
        <w:t xml:space="preserve"> projection </w:t>
      </w:r>
      <w:r>
        <w:t xml:space="preserve">used </w:t>
      </w:r>
      <w:r>
        <w:t xml:space="preserve">for </w:t>
      </w:r>
      <w:r>
        <w:t>cement production</w:t>
      </w:r>
      <w:r>
        <w:t xml:space="preserve"> is </w:t>
      </w:r>
      <w:r>
        <w:t>the ‘maximum technical pathway – without carbon capture and storage’ for decarbonisation of cement production, taken from the ‘</w:t>
      </w:r>
      <w:r>
        <w:t>Industrial Decarbonisation &amp;</w:t>
      </w:r>
      <w:r>
        <w:t xml:space="preserve"> </w:t>
      </w:r>
      <w:r>
        <w:t>Energy Efficiency Roadmaps</w:t>
      </w:r>
      <w:r>
        <w:t xml:space="preserve"> </w:t>
      </w:r>
      <w:r>
        <w:t>to 2050</w:t>
      </w:r>
      <w:r>
        <w:t xml:space="preserve"> – Cement’ report, prepared in 2015 for the UK government </w:t>
      </w:r>
      <w:r>
        <w:t>Department of Energy and Climate Change and</w:t>
      </w:r>
      <w:r>
        <w:t xml:space="preserve"> </w:t>
      </w:r>
      <w:r>
        <w:t xml:space="preserve">the Department for Business, </w:t>
      </w:r>
      <w:r>
        <w:t>I</w:t>
      </w:r>
      <w:r>
        <w:t>nnovation and Skills</w:t>
      </w:r>
      <w:r w:rsidR="001146F4">
        <w:rPr>
          <w:highlight w:val="yellow"/>
          <w:vertAlign w:val="superscript"/>
        </w:rPr>
        <w:t>3</w:t>
      </w:r>
      <w:r>
        <w:t>.</w:t>
      </w:r>
      <w:r w:rsidR="00C22C4C">
        <w:t xml:space="preserve"> This pathway assumes decarbonisation of 33% by 2050. </w:t>
      </w:r>
    </w:p>
    <w:p w14:paraId="5E17B802" w14:textId="4EFAFE91" w:rsidR="001146F4" w:rsidRDefault="001146F4" w:rsidP="003B6058"/>
    <w:p w14:paraId="0E04D25A" w14:textId="6EBEC87F" w:rsidR="001146F4" w:rsidRPr="001146F4" w:rsidRDefault="001146F4" w:rsidP="003B6058">
      <w:pPr>
        <w:rPr>
          <w:b/>
        </w:rPr>
      </w:pPr>
      <w:r w:rsidRPr="001146F4">
        <w:rPr>
          <w:b/>
        </w:rPr>
        <w:t>References</w:t>
      </w:r>
    </w:p>
    <w:p w14:paraId="281EA21B" w14:textId="3A3DA3ED" w:rsidR="001146F4" w:rsidRDefault="001146F4" w:rsidP="003B6058">
      <w:pPr>
        <w:rPr>
          <w:b/>
        </w:rPr>
      </w:pPr>
    </w:p>
    <w:p w14:paraId="69C684D3" w14:textId="2E971FA3" w:rsidR="001146F4" w:rsidRDefault="009206E6" w:rsidP="003B6058">
      <w:pPr>
        <w:rPr>
          <w:shd w:val="clear" w:color="auto" w:fill="FFFFFF"/>
        </w:rPr>
      </w:pPr>
      <w:r>
        <w:rPr>
          <w:shd w:val="clear" w:color="auto" w:fill="FFFFFF"/>
        </w:rPr>
        <w:t xml:space="preserve">1 </w:t>
      </w:r>
      <w:r w:rsidR="001146F4" w:rsidRPr="00347856">
        <w:rPr>
          <w:shd w:val="clear" w:color="auto" w:fill="FFFFFF"/>
        </w:rPr>
        <w:t>Committee on Climate Change. The Sixth Carbon Budget - The UK’s path to Net Zero. Presented to the Secretary of State pursuant to section 34 of the Climate Change Act 2008</w:t>
      </w:r>
      <w:r w:rsidR="001146F4">
        <w:rPr>
          <w:shd w:val="clear" w:color="auto" w:fill="FFFFFF"/>
        </w:rPr>
        <w:t>.</w:t>
      </w:r>
      <w:r w:rsidR="001146F4" w:rsidRPr="00347856">
        <w:rPr>
          <w:shd w:val="clear" w:color="auto" w:fill="FFFFFF"/>
        </w:rPr>
        <w:t xml:space="preserve"> (2020)</w:t>
      </w:r>
    </w:p>
    <w:p w14:paraId="6BAD2739" w14:textId="6CC6B947" w:rsidR="00313296" w:rsidRDefault="00313296" w:rsidP="003B6058">
      <w:pPr>
        <w:rPr>
          <w:shd w:val="clear" w:color="auto" w:fill="FFFFFF"/>
        </w:rPr>
      </w:pPr>
    </w:p>
    <w:p w14:paraId="02C895FB" w14:textId="3F54897A" w:rsidR="00313296" w:rsidRDefault="009206E6" w:rsidP="00313296">
      <w:r>
        <w:t xml:space="preserve">2 </w:t>
      </w:r>
      <w:r w:rsidR="00F0512D">
        <w:t>SLR</w:t>
      </w:r>
      <w:r w:rsidR="00313296">
        <w:t xml:space="preserve"> Consulting Ltd. </w:t>
      </w:r>
      <w:r w:rsidR="00313296">
        <w:t>Decarbonisation of UK and Ireland wood panel manufacturing sector</w:t>
      </w:r>
      <w:r w:rsidR="00313296">
        <w:t xml:space="preserve">. Prepared for </w:t>
      </w:r>
      <w:r w:rsidR="00313296">
        <w:t>Wood Panel Industries Federation</w:t>
      </w:r>
      <w:r w:rsidR="002A788B">
        <w:t>.</w:t>
      </w:r>
      <w:r w:rsidR="00313296">
        <w:t xml:space="preserve"> (2022)</w:t>
      </w:r>
    </w:p>
    <w:p w14:paraId="660D2395" w14:textId="77777777" w:rsidR="00313296" w:rsidRDefault="00313296" w:rsidP="003B6058"/>
    <w:p w14:paraId="47CFEEEA" w14:textId="63B45DD6" w:rsidR="00F0512D" w:rsidRDefault="009206E6" w:rsidP="00F0512D">
      <w:r>
        <w:t xml:space="preserve">3 </w:t>
      </w:r>
      <w:r w:rsidR="00F0512D">
        <w:t xml:space="preserve">WSP Global Inc. </w:t>
      </w:r>
      <w:r w:rsidR="00F0512D">
        <w:t>Industrial Decarbonisation &amp;</w:t>
      </w:r>
      <w:r w:rsidR="00F0512D">
        <w:t xml:space="preserve"> </w:t>
      </w:r>
      <w:r w:rsidR="00F0512D">
        <w:t>Energy Efficiency Roadmaps</w:t>
      </w:r>
      <w:r w:rsidR="00F0512D">
        <w:t xml:space="preserve"> </w:t>
      </w:r>
      <w:r w:rsidR="00F0512D">
        <w:t>to 2050</w:t>
      </w:r>
      <w:r w:rsidR="00F0512D">
        <w:t xml:space="preserve"> – Cement. Prepared for UK </w:t>
      </w:r>
      <w:r w:rsidR="00F0512D">
        <w:t>Department of Energy and Climate Change and</w:t>
      </w:r>
      <w:r w:rsidR="00F0512D">
        <w:t xml:space="preserve"> </w:t>
      </w:r>
      <w:r w:rsidR="00F0512D">
        <w:t>the Department of Business, Innovation and Skills</w:t>
      </w:r>
      <w:r w:rsidR="00F0512D">
        <w:t xml:space="preserve"> (2015)</w:t>
      </w:r>
    </w:p>
    <w:p w14:paraId="47995C31" w14:textId="6D6F21C7" w:rsidR="00F0512D" w:rsidRDefault="00F0512D" w:rsidP="003B6058"/>
    <w:p w14:paraId="5B6FCA19" w14:textId="5122BFCC" w:rsidR="009206E6" w:rsidRDefault="009206E6" w:rsidP="003B6058">
      <w:r>
        <w:t xml:space="preserve">4 </w:t>
      </w:r>
      <w:r w:rsidR="00D64766">
        <w:t xml:space="preserve">UK </w:t>
      </w:r>
      <w:r>
        <w:t xml:space="preserve">Sawmill </w:t>
      </w:r>
      <w:r w:rsidR="00DE2F29">
        <w:t xml:space="preserve">primary </w:t>
      </w:r>
      <w:r>
        <w:t xml:space="preserve">data. </w:t>
      </w:r>
      <w:r w:rsidR="00F271B2">
        <w:t>Quantity and</w:t>
      </w:r>
      <w:r w:rsidR="00DE2F29">
        <w:t xml:space="preserve"> </w:t>
      </w:r>
      <w:r w:rsidR="00F271B2">
        <w:t xml:space="preserve">source of consumed energy for </w:t>
      </w:r>
      <w:r w:rsidR="00DE2F29">
        <w:t xml:space="preserve">20 UK sawmills. </w:t>
      </w:r>
      <w:r>
        <w:t xml:space="preserve">Provided confidentially. </w:t>
      </w:r>
      <w:r w:rsidR="00DE2F29">
        <w:t>(2020)</w:t>
      </w:r>
    </w:p>
    <w:p w14:paraId="230AB930" w14:textId="77777777" w:rsidR="009206E6" w:rsidRDefault="009206E6" w:rsidP="003B6058"/>
    <w:p w14:paraId="1EBED780" w14:textId="7E07BC12" w:rsidR="00313296" w:rsidRDefault="009206E6" w:rsidP="003B6058">
      <w:r>
        <w:t xml:space="preserve">5 </w:t>
      </w:r>
      <w:r w:rsidR="002A788B" w:rsidRPr="002A788B">
        <w:t xml:space="preserve">National Grid </w:t>
      </w:r>
      <w:r w:rsidR="002A788B">
        <w:t xml:space="preserve">Electricity System Operator Limited. </w:t>
      </w:r>
      <w:r w:rsidR="00313296">
        <w:t>Future Energy Scenarios</w:t>
      </w:r>
      <w:r w:rsidR="002A788B">
        <w:t>. Strategic Insights</w:t>
      </w:r>
      <w:r w:rsidR="00313296">
        <w:t xml:space="preserve"> </w:t>
      </w:r>
      <w:r w:rsidR="00313296">
        <w:t>(</w:t>
      </w:r>
      <w:r w:rsidR="00313296">
        <w:t>2019</w:t>
      </w:r>
      <w:r w:rsidR="00313296">
        <w:t xml:space="preserve">) </w:t>
      </w:r>
    </w:p>
    <w:p w14:paraId="4A34CF9B" w14:textId="77777777" w:rsidR="00313296" w:rsidRPr="0022726E" w:rsidRDefault="00313296" w:rsidP="003B6058">
      <w:pPr>
        <w:rPr>
          <w:b/>
        </w:rPr>
      </w:pPr>
    </w:p>
    <w:sectPr w:rsidR="00313296" w:rsidRPr="002272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A21E1"/>
    <w:multiLevelType w:val="multilevel"/>
    <w:tmpl w:val="BFBE58B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AAE"/>
    <w:rsid w:val="00021DFF"/>
    <w:rsid w:val="00085E38"/>
    <w:rsid w:val="000A7A98"/>
    <w:rsid w:val="001146F4"/>
    <w:rsid w:val="00125B96"/>
    <w:rsid w:val="001A5EA2"/>
    <w:rsid w:val="001E280D"/>
    <w:rsid w:val="0022726E"/>
    <w:rsid w:val="002A788B"/>
    <w:rsid w:val="002B26AF"/>
    <w:rsid w:val="002C5021"/>
    <w:rsid w:val="00313296"/>
    <w:rsid w:val="0034099A"/>
    <w:rsid w:val="00343438"/>
    <w:rsid w:val="003B6058"/>
    <w:rsid w:val="003B77E6"/>
    <w:rsid w:val="003C5603"/>
    <w:rsid w:val="003E2DE1"/>
    <w:rsid w:val="004B03EC"/>
    <w:rsid w:val="005171AF"/>
    <w:rsid w:val="00526C2F"/>
    <w:rsid w:val="00577BE1"/>
    <w:rsid w:val="00596396"/>
    <w:rsid w:val="005A1BEF"/>
    <w:rsid w:val="00603B0A"/>
    <w:rsid w:val="00611A60"/>
    <w:rsid w:val="00615D0F"/>
    <w:rsid w:val="00714773"/>
    <w:rsid w:val="008668EB"/>
    <w:rsid w:val="008873C8"/>
    <w:rsid w:val="009206E6"/>
    <w:rsid w:val="009646B3"/>
    <w:rsid w:val="00AB3082"/>
    <w:rsid w:val="00C22C4C"/>
    <w:rsid w:val="00C25E80"/>
    <w:rsid w:val="00C761C2"/>
    <w:rsid w:val="00CC4730"/>
    <w:rsid w:val="00CE2360"/>
    <w:rsid w:val="00D2044F"/>
    <w:rsid w:val="00D25AE3"/>
    <w:rsid w:val="00D64766"/>
    <w:rsid w:val="00D85A4D"/>
    <w:rsid w:val="00DD7CAA"/>
    <w:rsid w:val="00DE2F29"/>
    <w:rsid w:val="00DE3C86"/>
    <w:rsid w:val="00EA2AB0"/>
    <w:rsid w:val="00EA56B9"/>
    <w:rsid w:val="00EC6A8C"/>
    <w:rsid w:val="00EF6F54"/>
    <w:rsid w:val="00F0512D"/>
    <w:rsid w:val="00F100F9"/>
    <w:rsid w:val="00F265D3"/>
    <w:rsid w:val="00F271B2"/>
    <w:rsid w:val="00F27D25"/>
    <w:rsid w:val="00F342B5"/>
    <w:rsid w:val="00F41E44"/>
    <w:rsid w:val="00FB7AAE"/>
    <w:rsid w:val="00FC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BF9C9"/>
  <w15:chartTrackingRefBased/>
  <w15:docId w15:val="{555A4BBD-F5C2-41D6-8F0E-1F77CF7F6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E"/>
    <w:pPr>
      <w:spacing w:after="0" w:line="240" w:lineRule="auto"/>
    </w:pPr>
    <w:rPr>
      <w:rFonts w:cs="Arial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7AAE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7AAE"/>
    <w:pPr>
      <w:keepNext/>
      <w:keepLines/>
      <w:numPr>
        <w:ilvl w:val="1"/>
        <w:numId w:val="1"/>
      </w:numPr>
      <w:spacing w:before="40"/>
      <w:outlineLvl w:val="1"/>
    </w:pPr>
    <w:rPr>
      <w:rFonts w:eastAsiaTheme="majorEastAsi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7AAE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B7AAE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AAE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AAE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AAE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AAE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AAE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AAE"/>
    <w:rPr>
      <w:rFonts w:asciiTheme="majorHAnsi" w:eastAsiaTheme="majorEastAsia" w:hAnsiTheme="majorHAnsi" w:cstheme="majorBidi"/>
      <w:b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B7AAE"/>
    <w:rPr>
      <w:rFonts w:eastAsiaTheme="majorEastAsia" w:cs="Arial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B7AA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FB7AAE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AAE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AA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AAE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AAE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A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B7A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7A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7AAE"/>
    <w:rPr>
      <w:rFonts w:cs="Arial"/>
      <w:sz w:val="20"/>
      <w:szCs w:val="20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FB7AAE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B7AA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7A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AAE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58E98866DFD245B9D0E18596F05661" ma:contentTypeVersion="14" ma:contentTypeDescription="Create a new document." ma:contentTypeScope="" ma:versionID="8be8a97e11e132c5b9185593464c2fdc">
  <xsd:schema xmlns:xsd="http://www.w3.org/2001/XMLSchema" xmlns:xs="http://www.w3.org/2001/XMLSchema" xmlns:p="http://schemas.microsoft.com/office/2006/metadata/properties" xmlns:ns3="d8bf8bef-0b82-4986-a401-43264cccf55c" xmlns:ns4="3da09709-1773-4314-a174-55395cd16391" targetNamespace="http://schemas.microsoft.com/office/2006/metadata/properties" ma:root="true" ma:fieldsID="56038264f2e8f231d7f9bb082756b113" ns3:_="" ns4:_="">
    <xsd:import namespace="d8bf8bef-0b82-4986-a401-43264cccf55c"/>
    <xsd:import namespace="3da09709-1773-4314-a174-55395cd163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bf8bef-0b82-4986-a401-43264cccf5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a09709-1773-4314-a174-55395cd1639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A8820DC-F684-4FC8-9D40-1CF75EB5D9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bf8bef-0b82-4986-a401-43264cccf55c"/>
    <ds:schemaRef ds:uri="3da09709-1773-4314-a174-55395cd163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88F47C-0647-4C7E-8BFC-F992344E83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FA1A74-D485-470C-B796-97A8B4F5374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1372</TotalTime>
  <Pages>2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Pryfysgol Bangor University</Company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Eilidh Forster</dc:creator>
  <cp:keywords/>
  <dc:description/>
  <cp:lastModifiedBy>Eilidh Forster</cp:lastModifiedBy>
  <cp:revision>50</cp:revision>
  <dcterms:created xsi:type="dcterms:W3CDTF">2023-02-14T16:48:00Z</dcterms:created>
  <dcterms:modified xsi:type="dcterms:W3CDTF">2023-02-15T18:19:00Z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0x010100BD58E98866DFD245B9D0E18596F05661</vt:lpwstr>
  </property>
</Properties>
</file>