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FB6676" w14:textId="77777777" w:rsidR="001C0FA7" w:rsidRDefault="001C0FA7" w:rsidP="001C0FA7">
      <w:pPr>
        <w:jc w:val="center"/>
        <w:rPr>
          <w:sz w:val="36"/>
          <w:szCs w:val="36"/>
        </w:rPr>
      </w:pPr>
    </w:p>
    <w:p w14:paraId="439693B6" w14:textId="77777777" w:rsidR="001C0FA7" w:rsidRPr="003B40E6" w:rsidRDefault="001C0FA7" w:rsidP="001C0FA7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02AD749A" w14:textId="77777777" w:rsidR="001C0FA7" w:rsidRDefault="001C0FA7" w:rsidP="001C0FA7"/>
    <w:p w14:paraId="535EF65C" w14:textId="77777777" w:rsidR="001C0FA7" w:rsidRDefault="001C0FA7" w:rsidP="001C0FA7">
      <w:pPr>
        <w:pStyle w:val="Authors"/>
        <w:spacing w:before="240" w:after="0"/>
        <w:rPr>
          <w:color w:val="000000" w:themeColor="text1"/>
          <w:sz w:val="22"/>
          <w:szCs w:val="22"/>
        </w:rPr>
      </w:pPr>
      <w:r w:rsidRPr="00EE6F96">
        <w:rPr>
          <w:b/>
          <w:bCs/>
          <w:kern w:val="28"/>
          <w:sz w:val="28"/>
          <w:szCs w:val="28"/>
        </w:rPr>
        <w:t xml:space="preserve">Novel brain-penetrant inhibitor of G9a methylase blocks Alzheimer’s disease </w:t>
      </w:r>
      <w:r>
        <w:rPr>
          <w:b/>
          <w:bCs/>
          <w:kern w:val="28"/>
          <w:sz w:val="28"/>
          <w:szCs w:val="28"/>
        </w:rPr>
        <w:t>proteopathology</w:t>
      </w:r>
      <w:r w:rsidRPr="00EE6F96">
        <w:rPr>
          <w:b/>
          <w:bCs/>
          <w:kern w:val="28"/>
          <w:sz w:val="28"/>
          <w:szCs w:val="28"/>
        </w:rPr>
        <w:t xml:space="preserve"> for </w:t>
      </w:r>
      <w:r>
        <w:rPr>
          <w:b/>
          <w:bCs/>
          <w:kern w:val="28"/>
          <w:sz w:val="28"/>
          <w:szCs w:val="28"/>
        </w:rPr>
        <w:t>precision</w:t>
      </w:r>
      <w:r w:rsidRPr="00EE6F96">
        <w:rPr>
          <w:b/>
          <w:bCs/>
          <w:kern w:val="28"/>
          <w:sz w:val="28"/>
          <w:szCs w:val="28"/>
        </w:rPr>
        <w:t xml:space="preserve"> </w:t>
      </w:r>
      <w:r>
        <w:rPr>
          <w:b/>
          <w:bCs/>
          <w:kern w:val="28"/>
          <w:sz w:val="28"/>
          <w:szCs w:val="28"/>
        </w:rPr>
        <w:t>medication</w:t>
      </w:r>
    </w:p>
    <w:p w14:paraId="7D1E0D06" w14:textId="77777777" w:rsidR="001C0FA7" w:rsidRPr="005C24F3" w:rsidRDefault="001C0FA7" w:rsidP="001C0FA7">
      <w:pPr>
        <w:pStyle w:val="Authors"/>
        <w:spacing w:before="240" w:after="0"/>
        <w:rPr>
          <w:b/>
          <w:bCs/>
          <w:color w:val="000000" w:themeColor="text1"/>
          <w:kern w:val="28"/>
          <w:sz w:val="22"/>
          <w:szCs w:val="22"/>
        </w:rPr>
      </w:pPr>
      <w:r w:rsidRPr="005C24F3">
        <w:rPr>
          <w:color w:val="000000" w:themeColor="text1"/>
          <w:sz w:val="22"/>
          <w:szCs w:val="22"/>
        </w:rPr>
        <w:t>Ling Xie</w:t>
      </w:r>
      <w:r w:rsidRPr="005C24F3">
        <w:rPr>
          <w:color w:val="000000" w:themeColor="text1"/>
          <w:sz w:val="22"/>
          <w:szCs w:val="22"/>
          <w:vertAlign w:val="superscript"/>
        </w:rPr>
        <w:t>1</w:t>
      </w:r>
      <w:r w:rsidRPr="005C24F3">
        <w:rPr>
          <w:color w:val="000000" w:themeColor="text1"/>
          <w:sz w:val="22"/>
          <w:szCs w:val="22"/>
        </w:rPr>
        <w:t xml:space="preserve">†, </w:t>
      </w:r>
      <w:r w:rsidRPr="005C24F3">
        <w:rPr>
          <w:rStyle w:val="qgajv"/>
          <w:color w:val="000000" w:themeColor="text1"/>
          <w:sz w:val="22"/>
          <w:szCs w:val="22"/>
          <w:bdr w:val="none" w:sz="0" w:space="0" w:color="auto" w:frame="1"/>
        </w:rPr>
        <w:t>Ryan N. Sheehy</w:t>
      </w:r>
      <w:r w:rsidRPr="005C24F3">
        <w:rPr>
          <w:rStyle w:val="qgajv"/>
          <w:color w:val="000000" w:themeColor="text1"/>
          <w:sz w:val="22"/>
          <w:szCs w:val="22"/>
          <w:bdr w:val="none" w:sz="0" w:space="0" w:color="auto" w:frame="1"/>
          <w:vertAlign w:val="superscript"/>
        </w:rPr>
        <w:t>3</w:t>
      </w:r>
      <w:r w:rsidRPr="005C24F3">
        <w:rPr>
          <w:color w:val="000000" w:themeColor="text1"/>
          <w:sz w:val="22"/>
          <w:szCs w:val="22"/>
        </w:rPr>
        <w:t>†</w:t>
      </w:r>
      <w:r w:rsidRPr="005C24F3">
        <w:rPr>
          <w:rStyle w:val="qgajv"/>
          <w:color w:val="000000" w:themeColor="text1"/>
          <w:sz w:val="22"/>
          <w:szCs w:val="22"/>
          <w:bdr w:val="none" w:sz="0" w:space="0" w:color="auto" w:frame="1"/>
        </w:rPr>
        <w:t xml:space="preserve">, </w:t>
      </w:r>
      <w:r w:rsidRPr="005C24F3">
        <w:rPr>
          <w:color w:val="000000" w:themeColor="text1"/>
          <w:sz w:val="22"/>
          <w:szCs w:val="22"/>
          <w:shd w:val="clear" w:color="auto" w:fill="FFFFFF"/>
        </w:rPr>
        <w:t>Yan Xiong</w:t>
      </w:r>
      <w:r w:rsidRPr="005C24F3">
        <w:rPr>
          <w:color w:val="000000" w:themeColor="text1"/>
          <w:sz w:val="22"/>
          <w:szCs w:val="22"/>
          <w:vertAlign w:val="superscript"/>
        </w:rPr>
        <w:t>5</w:t>
      </w:r>
      <w:r w:rsidRPr="005C24F3">
        <w:rPr>
          <w:color w:val="000000" w:themeColor="text1"/>
          <w:sz w:val="22"/>
          <w:szCs w:val="22"/>
        </w:rPr>
        <w:t>†</w:t>
      </w:r>
      <w:r w:rsidRPr="005C24F3">
        <w:rPr>
          <w:color w:val="000000" w:themeColor="text1"/>
          <w:sz w:val="22"/>
          <w:szCs w:val="22"/>
          <w:shd w:val="clear" w:color="auto" w:fill="FFFFFF"/>
        </w:rPr>
        <w:t xml:space="preserve">, </w:t>
      </w:r>
      <w:r w:rsidRPr="005C24F3">
        <w:rPr>
          <w:color w:val="000000" w:themeColor="text1"/>
          <w:sz w:val="22"/>
          <w:szCs w:val="22"/>
        </w:rPr>
        <w:t>Adil Muneer</w:t>
      </w:r>
      <w:r w:rsidRPr="005C24F3">
        <w:rPr>
          <w:color w:val="000000" w:themeColor="text1"/>
          <w:sz w:val="22"/>
          <w:szCs w:val="22"/>
          <w:vertAlign w:val="superscript"/>
        </w:rPr>
        <w:t>1</w:t>
      </w:r>
      <w:r w:rsidRPr="005C24F3">
        <w:rPr>
          <w:color w:val="000000" w:themeColor="text1"/>
          <w:sz w:val="22"/>
          <w:szCs w:val="22"/>
        </w:rPr>
        <w:t>†, John A. Wrobel</w:t>
      </w:r>
      <w:r w:rsidRPr="005C24F3">
        <w:rPr>
          <w:color w:val="000000" w:themeColor="text1"/>
          <w:sz w:val="22"/>
          <w:szCs w:val="22"/>
          <w:vertAlign w:val="superscript"/>
        </w:rPr>
        <w:t>1</w:t>
      </w:r>
      <w:r w:rsidRPr="005C24F3">
        <w:rPr>
          <w:color w:val="000000" w:themeColor="text1"/>
          <w:sz w:val="22"/>
          <w:szCs w:val="22"/>
        </w:rPr>
        <w:t>, Kwang-Su Park</w:t>
      </w:r>
      <w:r w:rsidRPr="005C24F3">
        <w:rPr>
          <w:color w:val="000000" w:themeColor="text1"/>
          <w:sz w:val="22"/>
          <w:szCs w:val="22"/>
          <w:vertAlign w:val="superscript"/>
        </w:rPr>
        <w:t>5</w:t>
      </w:r>
      <w:r w:rsidRPr="005C24F3">
        <w:rPr>
          <w:color w:val="000000" w:themeColor="text1"/>
          <w:sz w:val="22"/>
          <w:szCs w:val="22"/>
        </w:rPr>
        <w:t>, Julia Velez</w:t>
      </w:r>
      <w:r w:rsidRPr="005C24F3">
        <w:rPr>
          <w:color w:val="000000" w:themeColor="text1"/>
          <w:sz w:val="22"/>
          <w:szCs w:val="22"/>
          <w:vertAlign w:val="superscript"/>
        </w:rPr>
        <w:t>5</w:t>
      </w:r>
      <w:r w:rsidRPr="005C24F3">
        <w:rPr>
          <w:color w:val="000000" w:themeColor="text1"/>
          <w:sz w:val="22"/>
          <w:szCs w:val="22"/>
        </w:rPr>
        <w:t>, Jing Liu</w:t>
      </w:r>
      <w:r w:rsidRPr="005C24F3">
        <w:rPr>
          <w:color w:val="000000" w:themeColor="text1"/>
          <w:sz w:val="22"/>
          <w:szCs w:val="22"/>
          <w:vertAlign w:val="superscript"/>
        </w:rPr>
        <w:t>5</w:t>
      </w:r>
      <w:r w:rsidRPr="005C24F3">
        <w:rPr>
          <w:color w:val="000000" w:themeColor="text1"/>
          <w:sz w:val="22"/>
          <w:szCs w:val="22"/>
        </w:rPr>
        <w:t>, Yan-Jia Luo</w:t>
      </w:r>
      <w:r w:rsidRPr="005C24F3">
        <w:rPr>
          <w:color w:val="000000" w:themeColor="text1"/>
          <w:sz w:val="22"/>
          <w:szCs w:val="22"/>
          <w:vertAlign w:val="superscript"/>
        </w:rPr>
        <w:t>3,4</w:t>
      </w:r>
      <w:r w:rsidRPr="005C24F3">
        <w:rPr>
          <w:color w:val="000000" w:themeColor="text1"/>
          <w:sz w:val="22"/>
          <w:szCs w:val="22"/>
        </w:rPr>
        <w:t>, Ya-Dong Li</w:t>
      </w:r>
      <w:r w:rsidRPr="005C24F3">
        <w:rPr>
          <w:color w:val="000000" w:themeColor="text1"/>
          <w:sz w:val="22"/>
          <w:szCs w:val="22"/>
          <w:vertAlign w:val="superscript"/>
        </w:rPr>
        <w:t>3,4</w:t>
      </w:r>
      <w:r w:rsidRPr="005C24F3">
        <w:rPr>
          <w:color w:val="000000" w:themeColor="text1"/>
          <w:sz w:val="22"/>
          <w:szCs w:val="22"/>
        </w:rPr>
        <w:t>, Luis Quintanilla</w:t>
      </w:r>
      <w:r w:rsidRPr="005C24F3">
        <w:rPr>
          <w:color w:val="000000" w:themeColor="text1"/>
          <w:sz w:val="22"/>
          <w:szCs w:val="22"/>
          <w:vertAlign w:val="superscript"/>
        </w:rPr>
        <w:t>3,4</w:t>
      </w:r>
      <w:r w:rsidRPr="005C24F3">
        <w:rPr>
          <w:color w:val="000000" w:themeColor="text1"/>
          <w:sz w:val="22"/>
          <w:szCs w:val="22"/>
        </w:rPr>
        <w:t>, Yongyi Li</w:t>
      </w:r>
      <w:r w:rsidRPr="005C24F3">
        <w:rPr>
          <w:color w:val="000000" w:themeColor="text1"/>
          <w:sz w:val="22"/>
          <w:szCs w:val="22"/>
          <w:vertAlign w:val="superscript"/>
        </w:rPr>
        <w:t>3</w:t>
      </w:r>
      <w:r w:rsidRPr="005C24F3">
        <w:rPr>
          <w:color w:val="000000" w:themeColor="text1"/>
          <w:sz w:val="22"/>
          <w:szCs w:val="22"/>
        </w:rPr>
        <w:t>, Chongchong Xu</w:t>
      </w:r>
      <w:r w:rsidRPr="005C24F3">
        <w:rPr>
          <w:color w:val="000000" w:themeColor="text1"/>
          <w:sz w:val="22"/>
          <w:szCs w:val="22"/>
          <w:vertAlign w:val="superscript"/>
        </w:rPr>
        <w:t>6</w:t>
      </w:r>
      <w:r w:rsidRPr="005C24F3">
        <w:rPr>
          <w:color w:val="000000" w:themeColor="text1"/>
          <w:sz w:val="22"/>
          <w:szCs w:val="22"/>
        </w:rPr>
        <w:t>, Mohanish Deshmukh</w:t>
      </w:r>
      <w:r w:rsidRPr="005C24F3">
        <w:rPr>
          <w:color w:val="000000" w:themeColor="text1"/>
          <w:sz w:val="22"/>
          <w:szCs w:val="22"/>
          <w:vertAlign w:val="superscript"/>
        </w:rPr>
        <w:t>4,7</w:t>
      </w:r>
      <w:r w:rsidRPr="005C24F3">
        <w:rPr>
          <w:color w:val="000000" w:themeColor="text1"/>
          <w:sz w:val="22"/>
          <w:szCs w:val="22"/>
        </w:rPr>
        <w:t>, Zhexing Wen</w:t>
      </w:r>
      <w:r w:rsidRPr="005C24F3">
        <w:rPr>
          <w:color w:val="000000" w:themeColor="text1"/>
          <w:sz w:val="22"/>
          <w:szCs w:val="22"/>
          <w:vertAlign w:val="superscript"/>
        </w:rPr>
        <w:t>6</w:t>
      </w:r>
      <w:r w:rsidRPr="005C24F3">
        <w:rPr>
          <w:color w:val="000000" w:themeColor="text1"/>
          <w:sz w:val="22"/>
          <w:szCs w:val="22"/>
        </w:rPr>
        <w:t>, Jian Jin</w:t>
      </w:r>
      <w:r w:rsidRPr="005C24F3">
        <w:rPr>
          <w:color w:val="000000" w:themeColor="text1"/>
          <w:sz w:val="22"/>
          <w:szCs w:val="22"/>
          <w:vertAlign w:val="superscript"/>
        </w:rPr>
        <w:t>5</w:t>
      </w:r>
      <w:r w:rsidRPr="005C24F3">
        <w:rPr>
          <w:color w:val="000000" w:themeColor="text1"/>
          <w:sz w:val="22"/>
          <w:szCs w:val="22"/>
        </w:rPr>
        <w:t xml:space="preserve">*, </w:t>
      </w:r>
      <w:r w:rsidRPr="005C24F3">
        <w:rPr>
          <w:color w:val="000000" w:themeColor="text1"/>
          <w:sz w:val="22"/>
          <w:szCs w:val="22"/>
          <w:shd w:val="clear" w:color="auto" w:fill="FFFFFF"/>
        </w:rPr>
        <w:t>Juan Song,</w:t>
      </w:r>
      <w:r w:rsidRPr="005C24F3">
        <w:rPr>
          <w:color w:val="000000" w:themeColor="text1"/>
          <w:sz w:val="22"/>
          <w:szCs w:val="22"/>
          <w:vertAlign w:val="superscript"/>
        </w:rPr>
        <w:t>3,4</w:t>
      </w:r>
      <w:r w:rsidRPr="005C24F3">
        <w:rPr>
          <w:color w:val="000000" w:themeColor="text1"/>
          <w:sz w:val="22"/>
          <w:szCs w:val="22"/>
        </w:rPr>
        <w:t>* &amp; Xian Chen</w:t>
      </w:r>
      <w:r w:rsidRPr="005C24F3">
        <w:rPr>
          <w:color w:val="000000" w:themeColor="text1"/>
          <w:sz w:val="22"/>
          <w:szCs w:val="22"/>
          <w:vertAlign w:val="superscript"/>
        </w:rPr>
        <w:t>1, 2</w:t>
      </w:r>
      <w:r w:rsidRPr="005C24F3">
        <w:rPr>
          <w:color w:val="000000" w:themeColor="text1"/>
          <w:sz w:val="22"/>
          <w:szCs w:val="22"/>
        </w:rPr>
        <w:t>‡*</w:t>
      </w:r>
    </w:p>
    <w:p w14:paraId="04E69BB7" w14:textId="77777777" w:rsidR="001C0FA7" w:rsidRDefault="001C0FA7" w:rsidP="001C0FA7">
      <w:pPr>
        <w:jc w:val="center"/>
        <w:rPr>
          <w:szCs w:val="24"/>
        </w:rPr>
      </w:pPr>
    </w:p>
    <w:p w14:paraId="1DF06AC3" w14:textId="77777777" w:rsidR="001C0FA7" w:rsidRDefault="001C0FA7" w:rsidP="001C0FA7">
      <w:pPr>
        <w:jc w:val="center"/>
        <w:rPr>
          <w:szCs w:val="24"/>
        </w:rPr>
      </w:pPr>
      <w:r>
        <w:rPr>
          <w:szCs w:val="24"/>
        </w:rPr>
        <w:t xml:space="preserve">Corresponding author: </w:t>
      </w:r>
      <w:r w:rsidRPr="00AD1D96">
        <w:t>xianc@email.unc.edu (X.C.); juansong@email.unc.edu (J.S.); jian.jin@mssm.edu (J.J.)</w:t>
      </w:r>
    </w:p>
    <w:p w14:paraId="2B3C85EB" w14:textId="77777777" w:rsidR="001C0FA7" w:rsidRDefault="001C0FA7" w:rsidP="001C0FA7"/>
    <w:p w14:paraId="4BEA625C" w14:textId="77777777" w:rsidR="001C0FA7" w:rsidRDefault="001C0FA7" w:rsidP="001C0FA7">
      <w:pPr>
        <w:rPr>
          <w:b/>
        </w:rPr>
      </w:pPr>
    </w:p>
    <w:p w14:paraId="79CC4307" w14:textId="77777777" w:rsidR="001C0FA7" w:rsidRPr="00262D72" w:rsidRDefault="001C0FA7" w:rsidP="001C0FA7">
      <w:pPr>
        <w:rPr>
          <w:b/>
        </w:rPr>
      </w:pPr>
      <w:r>
        <w:rPr>
          <w:b/>
        </w:rPr>
        <w:t xml:space="preserve">The PDF file </w:t>
      </w:r>
      <w:r w:rsidRPr="00262D72">
        <w:rPr>
          <w:b/>
        </w:rPr>
        <w:t>includes:</w:t>
      </w:r>
    </w:p>
    <w:p w14:paraId="2C345B0E" w14:textId="77777777" w:rsidR="001C0FA7" w:rsidRDefault="001C0FA7" w:rsidP="001C0FA7"/>
    <w:p w14:paraId="6F95F722" w14:textId="77777777" w:rsidR="001C0FA7" w:rsidRDefault="001C0FA7" w:rsidP="001C0FA7">
      <w:pPr>
        <w:ind w:left="720"/>
      </w:pPr>
      <w:r>
        <w:t>Figs. S1 to S6</w:t>
      </w:r>
    </w:p>
    <w:p w14:paraId="6736C564" w14:textId="77777777" w:rsidR="001C0FA7" w:rsidRDefault="001C0FA7" w:rsidP="001C0FA7"/>
    <w:p w14:paraId="3B3F78DA" w14:textId="77777777" w:rsidR="001C0FA7" w:rsidRPr="00B57F00" w:rsidRDefault="001C0FA7" w:rsidP="001C0FA7">
      <w:r w:rsidRPr="00262D72">
        <w:rPr>
          <w:b/>
        </w:rPr>
        <w:t>Other Sup</w:t>
      </w:r>
      <w:r>
        <w:rPr>
          <w:b/>
        </w:rPr>
        <w:t>plementary</w:t>
      </w:r>
      <w:r w:rsidRPr="00262D72">
        <w:rPr>
          <w:b/>
        </w:rPr>
        <w:t xml:space="preserve"> Material</w:t>
      </w:r>
      <w:r>
        <w:rPr>
          <w:b/>
        </w:rPr>
        <w:t>s</w:t>
      </w:r>
      <w:r w:rsidRPr="00262D72">
        <w:rPr>
          <w:b/>
        </w:rPr>
        <w:t xml:space="preserve"> </w:t>
      </w:r>
      <w:r>
        <w:rPr>
          <w:b/>
        </w:rPr>
        <w:t xml:space="preserve">for this manuscript </w:t>
      </w:r>
      <w:r w:rsidRPr="00262D72">
        <w:rPr>
          <w:b/>
        </w:rPr>
        <w:t>include the following</w:t>
      </w:r>
      <w:r>
        <w:rPr>
          <w:b/>
        </w:rPr>
        <w:t xml:space="preserve">: </w:t>
      </w:r>
    </w:p>
    <w:p w14:paraId="0D0C0FC7" w14:textId="77777777" w:rsidR="001C0FA7" w:rsidRDefault="001C0FA7" w:rsidP="001C0FA7"/>
    <w:p w14:paraId="22C5EAD6" w14:textId="77777777" w:rsidR="001C0FA7" w:rsidRDefault="001C0FA7" w:rsidP="001C0FA7">
      <w:pPr>
        <w:ind w:left="720"/>
      </w:pPr>
      <w:r>
        <w:t xml:space="preserve">Data File S1 </w:t>
      </w:r>
    </w:p>
    <w:p w14:paraId="1DCEC74C" w14:textId="77777777" w:rsidR="001C0FA7" w:rsidRDefault="001C0FA7" w:rsidP="001C0FA7">
      <w:pPr>
        <w:ind w:left="720"/>
      </w:pPr>
    </w:p>
    <w:p w14:paraId="20C060E3" w14:textId="77777777" w:rsidR="001C0FA7" w:rsidRDefault="001C0FA7" w:rsidP="001C0FA7">
      <w:pPr>
        <w:ind w:left="720"/>
      </w:pPr>
      <w:r>
        <w:br/>
      </w:r>
    </w:p>
    <w:p w14:paraId="0F51B9BD" w14:textId="77777777" w:rsidR="001C0FA7" w:rsidRDefault="001C0FA7" w:rsidP="001C0FA7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  <w:r w:rsidRPr="00874AFC">
        <w:rPr>
          <w:noProof/>
        </w:rPr>
        <w:lastRenderedPageBreak/>
        <w:drawing>
          <wp:inline distT="0" distB="0" distL="0" distR="0" wp14:anchorId="7D205F5E" wp14:editId="5DF78FC2">
            <wp:extent cx="3656930" cy="3139440"/>
            <wp:effectExtent l="0" t="0" r="0" b="3810"/>
            <wp:docPr id="1024701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336" cy="3144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4AFC">
        <w:t xml:space="preserve"> </w:t>
      </w:r>
    </w:p>
    <w:p w14:paraId="4D4F2FE5" w14:textId="77777777" w:rsidR="001C0FA7" w:rsidRDefault="001C0FA7" w:rsidP="001C0FA7">
      <w:pPr>
        <w:spacing w:before="240"/>
        <w:jc w:val="both"/>
        <w:rPr>
          <w:rFonts w:eastAsia="SimSun"/>
          <w:b/>
          <w:bCs/>
          <w:color w:val="000000" w:themeColor="text1"/>
          <w:szCs w:val="24"/>
        </w:rPr>
      </w:pPr>
    </w:p>
    <w:p w14:paraId="71ED52C8" w14:textId="77777777" w:rsidR="001C0FA7" w:rsidRPr="00F237CF" w:rsidRDefault="001C0FA7" w:rsidP="001C0FA7">
      <w:pPr>
        <w:spacing w:before="240"/>
        <w:jc w:val="both"/>
        <w:rPr>
          <w:color w:val="000000" w:themeColor="text1"/>
          <w:szCs w:val="24"/>
        </w:rPr>
      </w:pPr>
      <w:r w:rsidRPr="00F237CF">
        <w:rPr>
          <w:rFonts w:eastAsia="SimSun"/>
          <w:b/>
          <w:bCs/>
          <w:color w:val="000000" w:themeColor="text1"/>
          <w:szCs w:val="24"/>
        </w:rPr>
        <w:t>Figure S1</w:t>
      </w:r>
      <w:r w:rsidRPr="00F237CF">
        <w:rPr>
          <w:b/>
          <w:bCs/>
          <w:color w:val="000000" w:themeColor="text1"/>
          <w:szCs w:val="24"/>
        </w:rPr>
        <w:t xml:space="preserve">. </w:t>
      </w:r>
      <w:r w:rsidRPr="00F237CF">
        <w:rPr>
          <w:color w:val="000000" w:themeColor="text1"/>
          <w:szCs w:val="24"/>
        </w:rPr>
        <w:t xml:space="preserve">PCA plots of ChaC pull-downs by UNC0965 from mouse hippocampus and human organoids. </w:t>
      </w:r>
    </w:p>
    <w:p w14:paraId="388DC6C1" w14:textId="77777777" w:rsidR="001C0FA7" w:rsidRDefault="001C0FA7" w:rsidP="001C0FA7">
      <w:pPr>
        <w:pStyle w:val="SMcaption"/>
      </w:pPr>
    </w:p>
    <w:p w14:paraId="320EBCF2" w14:textId="77777777" w:rsidR="001C0FA7" w:rsidRDefault="001C0FA7" w:rsidP="001C0FA7">
      <w:pPr>
        <w:pStyle w:val="SMcaption"/>
        <w:sectPr w:rsidR="001C0FA7" w:rsidSect="00A84092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 w:code="1"/>
          <w:pgMar w:top="1296" w:right="1440" w:bottom="1296" w:left="1440" w:header="432" w:footer="720" w:gutter="0"/>
          <w:cols w:space="720"/>
          <w:docGrid w:linePitch="360"/>
        </w:sectPr>
      </w:pPr>
    </w:p>
    <w:p w14:paraId="7A7359CA" w14:textId="77777777" w:rsidR="001C0FA7" w:rsidRDefault="001C0FA7" w:rsidP="001C0FA7">
      <w:pPr>
        <w:pStyle w:val="SMcaption"/>
        <w:rPr>
          <w:rFonts w:eastAsia="SimSun"/>
          <w:b/>
          <w:bCs/>
          <w:color w:val="000000" w:themeColor="text1"/>
          <w:szCs w:val="24"/>
        </w:rPr>
      </w:pPr>
      <w:r w:rsidRPr="00CC0853">
        <w:rPr>
          <w:noProof/>
        </w:rPr>
        <w:lastRenderedPageBreak/>
        <w:drawing>
          <wp:inline distT="0" distB="0" distL="0" distR="0" wp14:anchorId="7D52F3FE" wp14:editId="72675467">
            <wp:extent cx="5943600" cy="2737485"/>
            <wp:effectExtent l="0" t="0" r="0" b="5715"/>
            <wp:docPr id="2" name="Picture 1" descr="A graph of different colored and red and blu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E25CCBC4-7360-0D60-95FE-26660B81A1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aph of different colored and red and blu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E25CCBC4-7360-0D60-95FE-26660B81A1C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0853">
        <w:t xml:space="preserve"> </w:t>
      </w:r>
    </w:p>
    <w:p w14:paraId="36489E55" w14:textId="77777777" w:rsidR="001C0FA7" w:rsidRPr="00F237CF" w:rsidRDefault="001C0FA7" w:rsidP="001C0FA7">
      <w:pPr>
        <w:spacing w:before="240"/>
        <w:jc w:val="both"/>
        <w:rPr>
          <w:color w:val="000000" w:themeColor="text1"/>
          <w:szCs w:val="24"/>
        </w:rPr>
      </w:pPr>
      <w:r w:rsidRPr="00F237CF">
        <w:rPr>
          <w:rFonts w:eastAsia="SimSun"/>
          <w:b/>
          <w:bCs/>
          <w:color w:val="000000" w:themeColor="text1"/>
          <w:szCs w:val="24"/>
        </w:rPr>
        <w:t>Figure S2</w:t>
      </w:r>
      <w:r w:rsidRPr="00F237CF">
        <w:rPr>
          <w:b/>
          <w:bCs/>
          <w:color w:val="000000" w:themeColor="text1"/>
          <w:szCs w:val="24"/>
        </w:rPr>
        <w:t xml:space="preserve">. </w:t>
      </w:r>
      <w:r w:rsidRPr="00F237CF">
        <w:rPr>
          <w:color w:val="000000" w:themeColor="text1"/>
          <w:szCs w:val="24"/>
        </w:rPr>
        <w:t>ChaC-identified G9a interactors show the interaction-correlated overexpression patterns in MCI or AD patients. Box plots showing the statistically significant (p values &lt; 0.05), patient-specifically altered mRNA expression for indicated interactor genes. The distribution of mRNA expression for MCI patients (n=80) is in red, and for healthy individuals (n=104) is in blue. Standard error of the mean (SEM) in cyan is in ± 0.01-0.04.</w:t>
      </w:r>
    </w:p>
    <w:p w14:paraId="1AEEF7C6" w14:textId="77777777" w:rsidR="001C0FA7" w:rsidRDefault="001C0FA7" w:rsidP="001C0FA7">
      <w:pPr>
        <w:pStyle w:val="SMcaption"/>
      </w:pPr>
    </w:p>
    <w:p w14:paraId="5CA4390D" w14:textId="77777777" w:rsidR="001C0FA7" w:rsidRDefault="001C0FA7" w:rsidP="001C0FA7">
      <w:pPr>
        <w:pStyle w:val="SMcaption"/>
        <w:sectPr w:rsidR="001C0FA7" w:rsidSect="00A840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32D8490" w14:textId="77777777" w:rsidR="001C0FA7" w:rsidRDefault="001C0FA7" w:rsidP="001C0FA7">
      <w:pPr>
        <w:pStyle w:val="SMcaption"/>
      </w:pPr>
      <w:r w:rsidRPr="00FF4FD7">
        <w:rPr>
          <w:noProof/>
        </w:rPr>
        <w:lastRenderedPageBreak/>
        <w:drawing>
          <wp:inline distT="0" distB="0" distL="0" distR="0" wp14:anchorId="011DDA73" wp14:editId="715217F6">
            <wp:extent cx="5943600" cy="3874770"/>
            <wp:effectExtent l="0" t="0" r="0" b="0"/>
            <wp:docPr id="2241296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4FD7">
        <w:t xml:space="preserve"> </w:t>
      </w:r>
    </w:p>
    <w:p w14:paraId="24433DD0" w14:textId="77777777" w:rsidR="001C0FA7" w:rsidRPr="00F237CF" w:rsidRDefault="001C0FA7" w:rsidP="001C0FA7">
      <w:pPr>
        <w:spacing w:before="240"/>
        <w:jc w:val="both"/>
        <w:rPr>
          <w:color w:val="000000" w:themeColor="text1"/>
          <w:szCs w:val="24"/>
        </w:rPr>
      </w:pPr>
      <w:r w:rsidRPr="00F237CF">
        <w:rPr>
          <w:rFonts w:eastAsia="SimSun"/>
          <w:b/>
          <w:bCs/>
          <w:color w:val="000000" w:themeColor="text1"/>
          <w:szCs w:val="24"/>
        </w:rPr>
        <w:t>Figure S3</w:t>
      </w:r>
      <w:r w:rsidRPr="00F237CF">
        <w:rPr>
          <w:b/>
          <w:bCs/>
          <w:color w:val="000000" w:themeColor="text1"/>
          <w:szCs w:val="24"/>
        </w:rPr>
        <w:t xml:space="preserve">. </w:t>
      </w:r>
      <w:r w:rsidRPr="00F237CF">
        <w:rPr>
          <w:rFonts w:eastAsia="SimSun"/>
          <w:color w:val="000000" w:themeColor="text1"/>
          <w:szCs w:val="24"/>
        </w:rPr>
        <w:t xml:space="preserve">Function categorization of </w:t>
      </w:r>
      <w:r w:rsidRPr="00F237CF">
        <w:rPr>
          <w:color w:val="000000" w:themeColor="text1"/>
          <w:szCs w:val="24"/>
        </w:rPr>
        <w:t xml:space="preserve">ChaC-MS identifications of G9a interactors from the hippocampus of 5XFAD mice with versus without MS1262 treatment. </w:t>
      </w:r>
    </w:p>
    <w:p w14:paraId="42A72290" w14:textId="77777777" w:rsidR="001C0FA7" w:rsidRDefault="001C0FA7" w:rsidP="001C0FA7">
      <w:pPr>
        <w:pStyle w:val="SMcaption"/>
      </w:pPr>
    </w:p>
    <w:p w14:paraId="20E5CB87" w14:textId="77777777" w:rsidR="001C0FA7" w:rsidRDefault="001C0FA7" w:rsidP="001C0FA7">
      <w:pPr>
        <w:pStyle w:val="SMcaption"/>
        <w:sectPr w:rsidR="001C0FA7" w:rsidSect="00A840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BDAC06" w14:textId="77777777" w:rsidR="001C0FA7" w:rsidRDefault="001C0FA7" w:rsidP="001C0FA7">
      <w:pPr>
        <w:pStyle w:val="SMcaption"/>
      </w:pPr>
      <w:r w:rsidRPr="009C0F7B">
        <w:rPr>
          <w:noProof/>
        </w:rPr>
        <w:lastRenderedPageBreak/>
        <w:drawing>
          <wp:inline distT="0" distB="0" distL="0" distR="0" wp14:anchorId="756E1C52" wp14:editId="1C416702">
            <wp:extent cx="5943600" cy="3092450"/>
            <wp:effectExtent l="0" t="0" r="0" b="0"/>
            <wp:docPr id="7118074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D1B93" w14:textId="77777777" w:rsidR="001C0FA7" w:rsidRPr="00490316" w:rsidRDefault="001C0FA7" w:rsidP="001C0FA7">
      <w:pPr>
        <w:spacing w:before="240"/>
        <w:jc w:val="both"/>
        <w:rPr>
          <w:szCs w:val="24"/>
        </w:rPr>
      </w:pPr>
      <w:r w:rsidRPr="00B479A1">
        <w:rPr>
          <w:rFonts w:eastAsia="SimSun"/>
          <w:b/>
          <w:bCs/>
          <w:szCs w:val="24"/>
        </w:rPr>
        <w:t>Figure S4</w:t>
      </w:r>
      <w:r w:rsidRPr="00B479A1">
        <w:rPr>
          <w:b/>
          <w:bCs/>
          <w:szCs w:val="24"/>
        </w:rPr>
        <w:t xml:space="preserve">. (A) </w:t>
      </w:r>
      <w:r w:rsidRPr="00B479A1">
        <w:rPr>
          <w:szCs w:val="24"/>
        </w:rPr>
        <w:t xml:space="preserve">t-SNE visualization showing clear separation </w:t>
      </w:r>
      <w:r>
        <w:rPr>
          <w:szCs w:val="24"/>
        </w:rPr>
        <w:t xml:space="preserve">between </w:t>
      </w:r>
      <w:r w:rsidRPr="00B479A1">
        <w:rPr>
          <w:szCs w:val="24"/>
        </w:rPr>
        <w:t xml:space="preserve">and reproducibility among replicates in </w:t>
      </w:r>
      <w:r>
        <w:rPr>
          <w:szCs w:val="24"/>
        </w:rPr>
        <w:t xml:space="preserve">the </w:t>
      </w:r>
      <w:r w:rsidRPr="00B479A1">
        <w:rPr>
          <w:szCs w:val="24"/>
        </w:rPr>
        <w:t>proteomic</w:t>
      </w:r>
      <w:r>
        <w:rPr>
          <w:szCs w:val="24"/>
        </w:rPr>
        <w:t xml:space="preserve"> and </w:t>
      </w:r>
      <w:r w:rsidRPr="00B479A1">
        <w:rPr>
          <w:szCs w:val="24"/>
        </w:rPr>
        <w:t xml:space="preserve">phospho-proteomic datasets. </w:t>
      </w:r>
      <w:r w:rsidRPr="00B479A1">
        <w:rPr>
          <w:bCs/>
          <w:szCs w:val="24"/>
        </w:rPr>
        <w:t xml:space="preserve">‘WT’– age-matched wild type mice; ‘AD’– </w:t>
      </w:r>
      <w:r w:rsidRPr="00B479A1">
        <w:rPr>
          <w:szCs w:val="24"/>
        </w:rPr>
        <w:t xml:space="preserve">5x-FAD/APP-NLGF mice </w:t>
      </w:r>
      <w:r w:rsidRPr="00B479A1">
        <w:rPr>
          <w:bCs/>
          <w:szCs w:val="24"/>
        </w:rPr>
        <w:t xml:space="preserve">at mid/late stages of AD; ‘AD-tr’ – the AD mice treated by MS1262. </w:t>
      </w:r>
      <w:r w:rsidRPr="00B479A1">
        <w:rPr>
          <w:b/>
          <w:szCs w:val="24"/>
        </w:rPr>
        <w:t>(B)</w:t>
      </w:r>
      <w:r w:rsidRPr="00B479A1">
        <w:rPr>
          <w:szCs w:val="24"/>
        </w:rPr>
        <w:t xml:space="preserve"> </w:t>
      </w:r>
      <w:r>
        <w:rPr>
          <w:szCs w:val="24"/>
        </w:rPr>
        <w:t xml:space="preserve">Scatter plot showing difference in expression for various m6A readers (black), writers (red) and erasers (blue) for indicated comparisons: AD vs WT (x-axis) and AD-tr vs AD </w:t>
      </w:r>
      <w:r w:rsidRPr="00490316">
        <w:rPr>
          <w:szCs w:val="24"/>
        </w:rPr>
        <w:t xml:space="preserve">(y-axis). Global proteomics data from 5x-FAD (circles) and APP-NLGF (triangles) mice. </w:t>
      </w:r>
      <w:r w:rsidRPr="00490316">
        <w:rPr>
          <w:b/>
          <w:bCs/>
          <w:szCs w:val="24"/>
        </w:rPr>
        <w:t>(C)</w:t>
      </w:r>
      <w:r w:rsidRPr="00490316">
        <w:rPr>
          <w:szCs w:val="24"/>
        </w:rPr>
        <w:t xml:space="preserve"> Venn diagram showing overlap among AD-dysregulated/MS1262-reversed (‘AD/G9a </w:t>
      </w:r>
      <w:r>
        <w:rPr>
          <w:szCs w:val="24"/>
        </w:rPr>
        <w:t>co</w:t>
      </w:r>
      <w:r w:rsidRPr="00490316">
        <w:rPr>
          <w:szCs w:val="24"/>
        </w:rPr>
        <w:t xml:space="preserve">regulated’) proteins from the two mouse models (this study) and m6A-modified transcripts in WT and 5x-FAD mice identified using m6A-Seq (GSE144032). </w:t>
      </w:r>
      <w:r w:rsidRPr="00490316">
        <w:rPr>
          <w:b/>
          <w:bCs/>
          <w:szCs w:val="24"/>
        </w:rPr>
        <w:t>(D)</w:t>
      </w:r>
      <w:r w:rsidRPr="00490316">
        <w:rPr>
          <w:szCs w:val="24"/>
        </w:rPr>
        <w:t xml:space="preserve"> </w:t>
      </w:r>
      <w:r>
        <w:rPr>
          <w:szCs w:val="24"/>
        </w:rPr>
        <w:t>Scatter plot showing effect of MS1262 treatment on p</w:t>
      </w:r>
      <w:r w:rsidRPr="00BE2AA5">
        <w:rPr>
          <w:szCs w:val="24"/>
        </w:rPr>
        <w:t>hosphorylation of 33 sites o</w:t>
      </w:r>
      <w:r>
        <w:rPr>
          <w:szCs w:val="24"/>
        </w:rPr>
        <w:t>n</w:t>
      </w:r>
      <w:r w:rsidRPr="00BE2AA5">
        <w:rPr>
          <w:szCs w:val="24"/>
        </w:rPr>
        <w:t xml:space="preserve"> MAPT protein</w:t>
      </w:r>
      <w:r>
        <w:rPr>
          <w:szCs w:val="24"/>
        </w:rPr>
        <w:t xml:space="preserve"> in 5x-FAD mice. </w:t>
      </w:r>
      <w:r w:rsidRPr="009C0F7B">
        <w:rPr>
          <w:b/>
          <w:bCs/>
          <w:szCs w:val="24"/>
        </w:rPr>
        <w:t>(E)</w:t>
      </w:r>
      <w:r>
        <w:rPr>
          <w:b/>
          <w:bCs/>
          <w:szCs w:val="24"/>
        </w:rPr>
        <w:t xml:space="preserve"> </w:t>
      </w:r>
      <w:r w:rsidRPr="00417BB5">
        <w:rPr>
          <w:szCs w:val="24"/>
        </w:rPr>
        <w:t>Heatmap of select</w:t>
      </w:r>
      <w:r>
        <w:rPr>
          <w:b/>
          <w:bCs/>
          <w:szCs w:val="24"/>
        </w:rPr>
        <w:t xml:space="preserve"> </w:t>
      </w:r>
      <w:r w:rsidRPr="00490316">
        <w:rPr>
          <w:szCs w:val="24"/>
        </w:rPr>
        <w:t xml:space="preserve">AD/G9a </w:t>
      </w:r>
      <w:r>
        <w:rPr>
          <w:szCs w:val="24"/>
        </w:rPr>
        <w:t>co</w:t>
      </w:r>
      <w:r w:rsidRPr="00490316">
        <w:rPr>
          <w:szCs w:val="24"/>
        </w:rPr>
        <w:t>regulated</w:t>
      </w:r>
      <w:r>
        <w:rPr>
          <w:szCs w:val="24"/>
        </w:rPr>
        <w:t xml:space="preserve"> proteins of interest. Median of 4 replicates is plotted.</w:t>
      </w:r>
    </w:p>
    <w:p w14:paraId="5F97B57C" w14:textId="77777777" w:rsidR="001C0FA7" w:rsidRDefault="001C0FA7" w:rsidP="001C0FA7">
      <w:pPr>
        <w:spacing w:before="240"/>
        <w:jc w:val="both"/>
        <w:rPr>
          <w:color w:val="FF0000"/>
          <w:szCs w:val="24"/>
        </w:rPr>
      </w:pPr>
    </w:p>
    <w:p w14:paraId="5A1A4324" w14:textId="77777777" w:rsidR="001C0FA7" w:rsidRDefault="001C0FA7" w:rsidP="001C0FA7">
      <w:pPr>
        <w:pStyle w:val="SMcaption"/>
        <w:sectPr w:rsidR="001C0FA7" w:rsidSect="00A840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8EA7E7" w14:textId="77777777" w:rsidR="001C0FA7" w:rsidRDefault="001C0FA7" w:rsidP="001C0FA7">
      <w:pPr>
        <w:pStyle w:val="SMcaption"/>
      </w:pPr>
      <w:r w:rsidRPr="002705D1">
        <w:rPr>
          <w:noProof/>
        </w:rPr>
        <w:lastRenderedPageBreak/>
        <w:drawing>
          <wp:inline distT="0" distB="0" distL="0" distR="0" wp14:anchorId="14197CE3" wp14:editId="30D8DD0B">
            <wp:extent cx="5943600" cy="2988945"/>
            <wp:effectExtent l="0" t="0" r="0" b="1905"/>
            <wp:docPr id="182035918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07D1">
        <w:t xml:space="preserve"> </w:t>
      </w:r>
      <w:r w:rsidRPr="006507D1">
        <w:rPr>
          <w:noProof/>
        </w:rPr>
        <w:drawing>
          <wp:inline distT="0" distB="0" distL="0" distR="0" wp14:anchorId="0AA4BAE7" wp14:editId="6CA2E377">
            <wp:extent cx="5057873" cy="3415145"/>
            <wp:effectExtent l="0" t="0" r="0" b="0"/>
            <wp:docPr id="46569646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873" cy="341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C0B01" w14:textId="77777777" w:rsidR="001C0FA7" w:rsidRPr="00DC4B16" w:rsidRDefault="001C0FA7" w:rsidP="001C0FA7">
      <w:pPr>
        <w:jc w:val="both"/>
        <w:rPr>
          <w:bCs/>
          <w:szCs w:val="24"/>
        </w:rPr>
        <w:sectPr w:rsidR="001C0FA7" w:rsidRPr="00DC4B16" w:rsidSect="00A840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C4B16">
        <w:rPr>
          <w:rFonts w:eastAsia="SimSun"/>
          <w:b/>
          <w:bCs/>
          <w:szCs w:val="24"/>
        </w:rPr>
        <w:t>Figure S5</w:t>
      </w:r>
      <w:r w:rsidRPr="00DC4B16">
        <w:rPr>
          <w:b/>
          <w:bCs/>
          <w:szCs w:val="24"/>
        </w:rPr>
        <w:t xml:space="preserve">. </w:t>
      </w:r>
      <w:r w:rsidRPr="00DC4B16">
        <w:rPr>
          <w:szCs w:val="24"/>
        </w:rPr>
        <w:t xml:space="preserve">Effect of MS1262 treatment in 5xFAD mice. </w:t>
      </w:r>
      <w:r w:rsidRPr="00DC4B16">
        <w:rPr>
          <w:bCs/>
          <w:szCs w:val="24"/>
        </w:rPr>
        <w:t>(</w:t>
      </w:r>
      <w:r w:rsidRPr="00DC4B16">
        <w:rPr>
          <w:b/>
          <w:szCs w:val="24"/>
        </w:rPr>
        <w:t>A-B</w:t>
      </w:r>
      <w:r w:rsidRPr="00DC4B16">
        <w:rPr>
          <w:bCs/>
          <w:szCs w:val="24"/>
        </w:rPr>
        <w:t xml:space="preserve">) Heatmaps summarizing pathway enrichment (A) &amp; disease and function (B) activity analysis results calculated using differentially regulated phosphoproteins for the indicated comparisons (i.e., 5xFAD-vs-WT and 5xFAD-MS1262 vs 5xFAD). </w:t>
      </w:r>
      <w:r w:rsidRPr="00DC4B16">
        <w:rPr>
          <w:b/>
          <w:szCs w:val="24"/>
        </w:rPr>
        <w:t xml:space="preserve">(C) </w:t>
      </w:r>
      <w:r w:rsidRPr="00DC4B16">
        <w:rPr>
          <w:bCs/>
          <w:szCs w:val="24"/>
        </w:rPr>
        <w:t>Heatmap showing MS1262-regulated phosphoprotein products for AD-risk genes (p value &lt; 0.05) (</w:t>
      </w:r>
      <w:r w:rsidRPr="00DC4B16">
        <w:rPr>
          <w:szCs w:val="24"/>
          <w:shd w:val="clear" w:color="auto" w:fill="FFFFFF"/>
        </w:rPr>
        <w:t>Nature genetics 51.3 (2019): 414-430</w:t>
      </w:r>
      <w:r w:rsidRPr="00DC4B16">
        <w:rPr>
          <w:bCs/>
          <w:szCs w:val="24"/>
        </w:rPr>
        <w:t>). Midian of 4 technical replicates is plotted for each biological replicate. (</w:t>
      </w:r>
      <w:r w:rsidRPr="00DC4B16">
        <w:rPr>
          <w:b/>
          <w:szCs w:val="24"/>
        </w:rPr>
        <w:t>D-E</w:t>
      </w:r>
      <w:r w:rsidRPr="00DC4B16">
        <w:rPr>
          <w:bCs/>
          <w:szCs w:val="24"/>
        </w:rPr>
        <w:t>) Heatmaps summarizing pathway enrichment (A) &amp; disease and function (B) activity analysis results calculated using differentially regulated proteins (Expression, ‘E’) &amp; phosphoproteins (‘p’) for the indicated comparisons (i.e., 5xFAD-vs-WT and 5xFAD-MS1262 vs 5xFAD).</w:t>
      </w:r>
    </w:p>
    <w:p w14:paraId="79CF0724" w14:textId="77777777" w:rsidR="001C0FA7" w:rsidRDefault="001C0FA7" w:rsidP="001C0FA7">
      <w:pPr>
        <w:jc w:val="both"/>
      </w:pPr>
      <w:r w:rsidRPr="004814A5">
        <w:rPr>
          <w:noProof/>
        </w:rPr>
        <w:lastRenderedPageBreak/>
        <w:drawing>
          <wp:inline distT="0" distB="0" distL="0" distR="0" wp14:anchorId="3FFD4B3C" wp14:editId="733C1223">
            <wp:extent cx="5943600" cy="4343400"/>
            <wp:effectExtent l="0" t="0" r="0" b="0"/>
            <wp:docPr id="2187570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77C2">
        <w:t xml:space="preserve"> </w:t>
      </w:r>
    </w:p>
    <w:p w14:paraId="1651F1DB" w14:textId="77777777" w:rsidR="001C0FA7" w:rsidRDefault="001C0FA7" w:rsidP="001C0FA7">
      <w:pPr>
        <w:pStyle w:val="SMcaption"/>
        <w:rPr>
          <w:rFonts w:eastAsia="SimSun"/>
          <w:b/>
          <w:bCs/>
          <w:szCs w:val="24"/>
        </w:rPr>
      </w:pPr>
    </w:p>
    <w:p w14:paraId="60B8291C" w14:textId="77777777" w:rsidR="001C0FA7" w:rsidRPr="000A6AD7" w:rsidRDefault="001C0FA7" w:rsidP="001C0FA7">
      <w:pPr>
        <w:pStyle w:val="SMcaption"/>
        <w:jc w:val="both"/>
        <w:rPr>
          <w:b/>
          <w:bCs/>
          <w:szCs w:val="24"/>
        </w:rPr>
      </w:pPr>
      <w:r w:rsidRPr="000A6AD7">
        <w:rPr>
          <w:rFonts w:eastAsia="SimSun"/>
          <w:b/>
          <w:bCs/>
          <w:szCs w:val="24"/>
        </w:rPr>
        <w:t>Figure S6</w:t>
      </w:r>
      <w:r w:rsidRPr="000A6AD7">
        <w:rPr>
          <w:b/>
          <w:bCs/>
          <w:szCs w:val="24"/>
        </w:rPr>
        <w:t xml:space="preserve">. (A) </w:t>
      </w:r>
      <w:r w:rsidRPr="000A6AD7">
        <w:t>Correlation plots between expression of indicated proteins and A</w:t>
      </w:r>
      <m:oMath>
        <m:r>
          <w:rPr>
            <w:rFonts w:ascii="Cambria Math" w:hAnsi="Cambria Math"/>
          </w:rPr>
          <m:t>β</m:t>
        </m:r>
      </m:oMath>
      <w:r w:rsidRPr="000A6AD7">
        <w:t xml:space="preserve"> peptides (residues 6-28) in the hippocampus of AD patients (n = 488; Nature Neuroscience 25, 213-225 (2022)). Linear regression line with 95% CI is shown. Points are colored based on diagnosis of individual patients: ‘AD’ - Symptomatic AD patient; ‘AsymAD’ - asymptomatic AD patient; ‘Control’ control patients. The biweight midcorrelation (bicor) and corresponding p-value is shown on top and was calculated using the bicorAndPvalue function from the WGCNA R package. </w:t>
      </w:r>
      <w:r w:rsidRPr="000A6AD7">
        <w:rPr>
          <w:b/>
          <w:bCs/>
          <w:szCs w:val="24"/>
        </w:rPr>
        <w:t>(B)</w:t>
      </w:r>
      <w:r w:rsidRPr="000A6AD7">
        <w:rPr>
          <w:szCs w:val="24"/>
        </w:rPr>
        <w:t xml:space="preserve"> MS1262 treatment leads to downregulation of coagulation related factors in both 5x-FAD and APP-NLGF mice. </w:t>
      </w:r>
    </w:p>
    <w:p w14:paraId="140E0D1D" w14:textId="77777777" w:rsidR="001C0FA7" w:rsidRDefault="001C0FA7" w:rsidP="001C0FA7">
      <w:pPr>
        <w:pStyle w:val="SMcaption"/>
        <w:rPr>
          <w:b/>
          <w:bCs/>
          <w:color w:val="FF0000"/>
        </w:rPr>
      </w:pPr>
    </w:p>
    <w:p w14:paraId="7A19C143" w14:textId="77777777" w:rsidR="001C0FA7" w:rsidRDefault="001C0FA7" w:rsidP="001C0FA7">
      <w:pPr>
        <w:pStyle w:val="SMcaption"/>
        <w:rPr>
          <w:b/>
          <w:bCs/>
          <w:color w:val="FF0000"/>
        </w:rPr>
      </w:pPr>
    </w:p>
    <w:p w14:paraId="49181C3A" w14:textId="77777777" w:rsidR="001C0FA7" w:rsidRDefault="001C0FA7" w:rsidP="001C0FA7">
      <w:pPr>
        <w:spacing w:before="240"/>
        <w:jc w:val="both"/>
        <w:rPr>
          <w:bCs/>
          <w:color w:val="FF0000"/>
          <w:szCs w:val="24"/>
        </w:rPr>
        <w:sectPr w:rsidR="001C0FA7" w:rsidSect="00A8409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FFC4B2" w14:textId="77777777" w:rsidR="001C0FA7" w:rsidRPr="00F237CF" w:rsidRDefault="001C0FA7" w:rsidP="001C0FA7">
      <w:pPr>
        <w:spacing w:before="240"/>
        <w:jc w:val="both"/>
        <w:rPr>
          <w:rFonts w:eastAsia="SimSun"/>
          <w:color w:val="000000" w:themeColor="text1"/>
          <w:szCs w:val="24"/>
        </w:rPr>
      </w:pPr>
      <w:r w:rsidRPr="00320FA5">
        <w:rPr>
          <w:rFonts w:eastAsia="SimSun"/>
          <w:b/>
          <w:bCs/>
          <w:color w:val="000000" w:themeColor="text1"/>
          <w:szCs w:val="24"/>
        </w:rPr>
        <w:lastRenderedPageBreak/>
        <w:t xml:space="preserve">Data </w:t>
      </w:r>
      <w:r>
        <w:rPr>
          <w:rFonts w:eastAsia="SimSun"/>
          <w:b/>
          <w:bCs/>
          <w:color w:val="000000" w:themeColor="text1"/>
          <w:szCs w:val="24"/>
        </w:rPr>
        <w:t xml:space="preserve">File </w:t>
      </w:r>
      <w:r w:rsidRPr="00320FA5">
        <w:rPr>
          <w:rFonts w:eastAsia="SimSun"/>
          <w:b/>
          <w:bCs/>
          <w:color w:val="000000" w:themeColor="text1"/>
          <w:szCs w:val="24"/>
        </w:rPr>
        <w:t>S1</w:t>
      </w:r>
      <w:r>
        <w:rPr>
          <w:rFonts w:eastAsia="SimSun"/>
          <w:b/>
          <w:bCs/>
          <w:color w:val="000000" w:themeColor="text1"/>
          <w:szCs w:val="24"/>
        </w:rPr>
        <w:t>.</w:t>
      </w:r>
      <w:r w:rsidRPr="00320FA5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320FA5">
        <w:rPr>
          <w:b/>
          <w:bCs/>
        </w:rPr>
        <w:t>(</w:t>
      </w:r>
      <w:r>
        <w:rPr>
          <w:b/>
          <w:bCs/>
        </w:rPr>
        <w:t>Table 1</w:t>
      </w:r>
      <w:r w:rsidRPr="00320FA5">
        <w:rPr>
          <w:b/>
          <w:bCs/>
        </w:rPr>
        <w:t>)</w:t>
      </w:r>
      <w:r>
        <w:rPr>
          <w:b/>
          <w:bCs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>List of</w:t>
      </w:r>
      <w:r w:rsidRPr="00F237CF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>ChaC-MS identifications of UNC0965 pulled down proteins from human organoids.</w:t>
      </w:r>
    </w:p>
    <w:p w14:paraId="3B29C285" w14:textId="77777777" w:rsidR="001C0FA7" w:rsidRPr="00F237CF" w:rsidRDefault="001C0FA7" w:rsidP="001C0FA7">
      <w:pPr>
        <w:spacing w:before="240"/>
        <w:jc w:val="both"/>
        <w:rPr>
          <w:rFonts w:eastAsia="SimSun"/>
          <w:color w:val="000000" w:themeColor="text1"/>
          <w:szCs w:val="24"/>
        </w:rPr>
      </w:pPr>
      <w:r w:rsidRPr="00320FA5">
        <w:rPr>
          <w:rFonts w:eastAsia="SimSun"/>
          <w:b/>
          <w:bCs/>
          <w:color w:val="000000" w:themeColor="text1"/>
          <w:szCs w:val="24"/>
        </w:rPr>
        <w:t xml:space="preserve">Data </w:t>
      </w:r>
      <w:r>
        <w:rPr>
          <w:rFonts w:eastAsia="SimSun"/>
          <w:b/>
          <w:bCs/>
          <w:color w:val="000000" w:themeColor="text1"/>
          <w:szCs w:val="24"/>
        </w:rPr>
        <w:t xml:space="preserve">File </w:t>
      </w:r>
      <w:r w:rsidRPr="00320FA5">
        <w:rPr>
          <w:rFonts w:eastAsia="SimSun"/>
          <w:b/>
          <w:bCs/>
          <w:color w:val="000000" w:themeColor="text1"/>
          <w:szCs w:val="24"/>
        </w:rPr>
        <w:t>S1</w:t>
      </w:r>
      <w:r>
        <w:rPr>
          <w:rFonts w:eastAsia="SimSun"/>
          <w:b/>
          <w:bCs/>
          <w:color w:val="000000" w:themeColor="text1"/>
          <w:szCs w:val="24"/>
        </w:rPr>
        <w:t>.</w:t>
      </w:r>
      <w:r w:rsidRPr="00320FA5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320FA5">
        <w:rPr>
          <w:b/>
          <w:bCs/>
        </w:rPr>
        <w:t>(</w:t>
      </w:r>
      <w:r>
        <w:rPr>
          <w:b/>
          <w:bCs/>
        </w:rPr>
        <w:t>Table 2</w:t>
      </w:r>
      <w:r w:rsidRPr="00320FA5">
        <w:rPr>
          <w:b/>
          <w:bCs/>
        </w:rPr>
        <w:t>)</w:t>
      </w:r>
      <w:r>
        <w:rPr>
          <w:b/>
          <w:bCs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>List of</w:t>
      </w:r>
      <w:r w:rsidRPr="00F237CF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>ChaC-MS identifications of UNC0965 pulled down proteins from the hippocampus of wild type or 5xFAD mice with or without MS1262 treatment, which are labeled as 'WT', 'AD', 'AD-tr' in the Table.</w:t>
      </w:r>
    </w:p>
    <w:p w14:paraId="4C184AB2" w14:textId="77777777" w:rsidR="001C0FA7" w:rsidRPr="00F237CF" w:rsidRDefault="001C0FA7" w:rsidP="001C0FA7">
      <w:pPr>
        <w:spacing w:before="240"/>
        <w:jc w:val="both"/>
        <w:rPr>
          <w:rFonts w:eastAsia="SimSun"/>
          <w:color w:val="000000" w:themeColor="text1"/>
          <w:szCs w:val="24"/>
        </w:rPr>
      </w:pPr>
      <w:r w:rsidRPr="00320FA5">
        <w:rPr>
          <w:rFonts w:eastAsia="SimSun"/>
          <w:b/>
          <w:bCs/>
          <w:color w:val="000000" w:themeColor="text1"/>
          <w:szCs w:val="24"/>
        </w:rPr>
        <w:t xml:space="preserve">Data </w:t>
      </w:r>
      <w:r>
        <w:rPr>
          <w:rFonts w:eastAsia="SimSun"/>
          <w:b/>
          <w:bCs/>
          <w:color w:val="000000" w:themeColor="text1"/>
          <w:szCs w:val="24"/>
        </w:rPr>
        <w:t xml:space="preserve">File </w:t>
      </w:r>
      <w:r w:rsidRPr="00320FA5">
        <w:rPr>
          <w:rFonts w:eastAsia="SimSun"/>
          <w:b/>
          <w:bCs/>
          <w:color w:val="000000" w:themeColor="text1"/>
          <w:szCs w:val="24"/>
        </w:rPr>
        <w:t>S1</w:t>
      </w:r>
      <w:r>
        <w:rPr>
          <w:rFonts w:eastAsia="SimSun"/>
          <w:b/>
          <w:bCs/>
          <w:color w:val="000000" w:themeColor="text1"/>
          <w:szCs w:val="24"/>
        </w:rPr>
        <w:t>.</w:t>
      </w:r>
      <w:r w:rsidRPr="00320FA5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320FA5">
        <w:rPr>
          <w:b/>
          <w:bCs/>
        </w:rPr>
        <w:t>(</w:t>
      </w:r>
      <w:r>
        <w:rPr>
          <w:b/>
          <w:bCs/>
        </w:rPr>
        <w:t>Table 3</w:t>
      </w:r>
      <w:r w:rsidRPr="00320FA5">
        <w:rPr>
          <w:b/>
          <w:bCs/>
        </w:rPr>
        <w:t>)</w:t>
      </w:r>
      <w:r>
        <w:rPr>
          <w:b/>
          <w:bCs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 xml:space="preserve">List of protein </w:t>
      </w:r>
      <w:r>
        <w:rPr>
          <w:rFonts w:eastAsia="SimSun"/>
          <w:color w:val="000000" w:themeColor="text1"/>
          <w:szCs w:val="24"/>
        </w:rPr>
        <w:t xml:space="preserve">and phosphoprotein </w:t>
      </w:r>
      <w:r w:rsidRPr="00F237CF">
        <w:rPr>
          <w:rFonts w:eastAsia="SimSun"/>
          <w:color w:val="000000" w:themeColor="text1"/>
          <w:szCs w:val="24"/>
        </w:rPr>
        <w:t>identifications in the</w:t>
      </w:r>
      <w:r w:rsidRPr="00F237CF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F237CF">
        <w:rPr>
          <w:rFonts w:eastAsia="SimSun"/>
          <w:color w:val="000000" w:themeColor="text1"/>
          <w:szCs w:val="24"/>
        </w:rPr>
        <w:t xml:space="preserve">hippocampus of </w:t>
      </w:r>
      <w:r>
        <w:rPr>
          <w:rFonts w:eastAsia="SimSun"/>
          <w:color w:val="000000" w:themeColor="text1"/>
          <w:szCs w:val="24"/>
        </w:rPr>
        <w:t xml:space="preserve">age matched wildtype controls (WT) or </w:t>
      </w:r>
      <w:r w:rsidRPr="00F237CF">
        <w:rPr>
          <w:rFonts w:eastAsia="SimSun"/>
          <w:color w:val="000000" w:themeColor="text1"/>
          <w:szCs w:val="24"/>
        </w:rPr>
        <w:t>5xFAD</w:t>
      </w:r>
      <w:r>
        <w:rPr>
          <w:rFonts w:eastAsia="SimSun"/>
          <w:color w:val="000000" w:themeColor="text1"/>
          <w:szCs w:val="24"/>
        </w:rPr>
        <w:t>/APP-NLFG</w:t>
      </w:r>
      <w:r w:rsidRPr="00F237CF">
        <w:rPr>
          <w:rFonts w:eastAsia="SimSun"/>
          <w:color w:val="000000" w:themeColor="text1"/>
          <w:szCs w:val="24"/>
        </w:rPr>
        <w:t xml:space="preserve"> </w:t>
      </w:r>
      <w:r>
        <w:rPr>
          <w:rFonts w:eastAsia="SimSun"/>
          <w:color w:val="000000" w:themeColor="text1"/>
          <w:szCs w:val="24"/>
        </w:rPr>
        <w:t xml:space="preserve">mice (AD) </w:t>
      </w:r>
      <w:r w:rsidRPr="00F237CF">
        <w:rPr>
          <w:rFonts w:eastAsia="SimSun"/>
          <w:color w:val="000000" w:themeColor="text1"/>
          <w:szCs w:val="24"/>
        </w:rPr>
        <w:t xml:space="preserve">or </w:t>
      </w:r>
      <w:r>
        <w:rPr>
          <w:rFonts w:eastAsia="SimSun"/>
          <w:color w:val="000000" w:themeColor="text1"/>
          <w:szCs w:val="24"/>
        </w:rPr>
        <w:t xml:space="preserve">AD mice with </w:t>
      </w:r>
      <w:r w:rsidRPr="00F237CF">
        <w:rPr>
          <w:rFonts w:eastAsia="SimSun"/>
          <w:color w:val="000000" w:themeColor="text1"/>
          <w:szCs w:val="24"/>
        </w:rPr>
        <w:t>MS1262-treat</w:t>
      </w:r>
      <w:r>
        <w:rPr>
          <w:rFonts w:eastAsia="SimSun"/>
          <w:color w:val="000000" w:themeColor="text1"/>
          <w:szCs w:val="24"/>
        </w:rPr>
        <w:t>ment (AD-tr).</w:t>
      </w:r>
      <w:r w:rsidRPr="00F237CF">
        <w:rPr>
          <w:rFonts w:eastAsia="SimSun"/>
          <w:color w:val="000000" w:themeColor="text1"/>
          <w:szCs w:val="24"/>
        </w:rPr>
        <w:t xml:space="preserve"> </w:t>
      </w:r>
    </w:p>
    <w:p w14:paraId="5AF67B75" w14:textId="77777777" w:rsidR="001C0FA7" w:rsidRPr="00F237CF" w:rsidRDefault="001C0FA7" w:rsidP="001C0FA7">
      <w:pPr>
        <w:spacing w:before="240"/>
        <w:jc w:val="both"/>
        <w:rPr>
          <w:rFonts w:eastAsia="SimSun"/>
          <w:color w:val="000000" w:themeColor="text1"/>
          <w:szCs w:val="24"/>
        </w:rPr>
      </w:pPr>
      <w:r w:rsidRPr="00320FA5">
        <w:rPr>
          <w:rFonts w:eastAsia="SimSun"/>
          <w:b/>
          <w:bCs/>
          <w:color w:val="000000" w:themeColor="text1"/>
          <w:szCs w:val="24"/>
        </w:rPr>
        <w:t xml:space="preserve">Data </w:t>
      </w:r>
      <w:r>
        <w:rPr>
          <w:rFonts w:eastAsia="SimSun"/>
          <w:b/>
          <w:bCs/>
          <w:color w:val="000000" w:themeColor="text1"/>
          <w:szCs w:val="24"/>
        </w:rPr>
        <w:t xml:space="preserve">File </w:t>
      </w:r>
      <w:r w:rsidRPr="00320FA5">
        <w:rPr>
          <w:rFonts w:eastAsia="SimSun"/>
          <w:b/>
          <w:bCs/>
          <w:color w:val="000000" w:themeColor="text1"/>
          <w:szCs w:val="24"/>
        </w:rPr>
        <w:t>S1</w:t>
      </w:r>
      <w:r>
        <w:rPr>
          <w:rFonts w:eastAsia="SimSun"/>
          <w:b/>
          <w:bCs/>
          <w:color w:val="000000" w:themeColor="text1"/>
          <w:szCs w:val="24"/>
        </w:rPr>
        <w:t>.</w:t>
      </w:r>
      <w:r w:rsidRPr="00320FA5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320FA5">
        <w:rPr>
          <w:b/>
          <w:bCs/>
        </w:rPr>
        <w:t>(</w:t>
      </w:r>
      <w:r>
        <w:rPr>
          <w:b/>
          <w:bCs/>
        </w:rPr>
        <w:t>Table 4</w:t>
      </w:r>
      <w:r w:rsidRPr="00320FA5">
        <w:rPr>
          <w:b/>
          <w:bCs/>
        </w:rPr>
        <w:t>)</w:t>
      </w:r>
      <w:r>
        <w:rPr>
          <w:b/>
          <w:bCs/>
        </w:rPr>
        <w:t xml:space="preserve"> </w:t>
      </w:r>
      <w:r>
        <w:rPr>
          <w:rFonts w:eastAsia="SimSun"/>
          <w:color w:val="000000" w:themeColor="text1"/>
          <w:szCs w:val="24"/>
        </w:rPr>
        <w:t xml:space="preserve">Tables summarizing activity scores for overrepresented pathways and diseases &amp; biological functions calculated using differentially expressed proteins/phosphoproteins listed in Table 3 </w:t>
      </w:r>
    </w:p>
    <w:p w14:paraId="3CEB2DD1" w14:textId="77777777" w:rsidR="001C0FA7" w:rsidRPr="00F237CF" w:rsidRDefault="001C0FA7" w:rsidP="001C0FA7">
      <w:pPr>
        <w:spacing w:before="240"/>
        <w:jc w:val="both"/>
        <w:rPr>
          <w:rFonts w:eastAsia="SimSun"/>
          <w:color w:val="000000" w:themeColor="text1"/>
          <w:szCs w:val="24"/>
        </w:rPr>
      </w:pPr>
      <w:r w:rsidRPr="00320FA5">
        <w:rPr>
          <w:rFonts w:eastAsia="SimSun"/>
          <w:b/>
          <w:bCs/>
          <w:color w:val="000000" w:themeColor="text1"/>
          <w:szCs w:val="24"/>
        </w:rPr>
        <w:t xml:space="preserve">Data </w:t>
      </w:r>
      <w:r>
        <w:rPr>
          <w:rFonts w:eastAsia="SimSun"/>
          <w:b/>
          <w:bCs/>
          <w:color w:val="000000" w:themeColor="text1"/>
          <w:szCs w:val="24"/>
        </w:rPr>
        <w:t xml:space="preserve">File </w:t>
      </w:r>
      <w:r w:rsidRPr="00320FA5">
        <w:rPr>
          <w:rFonts w:eastAsia="SimSun"/>
          <w:b/>
          <w:bCs/>
          <w:color w:val="000000" w:themeColor="text1"/>
          <w:szCs w:val="24"/>
        </w:rPr>
        <w:t>S1</w:t>
      </w:r>
      <w:r>
        <w:rPr>
          <w:rFonts w:eastAsia="SimSun"/>
          <w:b/>
          <w:bCs/>
          <w:color w:val="000000" w:themeColor="text1"/>
          <w:szCs w:val="24"/>
        </w:rPr>
        <w:t>.</w:t>
      </w:r>
      <w:r w:rsidRPr="00320FA5">
        <w:rPr>
          <w:rFonts w:eastAsia="SimSun"/>
          <w:b/>
          <w:bCs/>
          <w:color w:val="000000" w:themeColor="text1"/>
          <w:szCs w:val="24"/>
        </w:rPr>
        <w:t xml:space="preserve"> </w:t>
      </w:r>
      <w:r w:rsidRPr="00320FA5">
        <w:rPr>
          <w:b/>
          <w:bCs/>
        </w:rPr>
        <w:t>(</w:t>
      </w:r>
      <w:r>
        <w:rPr>
          <w:b/>
          <w:bCs/>
        </w:rPr>
        <w:t>Table 5</w:t>
      </w:r>
      <w:r w:rsidRPr="00320FA5">
        <w:rPr>
          <w:b/>
          <w:bCs/>
        </w:rPr>
        <w:t>)</w:t>
      </w:r>
      <w:r>
        <w:rPr>
          <w:b/>
          <w:bCs/>
        </w:rPr>
        <w:t xml:space="preserve"> </w:t>
      </w:r>
      <w:r>
        <w:rPr>
          <w:rFonts w:eastAsia="SimSun"/>
          <w:color w:val="000000" w:themeColor="text1"/>
          <w:szCs w:val="24"/>
        </w:rPr>
        <w:t xml:space="preserve">AD/G9a-corregulated proteins/phosphor-proteins whose expression shows significant correlation with Abeta peptide (6-28) in the hippocampus of AD patients. </w:t>
      </w:r>
    </w:p>
    <w:p w14:paraId="25497D80" w14:textId="77777777" w:rsidR="001C0FA7" w:rsidRPr="00015F74" w:rsidRDefault="001C0FA7" w:rsidP="001C0FA7">
      <w:pPr>
        <w:pStyle w:val="SMcaption"/>
      </w:pPr>
    </w:p>
    <w:p w14:paraId="0F60516C" w14:textId="77777777" w:rsidR="001C0FA7" w:rsidRPr="003E0993" w:rsidRDefault="001C0FA7" w:rsidP="001C0FA7">
      <w:pPr>
        <w:spacing w:before="240"/>
        <w:jc w:val="both"/>
        <w:rPr>
          <w:bCs/>
          <w:color w:val="000000" w:themeColor="text1"/>
          <w:sz w:val="24"/>
          <w:szCs w:val="24"/>
        </w:rPr>
      </w:pPr>
    </w:p>
    <w:p w14:paraId="38FF3FA3" w14:textId="77777777" w:rsidR="00755780" w:rsidRDefault="00755780"/>
    <w:sectPr w:rsidR="00755780" w:rsidSect="00A84092">
      <w:pgSz w:w="12240" w:h="15840" w:code="1"/>
      <w:pgMar w:top="1296" w:right="1440" w:bottom="1296" w:left="1440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2953A3" w14:textId="77777777" w:rsidR="00EE0F99" w:rsidRDefault="001C0F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1115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FD38E0" w14:textId="77777777" w:rsidR="00EE0F99" w:rsidRDefault="001C0FA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7BD3C7" w14:textId="77777777" w:rsidR="00EE0F99" w:rsidRDefault="001C0F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23BC3A" w14:textId="77777777" w:rsidR="00EE0F99" w:rsidRDefault="001C0FA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90C4A5" w14:textId="77777777" w:rsidR="00EE0F99" w:rsidRDefault="001C0F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4F85D" w14:textId="77777777" w:rsidR="00EE0F99" w:rsidRPr="005001AC" w:rsidRDefault="001C0FA7" w:rsidP="005001AC">
    <w:pPr>
      <w:jc w:val="right"/>
    </w:pPr>
  </w:p>
  <w:p w14:paraId="1E38B86A" w14:textId="77777777" w:rsidR="00EE0F99" w:rsidRDefault="001C0FA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2D7E4" w14:textId="77777777" w:rsidR="00EE0F99" w:rsidRDefault="001C0F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FA7"/>
    <w:rsid w:val="001C0FA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F225B"/>
  <w15:chartTrackingRefBased/>
  <w15:docId w15:val="{C428EDEC-860E-4874-B1DA-946DB5EC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FA7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0FA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rsid w:val="001C0FA7"/>
    <w:pPr>
      <w:spacing w:before="120" w:after="360"/>
      <w:jc w:val="center"/>
    </w:pPr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C0FA7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1C0FA7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1C0FA7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1C0FA7"/>
    <w:rPr>
      <w:rFonts w:ascii="Times New Roman" w:eastAsia="Times New Roman" w:hAnsi="Times New Roman" w:cs="Times New Roman"/>
      <w:sz w:val="20"/>
      <w:szCs w:val="20"/>
    </w:rPr>
  </w:style>
  <w:style w:type="character" w:customStyle="1" w:styleId="qgajv">
    <w:name w:val="qgajv"/>
    <w:basedOn w:val="DefaultParagraphFont"/>
    <w:rsid w:val="001C0FA7"/>
  </w:style>
  <w:style w:type="paragraph" w:customStyle="1" w:styleId="SMcaption">
    <w:name w:val="SM caption"/>
    <w:basedOn w:val="Normal"/>
    <w:link w:val="SMcaptionChar"/>
    <w:qFormat/>
    <w:rsid w:val="001C0FA7"/>
    <w:rPr>
      <w:rFonts w:eastAsia="Times New Roman"/>
      <w:sz w:val="24"/>
    </w:rPr>
  </w:style>
  <w:style w:type="paragraph" w:customStyle="1" w:styleId="SMHeading">
    <w:name w:val="SM Heading"/>
    <w:basedOn w:val="Heading1"/>
    <w:qFormat/>
    <w:rsid w:val="001C0FA7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SMcaptionChar">
    <w:name w:val="SM caption Char"/>
    <w:basedOn w:val="DefaultParagraphFont"/>
    <w:link w:val="SMcaption"/>
    <w:rsid w:val="001C0FA7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C0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image" Target="media/image2.jpeg"/><Relationship Id="rId5" Type="http://schemas.openxmlformats.org/officeDocument/2006/relationships/header" Target="header1.xml"/><Relationship Id="rId15" Type="http://schemas.openxmlformats.org/officeDocument/2006/relationships/image" Target="media/image6.emf"/><Relationship Id="rId10" Type="http://schemas.openxmlformats.org/officeDocument/2006/relationships/footer" Target="footer3.xml"/><Relationship Id="rId4" Type="http://schemas.openxmlformats.org/officeDocument/2006/relationships/image" Target="media/image1.emf"/><Relationship Id="rId9" Type="http://schemas.openxmlformats.org/officeDocument/2006/relationships/header" Target="header3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708</Words>
  <Characters>4042</Characters>
  <Application>Microsoft Office Word</Application>
  <DocSecurity>0</DocSecurity>
  <Lines>33</Lines>
  <Paragraphs>9</Paragraphs>
  <ScaleCrop>false</ScaleCrop>
  <Company>Springer Nature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2023-11-21T02:21:00Z</dcterms:created>
  <dcterms:modified xsi:type="dcterms:W3CDTF">2023-11-21T02:21:00Z</dcterms:modified>
</cp:coreProperties>
</file>