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42AA12" w14:textId="1050F5F9" w:rsidR="00277913" w:rsidRPr="0017471F" w:rsidRDefault="00277913" w:rsidP="00277913">
      <w:pPr>
        <w:spacing w:after="0" w:line="480" w:lineRule="auto"/>
        <w:jc w:val="lowKashida"/>
        <w:rPr>
          <w:rFonts w:asciiTheme="majorBidi" w:hAnsiTheme="majorBidi" w:cstheme="majorBidi"/>
          <w:sz w:val="24"/>
          <w:szCs w:val="24"/>
        </w:rPr>
      </w:pPr>
      <w:bookmarkStart w:id="0" w:name="_GoBack"/>
      <w:bookmarkEnd w:id="0"/>
      <w:r w:rsidRPr="0017471F">
        <w:rPr>
          <w:rFonts w:asciiTheme="majorBidi" w:hAnsiTheme="majorBidi" w:cstheme="majorBidi"/>
          <w:sz w:val="24"/>
          <w:szCs w:val="24"/>
        </w:rPr>
        <w:t xml:space="preserve">The </w:t>
      </w:r>
      <w:proofErr w:type="spellStart"/>
      <w:r w:rsidRPr="0017471F">
        <w:rPr>
          <w:rFonts w:asciiTheme="majorBidi" w:hAnsiTheme="majorBidi" w:cstheme="majorBidi"/>
          <w:sz w:val="24"/>
          <w:szCs w:val="24"/>
        </w:rPr>
        <w:t>VOC</w:t>
      </w:r>
      <w:proofErr w:type="spellEnd"/>
      <w:r w:rsidRPr="0017471F">
        <w:rPr>
          <w:rFonts w:asciiTheme="majorBidi" w:hAnsiTheme="majorBidi" w:cstheme="majorBidi"/>
          <w:sz w:val="24"/>
          <w:szCs w:val="24"/>
        </w:rPr>
        <w:t xml:space="preserve"> Omicron </w:t>
      </w:r>
      <w:proofErr w:type="spellStart"/>
      <w:r w:rsidRPr="0017471F">
        <w:rPr>
          <w:rFonts w:asciiTheme="majorBidi" w:hAnsiTheme="majorBidi" w:cstheme="majorBidi"/>
          <w:sz w:val="24"/>
          <w:szCs w:val="24"/>
        </w:rPr>
        <w:t>GRA</w:t>
      </w:r>
      <w:proofErr w:type="spellEnd"/>
      <w:r w:rsidRPr="0017471F">
        <w:rPr>
          <w:rFonts w:asciiTheme="majorBidi" w:hAnsiTheme="majorBidi" w:cstheme="majorBidi"/>
          <w:sz w:val="24"/>
          <w:szCs w:val="24"/>
        </w:rPr>
        <w:t xml:space="preserve"> (B.1.1.529+BA) SARS-CoV-2 strain first detected in Botswana/Hong Kong/South Africa was successfully isolated in Vero cells from the clinical specimen. Multiplication kinetics analysis of viral particles in Vero cells demonstrated the peak of multiplication with 10</w:t>
      </w:r>
      <w:r w:rsidRPr="0017471F">
        <w:rPr>
          <w:rFonts w:asciiTheme="majorBidi" w:hAnsiTheme="majorBidi" w:cstheme="majorBidi"/>
          <w:sz w:val="24"/>
          <w:szCs w:val="24"/>
          <w:vertAlign w:val="superscript"/>
        </w:rPr>
        <w:t>6</w:t>
      </w:r>
      <w:r w:rsidRPr="0017471F">
        <w:rPr>
          <w:rFonts w:asciiTheme="majorBidi" w:hAnsiTheme="majorBidi" w:cstheme="majorBidi"/>
          <w:sz w:val="24"/>
          <w:szCs w:val="24"/>
        </w:rPr>
        <w:t xml:space="preserve"> TCID</w:t>
      </w:r>
      <w:r w:rsidRPr="00277913">
        <w:rPr>
          <w:rFonts w:asciiTheme="majorBidi" w:hAnsiTheme="majorBidi" w:cstheme="majorBidi"/>
          <w:sz w:val="24"/>
          <w:szCs w:val="24"/>
          <w:vertAlign w:val="subscript"/>
        </w:rPr>
        <w:t>50</w:t>
      </w:r>
      <w:r w:rsidRPr="0017471F">
        <w:rPr>
          <w:rFonts w:asciiTheme="majorBidi" w:hAnsiTheme="majorBidi" w:cstheme="majorBidi"/>
          <w:sz w:val="24"/>
          <w:szCs w:val="24"/>
        </w:rPr>
        <w:t>, 72 hours</w:t>
      </w:r>
      <w:r>
        <w:rPr>
          <w:rFonts w:asciiTheme="majorBidi" w:hAnsiTheme="majorBidi" w:cstheme="majorBidi"/>
          <w:sz w:val="24"/>
          <w:szCs w:val="24"/>
        </w:rPr>
        <w:t xml:space="preserve"> post-infection</w:t>
      </w:r>
      <w:r w:rsidRPr="0017471F">
        <w:rPr>
          <w:rFonts w:asciiTheme="majorBidi" w:hAnsiTheme="majorBidi" w:cstheme="majorBidi"/>
          <w:sz w:val="24"/>
          <w:szCs w:val="24"/>
        </w:rPr>
        <w:t>. After four passages, the vaccine seed was prepared, and the virus growth was recorded by the presence of CPE.</w:t>
      </w:r>
    </w:p>
    <w:p w14:paraId="50F6103C" w14:textId="4FEC6F15" w:rsidR="0022423B" w:rsidRPr="0017471F" w:rsidRDefault="00400D37" w:rsidP="00E467BC">
      <w:pPr>
        <w:spacing w:after="0" w:line="480" w:lineRule="auto"/>
        <w:jc w:val="both"/>
        <w:rPr>
          <w:rFonts w:asciiTheme="majorBidi" w:hAnsiTheme="majorBidi" w:cstheme="majorBidi"/>
          <w:sz w:val="24"/>
          <w:szCs w:val="24"/>
          <w:lang w:val="en-GB"/>
        </w:rPr>
      </w:pPr>
      <w:r w:rsidRPr="0017471F">
        <w:rPr>
          <w:rFonts w:asciiTheme="majorBidi" w:hAnsiTheme="majorBidi" w:cstheme="majorBidi"/>
          <w:sz w:val="24"/>
          <w:szCs w:val="24"/>
          <w:lang w:val="en-GB"/>
        </w:rPr>
        <w:t>The study was carried out among f</w:t>
      </w:r>
      <w:r w:rsidR="00672C97" w:rsidRPr="0017471F">
        <w:rPr>
          <w:rFonts w:asciiTheme="majorBidi" w:hAnsiTheme="majorBidi" w:cstheme="majorBidi"/>
          <w:sz w:val="24"/>
          <w:szCs w:val="24"/>
          <w:lang w:val="en-GB"/>
        </w:rPr>
        <w:t>emale, six</w:t>
      </w:r>
      <w:r w:rsidRPr="0017471F">
        <w:rPr>
          <w:rFonts w:asciiTheme="majorBidi" w:hAnsiTheme="majorBidi" w:cstheme="majorBidi"/>
          <w:sz w:val="24"/>
          <w:szCs w:val="24"/>
          <w:lang w:val="en-GB"/>
        </w:rPr>
        <w:t>-</w:t>
      </w:r>
      <w:r w:rsidR="00672C97" w:rsidRPr="0017471F">
        <w:rPr>
          <w:rFonts w:asciiTheme="majorBidi" w:hAnsiTheme="majorBidi" w:cstheme="majorBidi"/>
          <w:sz w:val="24"/>
          <w:szCs w:val="24"/>
          <w:lang w:val="en-GB"/>
        </w:rPr>
        <w:t>to</w:t>
      </w:r>
      <w:r w:rsidRPr="0017471F">
        <w:rPr>
          <w:rFonts w:asciiTheme="majorBidi" w:hAnsiTheme="majorBidi" w:cstheme="majorBidi"/>
          <w:sz w:val="24"/>
          <w:szCs w:val="24"/>
          <w:lang w:val="en-GB"/>
        </w:rPr>
        <w:t>-</w:t>
      </w:r>
      <w:r w:rsidR="00672C97" w:rsidRPr="0017471F">
        <w:rPr>
          <w:rFonts w:asciiTheme="majorBidi" w:hAnsiTheme="majorBidi" w:cstheme="majorBidi"/>
          <w:sz w:val="24"/>
          <w:szCs w:val="24"/>
          <w:lang w:val="en-GB"/>
        </w:rPr>
        <w:t>eight</w:t>
      </w:r>
      <w:r w:rsidRPr="0017471F">
        <w:rPr>
          <w:rFonts w:asciiTheme="majorBidi" w:hAnsiTheme="majorBidi" w:cstheme="majorBidi"/>
          <w:sz w:val="24"/>
          <w:szCs w:val="24"/>
          <w:lang w:val="en-GB"/>
        </w:rPr>
        <w:t>-</w:t>
      </w:r>
      <w:r w:rsidR="00672C97" w:rsidRPr="0017471F">
        <w:rPr>
          <w:rFonts w:asciiTheme="majorBidi" w:hAnsiTheme="majorBidi" w:cstheme="majorBidi"/>
          <w:sz w:val="24"/>
          <w:szCs w:val="24"/>
          <w:lang w:val="en-GB"/>
        </w:rPr>
        <w:t>week</w:t>
      </w:r>
      <w:r w:rsidRPr="0017471F">
        <w:rPr>
          <w:rFonts w:asciiTheme="majorBidi" w:hAnsiTheme="majorBidi" w:cstheme="majorBidi"/>
          <w:sz w:val="24"/>
          <w:szCs w:val="24"/>
          <w:lang w:val="en-GB"/>
        </w:rPr>
        <w:t>-</w:t>
      </w:r>
      <w:r w:rsidR="00672C97" w:rsidRPr="0017471F">
        <w:rPr>
          <w:rFonts w:asciiTheme="majorBidi" w:hAnsiTheme="majorBidi" w:cstheme="majorBidi"/>
          <w:sz w:val="24"/>
          <w:szCs w:val="24"/>
          <w:lang w:val="en-GB"/>
        </w:rPr>
        <w:t>old BALB/c mice and Guinea pig animal models</w:t>
      </w:r>
      <w:r w:rsidR="00F85CFC" w:rsidRPr="0017471F">
        <w:rPr>
          <w:rFonts w:asciiTheme="majorBidi" w:hAnsiTheme="majorBidi" w:cstheme="majorBidi"/>
          <w:sz w:val="24"/>
          <w:szCs w:val="24"/>
          <w:lang w:val="en-GB"/>
        </w:rPr>
        <w:t xml:space="preserve"> </w:t>
      </w:r>
      <w:r w:rsidR="00672C97" w:rsidRPr="0017471F">
        <w:rPr>
          <w:rFonts w:asciiTheme="majorBidi" w:hAnsiTheme="majorBidi" w:cstheme="majorBidi"/>
          <w:sz w:val="24"/>
          <w:szCs w:val="24"/>
          <w:lang w:val="en-GB"/>
        </w:rPr>
        <w:t xml:space="preserve">provided by the Laboratory Animal Science Department, Pasteur Institute of Iran, Karaj, Iran. </w:t>
      </w:r>
      <w:r w:rsidR="00915ADE" w:rsidRPr="0017471F">
        <w:rPr>
          <w:rFonts w:asciiTheme="majorBidi" w:hAnsiTheme="majorBidi" w:cstheme="majorBidi"/>
          <w:sz w:val="24"/>
          <w:szCs w:val="24"/>
          <w:lang w:val="en-GB"/>
        </w:rPr>
        <w:t xml:space="preserve">A full human dose (0.5 mL) of the </w:t>
      </w:r>
      <w:r w:rsidR="00334C4A" w:rsidRPr="0017471F">
        <w:rPr>
          <w:rFonts w:asciiTheme="majorBidi" w:hAnsiTheme="majorBidi" w:cstheme="majorBidi"/>
          <w:sz w:val="24"/>
          <w:szCs w:val="24"/>
          <w:lang w:val="en-GB"/>
        </w:rPr>
        <w:t>BIV1-</w:t>
      </w:r>
      <w:r w:rsidR="00915ADE" w:rsidRPr="0017471F">
        <w:rPr>
          <w:rFonts w:asciiTheme="majorBidi" w:hAnsiTheme="majorBidi" w:cstheme="majorBidi"/>
          <w:sz w:val="24"/>
          <w:szCs w:val="24"/>
          <w:lang w:val="en-GB"/>
        </w:rPr>
        <w:t>CovIran Plus was injected intraperitoneally to five female mice and two Guinea pigs for abnormal toxicity reactions evaluation</w:t>
      </w:r>
      <w:r w:rsidR="00F966E4" w:rsidRPr="0017471F">
        <w:rPr>
          <w:rFonts w:asciiTheme="majorBidi" w:hAnsiTheme="majorBidi" w:cstheme="majorBidi"/>
          <w:sz w:val="24"/>
          <w:szCs w:val="24"/>
          <w:lang w:val="en-GB"/>
        </w:rPr>
        <w:t xml:space="preserve">. </w:t>
      </w:r>
      <w:r w:rsidR="00F85CFC" w:rsidRPr="0017471F">
        <w:rPr>
          <w:rFonts w:asciiTheme="majorBidi" w:hAnsiTheme="majorBidi" w:cstheme="majorBidi"/>
          <w:sz w:val="24"/>
          <w:szCs w:val="24"/>
          <w:lang w:val="en-GB"/>
        </w:rPr>
        <w:t xml:space="preserve">The animals </w:t>
      </w:r>
      <w:proofErr w:type="gramStart"/>
      <w:r w:rsidR="00F85CFC" w:rsidRPr="0017471F">
        <w:rPr>
          <w:rFonts w:asciiTheme="majorBidi" w:hAnsiTheme="majorBidi" w:cstheme="majorBidi"/>
          <w:sz w:val="24"/>
          <w:szCs w:val="24"/>
          <w:lang w:val="en-GB"/>
        </w:rPr>
        <w:t>were</w:t>
      </w:r>
      <w:proofErr w:type="gramEnd"/>
      <w:r w:rsidR="00F85CFC" w:rsidRPr="0017471F">
        <w:rPr>
          <w:rFonts w:asciiTheme="majorBidi" w:hAnsiTheme="majorBidi" w:cstheme="majorBidi"/>
          <w:sz w:val="24"/>
          <w:szCs w:val="24"/>
          <w:lang w:val="en-GB"/>
        </w:rPr>
        <w:t xml:space="preserve"> observed for seven days for any evidence of ill-health. After seven days,</w:t>
      </w:r>
      <w:r w:rsidR="00F966E4" w:rsidRPr="0017471F">
        <w:rPr>
          <w:rFonts w:asciiTheme="majorBidi" w:hAnsiTheme="majorBidi" w:cstheme="majorBidi"/>
          <w:sz w:val="24"/>
          <w:szCs w:val="24"/>
          <w:lang w:val="en-GB"/>
        </w:rPr>
        <w:t xml:space="preserve"> </w:t>
      </w:r>
      <w:r w:rsidR="00F85CFC" w:rsidRPr="0017471F">
        <w:rPr>
          <w:rFonts w:asciiTheme="majorBidi" w:hAnsiTheme="majorBidi" w:cstheme="majorBidi"/>
          <w:sz w:val="24"/>
          <w:szCs w:val="24"/>
          <w:lang w:val="en-GB"/>
        </w:rPr>
        <w:t xml:space="preserve">a veterinary pathologist evaluated organs and tissues for any signs of adverse reactions </w:t>
      </w:r>
      <w:r w:rsidR="00F85CFC" w:rsidRPr="0017471F">
        <w:rPr>
          <w:rFonts w:asciiTheme="majorBidi" w:hAnsiTheme="majorBidi" w:cstheme="majorBidi"/>
          <w:sz w:val="24"/>
          <w:szCs w:val="24"/>
          <w:lang w:val="en-GB"/>
        </w:rPr>
        <w:fldChar w:fldCharType="begin" w:fldLock="1"/>
      </w:r>
      <w:r w:rsidR="00277913">
        <w:rPr>
          <w:rFonts w:asciiTheme="majorBidi" w:hAnsiTheme="majorBidi" w:cstheme="majorBidi"/>
          <w:sz w:val="24"/>
          <w:szCs w:val="24"/>
          <w:lang w:val="en-GB"/>
        </w:rPr>
        <w:instrText>ADDIN CSL_CITATION {"citationItems":[{"id":"ITEM-1","itemData":{"DOI":"10.1016/J.VASCN.2012.04.003","ISSN":"1873-488X","PMID":"22561062","abstract":"During the development of a new vaccine, the purpose of nonclinical studies is to provide safety information to support the clinical development and licensure of the product. In this article the study designs currently accepted for the nonclinical safety testing of new vaccines are described for single dose, local tolerance, repeat dose toxicity and safety pharmacology studies; these studies together form the basis of a typical nonclinical safety evaluation dossier. The detailed design of the preclinical package must take account of the intended clinical use, patient population, route of administration, formulation, dose level and immunisation schedule. The test item that is used for these studies must be adequately representative of the intended clinical formulation. The animal model used for these studies must be selected on criteria of relevance. Single dose toxicity studies provide information on acute actions or the potential effect of accidental overdose, but this information is often available from the repeat dose toxicity study, obviating the need for the acute study. Local tolerance studies provide information on tissue reactions at the site of administration. Evaluation of the findings must distinguish between normal tissue responses to injected material and findings indicative of undesirable pathological changes. The repeated dose toxicity studies are the principal studies that support the safety profile of the vaccines. The design of these studies must take full account of the features of the vaccine in the choice of treatment regime, dose levels, pharmacodynamic monitoring and timing of investigations and sacrifice. Safety pharmacology studies are performed to evaluate the potential for undesirable secondary pharmacological actions of vaccines if there is data to suggest that such studies are needed; this evaluation is made on a case by case basis. In the absence of specific guidance the design of studies for therapeutic vaccines follows the same general principles as those for anti-infective vaccines. © 2012 Elsevier Inc.","author":[{"dropping-particle":"","family":"Forster","given":"Roy","non-dropping-particle":"","parse-names":false,"suffix":""}],"container-title":"Journal of pharmacological and toxicological methods","id":"ITEM-1","issue":"1","issued":{"date-parts":[["2012","7"]]},"page":"1-7","publisher":"J Pharmacol Toxicol Methods","title":"Study designs for the nonclinical safety testing of new vaccine products","type":"article-journal","volume":"66"},"uris":["http://www.mendeley.com/documents/?uuid=f4d9283e-8958-4289-964e-e3bf41b98446"]}],"mendeley":{"formattedCitation":"(1)","plainTextFormattedCitation":"(1)","previouslyFormattedCitation":"(2)"},"properties":{"noteIndex":0},"schema":"https://github.com/citation-style-language/schema/raw/master/csl-citation.json"}</w:instrText>
      </w:r>
      <w:r w:rsidR="00F85CFC" w:rsidRPr="0017471F">
        <w:rPr>
          <w:rFonts w:asciiTheme="majorBidi" w:hAnsiTheme="majorBidi" w:cstheme="majorBidi"/>
          <w:sz w:val="24"/>
          <w:szCs w:val="24"/>
          <w:lang w:val="en-GB"/>
        </w:rPr>
        <w:fldChar w:fldCharType="separate"/>
      </w:r>
      <w:r w:rsidR="00277913" w:rsidRPr="00277913">
        <w:rPr>
          <w:rFonts w:asciiTheme="majorBidi" w:hAnsiTheme="majorBidi" w:cstheme="majorBidi"/>
          <w:noProof/>
          <w:sz w:val="24"/>
          <w:szCs w:val="24"/>
          <w:lang w:val="en-GB"/>
        </w:rPr>
        <w:t>(1)</w:t>
      </w:r>
      <w:r w:rsidR="00F85CFC" w:rsidRPr="0017471F">
        <w:rPr>
          <w:rFonts w:asciiTheme="majorBidi" w:hAnsiTheme="majorBidi" w:cstheme="majorBidi"/>
          <w:sz w:val="24"/>
          <w:szCs w:val="24"/>
          <w:lang w:val="en-GB"/>
        </w:rPr>
        <w:fldChar w:fldCharType="end"/>
      </w:r>
      <w:r w:rsidR="00F85CFC" w:rsidRPr="0017471F">
        <w:rPr>
          <w:rFonts w:asciiTheme="majorBidi" w:hAnsiTheme="majorBidi" w:cstheme="majorBidi"/>
          <w:sz w:val="24"/>
          <w:szCs w:val="24"/>
          <w:lang w:val="en-GB"/>
        </w:rPr>
        <w:t>.</w:t>
      </w:r>
    </w:p>
    <w:p w14:paraId="5636ED1C" w14:textId="651ACBB2" w:rsidR="00F85CFC" w:rsidRPr="0017471F" w:rsidRDefault="0022423B" w:rsidP="00E467BC">
      <w:pPr>
        <w:spacing w:after="0" w:line="480" w:lineRule="auto"/>
        <w:jc w:val="both"/>
        <w:rPr>
          <w:rFonts w:asciiTheme="majorBidi" w:hAnsiTheme="majorBidi" w:cstheme="majorBidi"/>
          <w:sz w:val="24"/>
          <w:szCs w:val="24"/>
          <w:lang w:val="en-GB"/>
        </w:rPr>
      </w:pPr>
      <w:r w:rsidRPr="0017471F">
        <w:rPr>
          <w:rFonts w:asciiTheme="majorBidi" w:hAnsiTheme="majorBidi" w:cstheme="majorBidi"/>
          <w:sz w:val="24"/>
          <w:szCs w:val="24"/>
          <w:lang w:val="en-GB"/>
        </w:rPr>
        <w:t>For potency evaluation,</w:t>
      </w:r>
      <w:r w:rsidR="008E55C5" w:rsidRPr="0017471F">
        <w:rPr>
          <w:rFonts w:asciiTheme="majorBidi" w:hAnsiTheme="majorBidi" w:cstheme="majorBidi"/>
          <w:sz w:val="24"/>
          <w:szCs w:val="24"/>
          <w:lang w:val="en-GB"/>
        </w:rPr>
        <w:t xml:space="preserve"> </w:t>
      </w:r>
      <w:r w:rsidR="00337005" w:rsidRPr="0017471F">
        <w:rPr>
          <w:rFonts w:asciiTheme="majorBidi" w:hAnsiTheme="majorBidi" w:cstheme="majorBidi"/>
          <w:sz w:val="24"/>
          <w:szCs w:val="24"/>
          <w:lang w:val="en-GB"/>
        </w:rPr>
        <w:t>four</w:t>
      </w:r>
      <w:r w:rsidR="008E55C5" w:rsidRPr="0017471F">
        <w:rPr>
          <w:rFonts w:asciiTheme="majorBidi" w:hAnsiTheme="majorBidi" w:cstheme="majorBidi"/>
          <w:sz w:val="24"/>
          <w:szCs w:val="24"/>
          <w:lang w:val="en-GB"/>
        </w:rPr>
        <w:t xml:space="preserve"> groups of </w:t>
      </w:r>
      <w:r w:rsidR="00B04B13" w:rsidRPr="0017471F">
        <w:rPr>
          <w:rFonts w:asciiTheme="majorBidi" w:hAnsiTheme="majorBidi" w:cstheme="majorBidi"/>
          <w:sz w:val="24"/>
          <w:szCs w:val="24"/>
          <w:lang w:val="en-GB"/>
        </w:rPr>
        <w:t>ten</w:t>
      </w:r>
      <w:r w:rsidR="008E55C5" w:rsidRPr="0017471F">
        <w:rPr>
          <w:rFonts w:asciiTheme="majorBidi" w:hAnsiTheme="majorBidi" w:cstheme="majorBidi"/>
          <w:sz w:val="24"/>
          <w:szCs w:val="24"/>
          <w:lang w:val="en-GB"/>
        </w:rPr>
        <w:t xml:space="preserve"> mice received two doses of </w:t>
      </w:r>
      <w:r w:rsidR="00941215" w:rsidRPr="0017471F">
        <w:rPr>
          <w:rFonts w:asciiTheme="majorBidi" w:hAnsiTheme="majorBidi" w:cstheme="majorBidi"/>
          <w:sz w:val="24"/>
          <w:szCs w:val="24"/>
          <w:lang w:val="en-GB"/>
        </w:rPr>
        <w:t>BIV1-</w:t>
      </w:r>
      <w:r w:rsidR="008E55C5" w:rsidRPr="0017471F">
        <w:rPr>
          <w:rFonts w:asciiTheme="majorBidi" w:hAnsiTheme="majorBidi" w:cstheme="majorBidi"/>
          <w:sz w:val="24"/>
          <w:szCs w:val="24"/>
          <w:lang w:val="en-GB"/>
        </w:rPr>
        <w:t xml:space="preserve">CovIran Plus </w:t>
      </w:r>
      <w:r w:rsidR="00337005" w:rsidRPr="0017471F">
        <w:rPr>
          <w:rFonts w:asciiTheme="majorBidi" w:hAnsiTheme="majorBidi" w:cstheme="majorBidi"/>
          <w:sz w:val="24"/>
          <w:szCs w:val="24"/>
          <w:lang w:val="en-GB"/>
        </w:rPr>
        <w:t>or placebo (</w:t>
      </w:r>
      <w:r w:rsidR="00DC04D5" w:rsidRPr="0017471F">
        <w:rPr>
          <w:rFonts w:asciiTheme="majorBidi" w:hAnsiTheme="majorBidi" w:cstheme="majorBidi"/>
          <w:sz w:val="24"/>
          <w:szCs w:val="24"/>
          <w:lang w:val="en-GB"/>
        </w:rPr>
        <w:t>phosphate</w:t>
      </w:r>
      <w:r w:rsidR="00915ADE" w:rsidRPr="0017471F">
        <w:rPr>
          <w:rFonts w:asciiTheme="majorBidi" w:hAnsiTheme="majorBidi" w:cstheme="majorBidi"/>
          <w:sz w:val="24"/>
          <w:szCs w:val="24"/>
          <w:lang w:val="en-GB"/>
        </w:rPr>
        <w:t>-</w:t>
      </w:r>
      <w:r w:rsidR="00DC04D5" w:rsidRPr="0017471F">
        <w:rPr>
          <w:rFonts w:asciiTheme="majorBidi" w:hAnsiTheme="majorBidi" w:cstheme="majorBidi"/>
          <w:sz w:val="24"/>
          <w:szCs w:val="24"/>
          <w:lang w:val="en-GB"/>
        </w:rPr>
        <w:t>buffered saline</w:t>
      </w:r>
      <w:r w:rsidR="00337005" w:rsidRPr="0017471F">
        <w:rPr>
          <w:rFonts w:asciiTheme="majorBidi" w:hAnsiTheme="majorBidi" w:cstheme="majorBidi"/>
          <w:sz w:val="24"/>
          <w:szCs w:val="24"/>
          <w:lang w:val="en-GB"/>
        </w:rPr>
        <w:t xml:space="preserve">) </w:t>
      </w:r>
      <w:r w:rsidR="00C258F8" w:rsidRPr="0017471F">
        <w:rPr>
          <w:rFonts w:asciiTheme="majorBidi" w:hAnsiTheme="majorBidi" w:cstheme="majorBidi"/>
          <w:sz w:val="24"/>
          <w:szCs w:val="24"/>
          <w:lang w:val="en-GB"/>
        </w:rPr>
        <w:t>at</w:t>
      </w:r>
      <w:r w:rsidR="008E55C5" w:rsidRPr="0017471F">
        <w:rPr>
          <w:rFonts w:asciiTheme="majorBidi" w:hAnsiTheme="majorBidi" w:cstheme="majorBidi"/>
          <w:sz w:val="24"/>
          <w:szCs w:val="24"/>
          <w:lang w:val="en-GB"/>
        </w:rPr>
        <w:t xml:space="preserve"> </w:t>
      </w:r>
      <w:r w:rsidR="00C46F32" w:rsidRPr="0017471F">
        <w:rPr>
          <w:rFonts w:asciiTheme="majorBidi" w:hAnsiTheme="majorBidi" w:cstheme="majorBidi"/>
          <w:sz w:val="24"/>
          <w:szCs w:val="24"/>
          <w:lang w:val="en-GB"/>
        </w:rPr>
        <w:t>7-day and 14-day intervals</w:t>
      </w:r>
      <w:r w:rsidR="00CA7F00" w:rsidRPr="0017471F">
        <w:rPr>
          <w:rFonts w:asciiTheme="majorBidi" w:hAnsiTheme="majorBidi" w:cstheme="majorBidi"/>
          <w:sz w:val="24"/>
          <w:szCs w:val="24"/>
          <w:lang w:val="en-GB"/>
        </w:rPr>
        <w:t>. T</w:t>
      </w:r>
      <w:r w:rsidRPr="0017471F">
        <w:rPr>
          <w:rFonts w:asciiTheme="majorBidi" w:hAnsiTheme="majorBidi" w:cstheme="majorBidi"/>
          <w:sz w:val="24"/>
          <w:szCs w:val="24"/>
          <w:lang w:val="en-GB"/>
        </w:rPr>
        <w:t>he conventional virus-neutrali</w:t>
      </w:r>
      <w:r w:rsidR="00805FAB" w:rsidRPr="0017471F">
        <w:rPr>
          <w:rFonts w:asciiTheme="majorBidi" w:hAnsiTheme="majorBidi" w:cstheme="majorBidi"/>
          <w:sz w:val="24"/>
          <w:szCs w:val="24"/>
          <w:lang w:val="en-GB"/>
        </w:rPr>
        <w:t>z</w:t>
      </w:r>
      <w:r w:rsidRPr="0017471F">
        <w:rPr>
          <w:rFonts w:asciiTheme="majorBidi" w:hAnsiTheme="majorBidi" w:cstheme="majorBidi"/>
          <w:sz w:val="24"/>
          <w:szCs w:val="24"/>
          <w:lang w:val="en-GB"/>
        </w:rPr>
        <w:t>ing test (</w:t>
      </w:r>
      <w:proofErr w:type="spellStart"/>
      <w:r w:rsidRPr="0017471F">
        <w:rPr>
          <w:rFonts w:asciiTheme="majorBidi" w:hAnsiTheme="majorBidi" w:cstheme="majorBidi"/>
          <w:sz w:val="24"/>
          <w:szCs w:val="24"/>
          <w:lang w:val="en-GB"/>
        </w:rPr>
        <w:t>cVNT</w:t>
      </w:r>
      <w:proofErr w:type="spellEnd"/>
      <w:r w:rsidRPr="0017471F">
        <w:rPr>
          <w:rFonts w:asciiTheme="majorBidi" w:hAnsiTheme="majorBidi" w:cstheme="majorBidi"/>
          <w:sz w:val="24"/>
          <w:szCs w:val="24"/>
          <w:lang w:val="en-GB"/>
        </w:rPr>
        <w:t xml:space="preserve">) was conducted on sera acquired from </w:t>
      </w:r>
      <w:r w:rsidR="00CA7F00" w:rsidRPr="0017471F">
        <w:rPr>
          <w:rFonts w:asciiTheme="majorBidi" w:hAnsiTheme="majorBidi" w:cstheme="majorBidi"/>
          <w:sz w:val="24"/>
          <w:szCs w:val="24"/>
        </w:rPr>
        <w:t xml:space="preserve">vaccinated </w:t>
      </w:r>
      <w:r w:rsidRPr="0017471F">
        <w:rPr>
          <w:rFonts w:asciiTheme="majorBidi" w:hAnsiTheme="majorBidi" w:cstheme="majorBidi"/>
          <w:sz w:val="24"/>
          <w:szCs w:val="24"/>
          <w:lang w:val="en-GB"/>
        </w:rPr>
        <w:t>mice groups</w:t>
      </w:r>
      <w:r w:rsidR="00CF1AAB" w:rsidRPr="0017471F">
        <w:rPr>
          <w:rFonts w:asciiTheme="majorBidi" w:hAnsiTheme="majorBidi" w:cstheme="majorBidi"/>
          <w:sz w:val="24"/>
          <w:szCs w:val="24"/>
        </w:rPr>
        <w:t xml:space="preserve"> </w:t>
      </w:r>
      <w:r w:rsidR="00CA7F00" w:rsidRPr="0017471F">
        <w:rPr>
          <w:rFonts w:asciiTheme="majorBidi" w:hAnsiTheme="majorBidi" w:cstheme="majorBidi"/>
          <w:sz w:val="24"/>
          <w:szCs w:val="24"/>
        </w:rPr>
        <w:t xml:space="preserve">seven days after </w:t>
      </w:r>
      <w:r w:rsidR="00C258F8" w:rsidRPr="0017471F">
        <w:rPr>
          <w:rFonts w:asciiTheme="majorBidi" w:hAnsiTheme="majorBidi" w:cstheme="majorBidi"/>
          <w:sz w:val="24"/>
          <w:szCs w:val="24"/>
        </w:rPr>
        <w:t xml:space="preserve">the </w:t>
      </w:r>
      <w:r w:rsidR="00CA7F00" w:rsidRPr="0017471F">
        <w:rPr>
          <w:rFonts w:asciiTheme="majorBidi" w:hAnsiTheme="majorBidi" w:cstheme="majorBidi"/>
          <w:sz w:val="24"/>
          <w:szCs w:val="24"/>
        </w:rPr>
        <w:t>second injection</w:t>
      </w:r>
      <w:r w:rsidR="00CF3B9F" w:rsidRPr="0017471F">
        <w:rPr>
          <w:rFonts w:asciiTheme="majorBidi" w:hAnsiTheme="majorBidi" w:cstheme="majorBidi"/>
          <w:sz w:val="24"/>
          <w:szCs w:val="24"/>
          <w:lang w:val="en-GB"/>
        </w:rPr>
        <w:t xml:space="preserve">. </w:t>
      </w:r>
      <w:r w:rsidRPr="0017471F">
        <w:rPr>
          <w:rFonts w:asciiTheme="majorBidi" w:hAnsiTheme="majorBidi" w:cstheme="majorBidi"/>
          <w:sz w:val="24"/>
          <w:szCs w:val="24"/>
          <w:lang w:val="en-GB"/>
        </w:rPr>
        <w:t>Virus-specific CPEs were recorded under microscopes 72h post‐infection, and the neutrali</w:t>
      </w:r>
      <w:r w:rsidR="00805FAB" w:rsidRPr="0017471F">
        <w:rPr>
          <w:rFonts w:asciiTheme="majorBidi" w:hAnsiTheme="majorBidi" w:cstheme="majorBidi"/>
          <w:sz w:val="24"/>
          <w:szCs w:val="24"/>
          <w:lang w:val="en-GB"/>
        </w:rPr>
        <w:t>z</w:t>
      </w:r>
      <w:r w:rsidRPr="0017471F">
        <w:rPr>
          <w:rFonts w:asciiTheme="majorBidi" w:hAnsiTheme="majorBidi" w:cstheme="majorBidi"/>
          <w:sz w:val="24"/>
          <w:szCs w:val="24"/>
          <w:lang w:val="en-GB"/>
        </w:rPr>
        <w:t>ing antibody titres were determined as values of the highest dilution that inhibited CPE formation in each well. The presence of neutrali</w:t>
      </w:r>
      <w:r w:rsidR="00805FAB" w:rsidRPr="0017471F">
        <w:rPr>
          <w:rFonts w:asciiTheme="majorBidi" w:hAnsiTheme="majorBidi" w:cstheme="majorBidi"/>
          <w:sz w:val="24"/>
          <w:szCs w:val="24"/>
          <w:lang w:val="en-GB"/>
        </w:rPr>
        <w:t>z</w:t>
      </w:r>
      <w:r w:rsidRPr="0017471F">
        <w:rPr>
          <w:rFonts w:asciiTheme="majorBidi" w:hAnsiTheme="majorBidi" w:cstheme="majorBidi"/>
          <w:sz w:val="24"/>
          <w:szCs w:val="24"/>
          <w:lang w:val="en-GB"/>
        </w:rPr>
        <w:t>ing antibodies was reported positive if the potency were ≥1:4 and reported protective if the potency were ≥ 1:16</w:t>
      </w:r>
      <w:r w:rsidR="00B04B13" w:rsidRPr="0017471F">
        <w:rPr>
          <w:rFonts w:asciiTheme="majorBidi" w:hAnsiTheme="majorBidi" w:cstheme="majorBidi"/>
          <w:sz w:val="24"/>
          <w:szCs w:val="24"/>
          <w:lang w:val="en-GB"/>
        </w:rPr>
        <w:t xml:space="preserve"> </w:t>
      </w:r>
      <w:r w:rsidR="00920A65" w:rsidRPr="0017471F">
        <w:rPr>
          <w:rFonts w:asciiTheme="majorBidi" w:hAnsiTheme="majorBidi" w:cstheme="majorBidi"/>
          <w:sz w:val="24"/>
          <w:szCs w:val="24"/>
          <w:lang w:val="en-GB"/>
        </w:rPr>
        <w:fldChar w:fldCharType="begin" w:fldLock="1"/>
      </w:r>
      <w:r w:rsidR="00277913">
        <w:rPr>
          <w:rFonts w:asciiTheme="majorBidi" w:hAnsiTheme="majorBidi" w:cstheme="majorBidi"/>
          <w:sz w:val="24"/>
          <w:szCs w:val="24"/>
          <w:lang w:val="en-GB"/>
        </w:rPr>
        <w:instrText>ADDIN CSL_CITATION {"citationItems":[{"id":"ITEM-1","itemData":{"DOI":"10.1080/22221751.2022.2030200","ISSN":"2222-1751","PMID":"35034583","abstract":"The massive and rapid transmission of SARS-CoV-2 has led to the emergence of several viral variants of concern (VOCs), with the most recent one, B.1.1.529 (Omicron), which accumulated a large number of spike mutations, raising the specter that this newly identified variant may escape from the currently available vaccines and therapeutic antibodies. Using VSV-based pseudovirus, we found that Omicron variant is markedly resistant to neutralization of sera from convalescents or individuals vaccinated by two doses of inactivated whole-virion vaccines (BBIBP-CorV). However, a homologous inactivated vaccine booster or a heterologous booster with protein subunit vaccine (ZF2001) significantly increased neutralization titers to both WT and Omicron variant. Moreover, at day 14 post the third dose, neutralizing antibody titer reduction for Omicron was less than that for convalescents or individuals who had only two doses of the vaccine, indicating that a homologous or heterologous booster can reduce the Omicron escape from neutralizing. In addition, we tested a panel of 17 SARS-CoV-2 monoclonal antibodies (mAbs). Omicron resists seven of eight authorized/approved mAbs, as well as most of the other mAbs targeting distinct epitopes on RBD and NTD. Taken together, our results suggest the urgency to push forward the booster vaccination to combat the emerging SARS-CoV-2 variants.","author":[{"dropping-particle":"","family":"Wang","given":"Xun","non-dropping-particle":"","parse-names":false,"suffix":""},{"dropping-particle":"","family":"Zhao","given":"Xiaoyu","non-dropping-particle":"","parse-names":false,"suffix":""},{"dropping-particle":"","family":"Song","given":"Jieyu","non-dropping-particle":"","parse-names":false,"suffix":""},{"dropping-particle":"","family":"Wu","given":"Jing","non-dropping-particle":"","parse-names":false,"suffix":""},{"dropping-particle":"","family":"Zhu","given":"Yuqi","non-dropping-particle":"","parse-names":false,"suffix":""},{"dropping-particle":"","family":"Li","given":"Minghui","non-dropping-particle":"","parse-names":false,"suffix":""},{"dropping-particle":"","family":"Cui","given":"Yuchen","non-dropping-particle":"","parse-names":false,"suffix":""},{"dropping-particle":"","family":"Chen","given":"Yanjia","non-dropping-particle":"","parse-names":false,"suffix":""},{"dropping-particle":"","family":"Yang","given":"Lulu","non-dropping-particle":"","parse-names":false,"suffix":""},{"dropping-particle":"","family":"Liu","given":"Jun","non-dropping-particle":"","parse-names":false,"suffix":""},{"dropping-particle":"","family":"Zhu","given":"Huanzhang","non-dropping-particle":"","parse-names":false,"suffix":""},{"dropping-particle":"","family":"Jiang","given":"Shibo","non-dropping-particle":"","parse-names":false,"suffix":""},{"dropping-particle":"","family":"Wang","given":"Pengfei","non-dropping-particle":"","parse-names":false,"suffix":""}],"container-title":"Emerging microbes &amp; infections","id":"ITEM-1","issue":"1","issued":{"date-parts":[["2022","12"]]},"page":"477-481","publisher":"Emerg Microbes Infect","title":"Homologous or heterologous booster of inactivated vaccine reduces SARS-CoV-2 Omicron variant escape from neutralizing antibodies","type":"article-journal","volume":"11"},"uris":["http://www.mendeley.com/documents/?uuid=484d3045-0df7-4004-8a11-227be5f3214c"]},{"id":"ITEM-2","itemData":{"DOI":"10.1002/RMV.2305","ISSN":"1099-1654 (Electronic)","PMID":"34699647","abstract":"The development of effective and safe COVID-19 vaccines is a major move forward  in our global effort to control the SARS-CoV-2 pandemic. The aims of this study were (1) to develop an inactivated whole-virus SARS-CoV-2 candidate vaccine named BIV1-CovIran and (2) to determine the safety and potency of BIV1-CovIran inactivated vaccine candidate against SARS-CoV-2. Infectious virus was isolated from nasopharyngeal swab specimen and propagated in Vero cells with clear cytopathic effects in a biosafety level-3 facility using the World Health Organization's laboratory biosafety guidance related to COVID-19. After characterisation of viral seed stocks, the virus working seed was scaled-up in Vero cells. After chemical inactivation and purification, it was formulated with alum adjuvant. Finally, different animal species were used to determine the toxicity and immunogenicity of the vaccine candidate. The study showed the safety profile in studied animals including guinea pig, rabbit, mice and monkeys. Immunisation at two different doses (3 or 5 μg per dose) elicited a high level of SARS-CoV-2 specific and neutralising antibodies in mice, rabbits and nonhuman primates. Rhesus macaques were immunised with the two-dose schedule of 5 or 3 μg of the BIV1-CovIran vaccine and showed highly efficient protection against 10(4) TCID50 of SARS-CoV-2 intratracheal challenge compared with the control group. These results highlight the BIV1-CovIran vaccine as a potential candidate to induce a strong and potent immune response that may be a promising and feasible vaccine to protect against SARS-CoV-2 infection.","author":[{"dropping-particle":"","family":"Abdoli","given":"Asghar","non-dropping-particle":"","parse-names":false,"suffix":""},{"dropping-particle":"","family":"Aalizadeh","given":"Reza","non-dropping-particle":"","parse-names":false,"suffix":""},{"dropping-particle":"","family":"Aminianfar","given":"Hossein","non-dropping-particle":"","parse-names":false,"suffix":""},{"dropping-particle":"","family":"Kianmehr","given":"Zahra","non-dropping-particle":"","parse-names":false,"suffix":""},{"dropping-particle":"","family":"Teimoori","given":"Ali","non-dropping-particle":"","parse-names":false,"suffix":""},{"dropping-particle":"","family":"Azimi","given":"Ebrahim","non-dropping-particle":"","parse-names":false,"suffix":""},{"dropping-particle":"","family":"Emamipour","given":"Nabbi","non-dropping-particle":"","parse-names":false,"suffix":""},{"dropping-particle":"","family":"Eghtedardoost","given":"Marzieh","non-dropping-particle":"","parse-names":false,"suffix":""},{"dropping-particle":"","family":"Siavashi","given":"Vahid","non-dropping-particle":"","parse-names":false,"suffix":""},{"dropping-particle":"","family":"Jamshidi","given":"Hamidreza","non-dropping-particle":"","parse-names":false,"suffix":""},{"dropping-particle":"","family":"Hosseinpour","given":"Mohammadreza","non-dropping-particle":"","parse-names":false,"suffix":""},{"dropping-particle":"","family":"Taqavian","given":"Mohammad","non-dropping-particle":"","parse-names":false,"suffix":""},{"dropping-particle":"","family":"Jalili","given":"Hasan","non-dropping-particle":"","parse-names":false,"suffix":""}],"container-title":"Reviews in medical virology","id":"ITEM-2","issue":"3","issued":{"date-parts":[["2022","5"]]},"language":"eng","page":"e2305","publisher-place":"England","title":"Safety and potency of BIV1-CovIran inactivated vaccine candidate for SARS-CoV-2:  A preclinical study.","type":"article-journal","volume":"32"},"uris":["http://www.mendeley.com/documents/?uuid=7ed0c9df-f382-4b69-8ddd-ebe4210148b1"]},{"id":"ITEM-3","itemData":{"DOI":"10.1016/J.CELL.2020.06.008","ISSN":"1097-4172","PMID":"32778225","abstract":"The coronavirus disease 2019 (COVID-19) pandemic caused by severe acute respiratory syndrome coronavirus 2 (SARS-CoV-2) threatens global public health. The development of a vaccine is urgently needed for the prevention and control of COVID-19. Here, we report the pilot-scale production of an inactivated SARS-CoV-2 vaccine candidate (BBIBP-CorV) that induces high levels of neutralizing antibodies titers in mice, rats, guinea pigs, rabbits, and nonhuman primates (cynomolgus monkeys and rhesus macaques) to provide protection against SARS-CoV-2. Two-dose immunizations using 2 μg/dose of BBIBP-CorV provided highly efficient protection against SARS-CoV-2 intratracheal challenge in rhesus macaques, without detectable antibody-dependent enhancement of infection. In addition, BBIBP-CorV exhibits efficient productivity and good genetic stability for vaccine manufacture. These results support the further evaluation of BBIBP-CorV in a clinical trial.","author":[{"dropping-particle":"","family":"Wang","given":"Hui","non-dropping-particle":"","parse-names":false,"suffix":""},{"dropping-particle":"","family":"Zhang","given":"Yuntao","non-dropping-particle":"","parse-names":false,"suffix":""},{"dropping-particle":"","family":"Huang","given":"Baoying","non-dropping-particle":"","parse-names":false,"suffix":""},{"dropping-particle":"","family":"Deng","given":"Wei","non-dropping-particle":"","parse-names":false,"suffix":""},{"dropping-particle":"","family":"Quan","given":"Yaru","non-dropping-particle":"","parse-names":false,"suffix":""},{"dropping-particle":"","family":"Wang","given":"Wenling","non-dropping-particle":"","parse-names":false,"suffix":""},{"dropping-particle":"","family":"Xu","given":"Wenbo","non-dropping-particle":"","parse-names":false,"suffix":""},{"dropping-particle":"","family":"Zhao","given":"Yuxiu","non-dropping-particle":"","parse-names":false,"suffix":""},{"dropping-particle":"","family":"Li","given":"Na","non-dropping-particle":"","parse-names":false,"suffix":""},{"dropping-particle":"","family":"Zhang","given":"Jin","non-dropping-particle":"","parse-names":false,"suffix":""},{"dropping-particle":"","family":"Liang","given":"Hongyang","non-dropping-particle":"","parse-names":false,"suffix":""},{"dropping-particle":"","family":"Bao","given":"Linlin","non-dropping-particle":"","parse-names":false,"suffix":""},{"dropping-particle":"","family":"Xu","given":"Yanfeng","non-dropping-particle":"","parse-names":false,"suffix":""},{"dropping-particle":"","family":"Ding","given":"Ling","non-dropping-particle":"","parse-names":false,"suffix":""},{"dropping-particle":"","family":"Zhou","given":"Weimin","non-dropping-particle":"","parse-names":false,"suffix":""},{"dropping-particle":"","family":"Gao","given":"Hong","non-dropping-particle":"","parse-names":false,"suffix":""},{"dropping-particle":"","family":"Liu","given":"Jiangning","non-dropping-particle":"","parse-names":false,"suffix":""},{"dropping-particle":"","family":"Niu","given":"Peihua","non-dropping-particle":"","parse-names":false,"suffix":""},{"dropping-particle":"","family":"Zhao","given":"Li","non-dropping-particle":"","parse-names":false,"suffix":""},{"dropping-particle":"","family":"Zhen","given":"Wei","non-dropping-particle":"","parse-names":false,"suffix":""},{"dropping-particle":"","family":"Fu","given":"Hui","non-dropping-particle":"","parse-names":false,"suffix":""},{"dropping-particle":"","family":"Yu","given":"Shouzhi","non-dropping-particle":"","parse-names":false,"suffix":""},{"dropping-particle":"","family":"Zhang","given":"Zhengli","non-dropping-particle":"","parse-names":false,"suffix":""},{"dropping-particle":"","family":"Xu","given":"Guangxue","non-dropping-particle":"","parse-names":false,"suffix":""},{"dropping-particle":"","family":"Li","given":"Changgui","non-dropping-particle":"","parse-names":false,"suffix":""},{"dropping-particle":"","family":"Lou","given":"Zhiyong","non-dropping-particle":"","parse-names":false,"suffix":""},{"dropping-particle":"","family":"Xu","given":"Miao","non-dropping-particle":"","parse-names":false,"suffix":""},{"dropping-particle":"","family":"Qin","given":"Chuan","non-dropping-particle":"","parse-names":false,"suffix":""},{"dropping-particle":"","family":"Wu","given":"Guizhen","non-dropping-particle":"","parse-names":false,"suffix":""},{"dropping-particle":"","family":"Gao","given":"George Fu","non-dropping-particle":"","parse-names":false,"suffix":""},{"dropping-particle":"","family":"Tan","given":"Wenjie","non-dropping-particle":"","parse-names":false,"suffix":""},{"dropping-particle":"","family":"Yang","given":"Xiaoming","non-dropping-particle":"","parse-names":false,"suffix":""}],"container-title":"Cell","id":"ITEM-3","issue":"3","issued":{"date-parts":[["2020","8"]]},"page":"713-721.e9","publisher":"Cell","title":"Development of an Inactivated Vaccine Candidate, BBIBP-CorV, with Potent Protection against SARS-CoV-2","type":"article-journal","volume":"182"},"uris":["http://www.mendeley.com/documents/?uuid=d2048b7a-3445-4d3e-8520-dad0dfcc5a76"]}],"mendeley":{"formattedCitation":"(2–4)","plainTextFormattedCitation":"(2–4)","previouslyFormattedCitation":"(1,3,4)"},"properties":{"noteIndex":0},"schema":"https://github.com/citation-style-language/schema/raw/master/csl-citation.json"}</w:instrText>
      </w:r>
      <w:r w:rsidR="00920A65" w:rsidRPr="0017471F">
        <w:rPr>
          <w:rFonts w:asciiTheme="majorBidi" w:hAnsiTheme="majorBidi" w:cstheme="majorBidi"/>
          <w:sz w:val="24"/>
          <w:szCs w:val="24"/>
          <w:lang w:val="en-GB"/>
        </w:rPr>
        <w:fldChar w:fldCharType="separate"/>
      </w:r>
      <w:r w:rsidR="00277913" w:rsidRPr="00277913">
        <w:rPr>
          <w:rFonts w:asciiTheme="majorBidi" w:hAnsiTheme="majorBidi" w:cstheme="majorBidi"/>
          <w:noProof/>
          <w:sz w:val="24"/>
          <w:szCs w:val="24"/>
          <w:lang w:val="en-GB"/>
        </w:rPr>
        <w:t>(2–4)</w:t>
      </w:r>
      <w:r w:rsidR="00920A65" w:rsidRPr="0017471F">
        <w:rPr>
          <w:rFonts w:asciiTheme="majorBidi" w:hAnsiTheme="majorBidi" w:cstheme="majorBidi"/>
          <w:sz w:val="24"/>
          <w:szCs w:val="24"/>
          <w:lang w:val="en-GB"/>
        </w:rPr>
        <w:fldChar w:fldCharType="end"/>
      </w:r>
      <w:r w:rsidR="2F1A4274" w:rsidRPr="0017471F">
        <w:rPr>
          <w:rFonts w:asciiTheme="majorBidi" w:hAnsiTheme="majorBidi" w:cstheme="majorBidi"/>
          <w:sz w:val="24"/>
          <w:szCs w:val="24"/>
          <w:lang w:val="en-GB"/>
        </w:rPr>
        <w:t>.</w:t>
      </w:r>
      <w:r w:rsidR="00444272" w:rsidRPr="0017471F">
        <w:rPr>
          <w:rFonts w:asciiTheme="majorBidi" w:hAnsiTheme="majorBidi" w:cstheme="majorBidi"/>
          <w:sz w:val="24"/>
          <w:szCs w:val="24"/>
          <w:lang w:val="en-GB"/>
        </w:rPr>
        <w:t xml:space="preserve"> All </w:t>
      </w:r>
      <w:r w:rsidR="00936B37" w:rsidRPr="0017471F">
        <w:rPr>
          <w:rFonts w:asciiTheme="majorBidi" w:hAnsiTheme="majorBidi" w:cstheme="majorBidi"/>
          <w:sz w:val="24"/>
          <w:szCs w:val="24"/>
          <w:lang w:val="en-GB"/>
        </w:rPr>
        <w:t>animal models and maintenance procedures</w:t>
      </w:r>
      <w:r w:rsidR="003E33D5" w:rsidRPr="0017471F">
        <w:rPr>
          <w:rFonts w:asciiTheme="majorBidi" w:hAnsiTheme="majorBidi" w:cstheme="majorBidi"/>
          <w:sz w:val="24"/>
          <w:szCs w:val="24"/>
          <w:lang w:val="en-GB"/>
        </w:rPr>
        <w:t xml:space="preserve"> were </w:t>
      </w:r>
      <w:r w:rsidR="006E092C" w:rsidRPr="0017471F">
        <w:rPr>
          <w:rFonts w:asciiTheme="majorBidi" w:hAnsiTheme="majorBidi" w:cstheme="majorBidi"/>
          <w:sz w:val="24"/>
          <w:szCs w:val="24"/>
          <w:lang w:val="en-GB"/>
        </w:rPr>
        <w:t>under the approval of animal ethics committee guidelines</w:t>
      </w:r>
      <w:r w:rsidR="00C258F8" w:rsidRPr="0017471F">
        <w:rPr>
          <w:rFonts w:asciiTheme="majorBidi" w:hAnsiTheme="majorBidi" w:cstheme="majorBidi"/>
          <w:sz w:val="24"/>
          <w:szCs w:val="24"/>
          <w:lang w:val="en-GB"/>
        </w:rPr>
        <w:t xml:space="preserve"> </w:t>
      </w:r>
      <w:r w:rsidR="006E092C" w:rsidRPr="0017471F">
        <w:rPr>
          <w:rFonts w:asciiTheme="majorBidi" w:hAnsiTheme="majorBidi" w:cstheme="majorBidi"/>
          <w:sz w:val="24"/>
          <w:szCs w:val="24"/>
          <w:lang w:val="en-GB"/>
        </w:rPr>
        <w:t>of the Ministry of Health and Medical Education (Tehran, Iran; ethical code: IR.ACECR.IBCRC.REC.1399.016).</w:t>
      </w:r>
    </w:p>
    <w:p w14:paraId="6E679686" w14:textId="30BC5BF3" w:rsidR="00DC2732" w:rsidRPr="0017471F" w:rsidRDefault="00D26269" w:rsidP="00624E01">
      <w:pPr>
        <w:spacing w:after="0" w:line="480" w:lineRule="auto"/>
        <w:jc w:val="both"/>
        <w:rPr>
          <w:rFonts w:asciiTheme="majorBidi" w:hAnsiTheme="majorBidi" w:cstheme="majorBidi"/>
          <w:sz w:val="24"/>
          <w:szCs w:val="24"/>
          <w:lang w:val="en-GB"/>
        </w:rPr>
      </w:pPr>
      <w:r w:rsidRPr="0017471F">
        <w:rPr>
          <w:rFonts w:asciiTheme="majorBidi" w:hAnsiTheme="majorBidi" w:cstheme="majorBidi"/>
          <w:sz w:val="24"/>
          <w:szCs w:val="24"/>
          <w:lang w:val="en-GB"/>
        </w:rPr>
        <w:t xml:space="preserve">There was no evidence of abnormal clinical symptoms, altered water or food intake, weight loss, and macroscopic tissue alterations </w:t>
      </w:r>
      <w:r w:rsidR="00555BBA" w:rsidRPr="0017471F">
        <w:rPr>
          <w:rFonts w:asciiTheme="majorBidi" w:hAnsiTheme="majorBidi" w:cstheme="majorBidi"/>
          <w:sz w:val="24"/>
          <w:szCs w:val="24"/>
          <w:lang w:val="en-GB"/>
        </w:rPr>
        <w:t xml:space="preserve">among the </w:t>
      </w:r>
      <w:r w:rsidR="00DC2732" w:rsidRPr="0017471F">
        <w:rPr>
          <w:rFonts w:asciiTheme="majorBidi" w:hAnsiTheme="majorBidi" w:cstheme="majorBidi"/>
          <w:sz w:val="24"/>
          <w:szCs w:val="24"/>
          <w:lang w:val="en-GB"/>
        </w:rPr>
        <w:t xml:space="preserve">mice and Guinea pigs that received </w:t>
      </w:r>
      <w:r w:rsidR="00561D3A" w:rsidRPr="0017471F">
        <w:rPr>
          <w:rFonts w:asciiTheme="majorBidi" w:hAnsiTheme="majorBidi" w:cstheme="majorBidi"/>
          <w:sz w:val="24"/>
          <w:szCs w:val="24"/>
          <w:lang w:val="en-GB"/>
        </w:rPr>
        <w:t>BIV1-</w:t>
      </w:r>
      <w:r w:rsidR="00DC2732" w:rsidRPr="0017471F">
        <w:rPr>
          <w:rFonts w:asciiTheme="majorBidi" w:hAnsiTheme="majorBidi" w:cstheme="majorBidi"/>
          <w:sz w:val="24"/>
          <w:szCs w:val="24"/>
          <w:lang w:val="en-GB"/>
        </w:rPr>
        <w:t xml:space="preserve">CovIran </w:t>
      </w:r>
      <w:r w:rsidR="00DC2732" w:rsidRPr="0017471F">
        <w:rPr>
          <w:rFonts w:asciiTheme="majorBidi" w:hAnsiTheme="majorBidi" w:cstheme="majorBidi"/>
          <w:sz w:val="24"/>
          <w:szCs w:val="24"/>
          <w:lang w:val="en-GB"/>
        </w:rPr>
        <w:lastRenderedPageBreak/>
        <w:t>Plus</w:t>
      </w:r>
      <w:r w:rsidR="00555BBA" w:rsidRPr="0017471F">
        <w:rPr>
          <w:rFonts w:asciiTheme="majorBidi" w:hAnsiTheme="majorBidi" w:cstheme="majorBidi"/>
          <w:sz w:val="24"/>
          <w:szCs w:val="24"/>
          <w:lang w:val="en-GB"/>
        </w:rPr>
        <w:t xml:space="preserve">. Moreover, there were no microscopic changes in the </w:t>
      </w:r>
      <w:r w:rsidR="00936B37" w:rsidRPr="0017471F">
        <w:rPr>
          <w:rFonts w:asciiTheme="majorBidi" w:hAnsiTheme="majorBidi" w:cstheme="majorBidi"/>
          <w:sz w:val="24"/>
          <w:szCs w:val="24"/>
          <w:lang w:val="en-GB"/>
        </w:rPr>
        <w:t>animals' liver, kidney, heart, and lung samples</w:t>
      </w:r>
      <w:r w:rsidR="00DC2732" w:rsidRPr="0017471F">
        <w:rPr>
          <w:rFonts w:asciiTheme="majorBidi" w:hAnsiTheme="majorBidi" w:cstheme="majorBidi"/>
          <w:sz w:val="24"/>
          <w:szCs w:val="24"/>
          <w:lang w:val="en-GB"/>
        </w:rPr>
        <w:t xml:space="preserve">. </w:t>
      </w:r>
    </w:p>
    <w:p w14:paraId="083C7992" w14:textId="093A841C" w:rsidR="0017471F" w:rsidRPr="0017471F" w:rsidRDefault="00DC2732" w:rsidP="0017471F">
      <w:pPr>
        <w:spacing w:after="0" w:line="480" w:lineRule="auto"/>
        <w:jc w:val="both"/>
        <w:rPr>
          <w:rFonts w:asciiTheme="majorBidi" w:hAnsiTheme="majorBidi" w:cstheme="majorBidi"/>
          <w:sz w:val="24"/>
          <w:szCs w:val="24"/>
        </w:rPr>
      </w:pPr>
      <w:r w:rsidRPr="0017471F">
        <w:rPr>
          <w:rFonts w:asciiTheme="majorBidi" w:hAnsiTheme="majorBidi" w:cstheme="majorBidi"/>
          <w:sz w:val="24"/>
          <w:szCs w:val="24"/>
          <w:lang w:val="en-GB"/>
        </w:rPr>
        <w:t xml:space="preserve">The neutralization potency of two doses of </w:t>
      </w:r>
      <w:r w:rsidR="00464E38" w:rsidRPr="0017471F">
        <w:rPr>
          <w:rFonts w:asciiTheme="majorBidi" w:hAnsiTheme="majorBidi" w:cstheme="majorBidi"/>
          <w:sz w:val="24"/>
          <w:szCs w:val="24"/>
          <w:lang w:val="en-GB"/>
        </w:rPr>
        <w:t>BIV1</w:t>
      </w:r>
      <w:r w:rsidR="00DB11B1" w:rsidRPr="0017471F">
        <w:rPr>
          <w:rFonts w:asciiTheme="majorBidi" w:hAnsiTheme="majorBidi" w:cstheme="majorBidi"/>
          <w:sz w:val="24"/>
          <w:szCs w:val="24"/>
          <w:lang w:val="en-GB"/>
        </w:rPr>
        <w:t>-</w:t>
      </w:r>
      <w:r w:rsidRPr="0017471F">
        <w:rPr>
          <w:rFonts w:asciiTheme="majorBidi" w:hAnsiTheme="majorBidi" w:cstheme="majorBidi"/>
          <w:sz w:val="24"/>
          <w:szCs w:val="24"/>
          <w:lang w:val="en-GB"/>
        </w:rPr>
        <w:t xml:space="preserve">CovIran Plus was assessed against the Omicron variant. In </w:t>
      </w:r>
      <w:r w:rsidR="001729E6" w:rsidRPr="0017471F">
        <w:rPr>
          <w:rFonts w:asciiTheme="majorBidi" w:hAnsiTheme="majorBidi" w:cstheme="majorBidi"/>
          <w:sz w:val="24"/>
          <w:szCs w:val="24"/>
          <w:lang w:val="en-GB"/>
        </w:rPr>
        <w:t xml:space="preserve">all samples </w:t>
      </w:r>
      <w:r w:rsidR="00F13419" w:rsidRPr="0017471F">
        <w:rPr>
          <w:rFonts w:asciiTheme="majorBidi" w:hAnsiTheme="majorBidi" w:cstheme="majorBidi"/>
          <w:sz w:val="24"/>
          <w:szCs w:val="24"/>
          <w:lang w:val="en-GB"/>
        </w:rPr>
        <w:t xml:space="preserve">from the study group </w:t>
      </w:r>
      <w:r w:rsidR="00936B37" w:rsidRPr="0017471F">
        <w:rPr>
          <w:rFonts w:asciiTheme="majorBidi" w:hAnsiTheme="majorBidi" w:cstheme="majorBidi"/>
          <w:sz w:val="24"/>
          <w:szCs w:val="24"/>
          <w:lang w:val="en-GB"/>
        </w:rPr>
        <w:t>that received two doses of BIV1-CovIran Plus at a 7-day interval, the sera at</w:t>
      </w:r>
      <w:r w:rsidR="00936B37" w:rsidRPr="0017471F">
        <w:rPr>
          <w:rFonts w:asciiTheme="majorBidi" w:hAnsiTheme="majorBidi" w:cstheme="majorBidi"/>
          <w:sz w:val="24"/>
          <w:szCs w:val="24"/>
        </w:rPr>
        <w:t xml:space="preserve"> ≥1/32 </w:t>
      </w:r>
      <w:proofErr w:type="gramStart"/>
      <w:r w:rsidR="00936B37" w:rsidRPr="0017471F">
        <w:rPr>
          <w:rFonts w:asciiTheme="majorBidi" w:hAnsiTheme="majorBidi" w:cstheme="majorBidi"/>
          <w:sz w:val="24"/>
          <w:szCs w:val="24"/>
        </w:rPr>
        <w:t>times</w:t>
      </w:r>
      <w:proofErr w:type="gramEnd"/>
      <w:r w:rsidR="00936B37" w:rsidRPr="0017471F">
        <w:rPr>
          <w:rFonts w:asciiTheme="majorBidi" w:hAnsiTheme="majorBidi" w:cstheme="majorBidi"/>
          <w:sz w:val="24"/>
          <w:szCs w:val="24"/>
        </w:rPr>
        <w:t xml:space="preserve"> dilution would neutralize the Omicron variant</w:t>
      </w:r>
      <w:r w:rsidR="001729E6" w:rsidRPr="0017471F">
        <w:rPr>
          <w:rFonts w:asciiTheme="majorBidi" w:hAnsiTheme="majorBidi" w:cstheme="majorBidi"/>
          <w:sz w:val="24"/>
          <w:szCs w:val="24"/>
        </w:rPr>
        <w:t xml:space="preserve"> SARS-CoV-2. </w:t>
      </w:r>
      <w:bookmarkStart w:id="1" w:name="_Hlk95476212"/>
      <w:r w:rsidRPr="0017471F">
        <w:rPr>
          <w:rFonts w:asciiTheme="majorBidi" w:hAnsiTheme="majorBidi" w:cstheme="majorBidi"/>
          <w:sz w:val="24"/>
          <w:szCs w:val="24"/>
        </w:rPr>
        <w:t>Similarly</w:t>
      </w:r>
      <w:r w:rsidR="00BD3B9B" w:rsidRPr="0017471F">
        <w:rPr>
          <w:rFonts w:asciiTheme="majorBidi" w:hAnsiTheme="majorBidi" w:cstheme="majorBidi"/>
          <w:sz w:val="24"/>
          <w:szCs w:val="24"/>
        </w:rPr>
        <w:t xml:space="preserve">, </w:t>
      </w:r>
      <w:r w:rsidR="00471F85" w:rsidRPr="0017471F">
        <w:rPr>
          <w:rFonts w:asciiTheme="majorBidi" w:hAnsiTheme="majorBidi" w:cstheme="majorBidi"/>
          <w:sz w:val="24"/>
          <w:szCs w:val="24"/>
        </w:rPr>
        <w:t xml:space="preserve">the sera of </w:t>
      </w:r>
      <w:r w:rsidR="00BD3B9B" w:rsidRPr="0017471F">
        <w:rPr>
          <w:rFonts w:asciiTheme="majorBidi" w:hAnsiTheme="majorBidi" w:cstheme="majorBidi"/>
          <w:sz w:val="24"/>
          <w:szCs w:val="24"/>
        </w:rPr>
        <w:t>all samples from the study group</w:t>
      </w:r>
      <w:r w:rsidR="00936B37" w:rsidRPr="0017471F">
        <w:rPr>
          <w:rFonts w:asciiTheme="majorBidi" w:hAnsiTheme="majorBidi" w:cstheme="majorBidi"/>
          <w:sz w:val="24"/>
          <w:szCs w:val="24"/>
        </w:rPr>
        <w:t>,</w:t>
      </w:r>
      <w:r w:rsidR="00BD3B9B" w:rsidRPr="0017471F">
        <w:rPr>
          <w:rFonts w:asciiTheme="majorBidi" w:hAnsiTheme="majorBidi" w:cstheme="majorBidi"/>
          <w:sz w:val="24"/>
          <w:szCs w:val="24"/>
        </w:rPr>
        <w:t xml:space="preserve"> which received two doses of BIV1-CovIran Plus </w:t>
      </w:r>
      <w:r w:rsidR="00936B37" w:rsidRPr="0017471F">
        <w:rPr>
          <w:rFonts w:asciiTheme="majorBidi" w:hAnsiTheme="majorBidi" w:cstheme="majorBidi"/>
          <w:sz w:val="24"/>
          <w:szCs w:val="24"/>
        </w:rPr>
        <w:t xml:space="preserve">at a 14-day interval, at ≥1/64 </w:t>
      </w:r>
      <w:proofErr w:type="gramStart"/>
      <w:r w:rsidR="00936B37" w:rsidRPr="0017471F">
        <w:rPr>
          <w:rFonts w:asciiTheme="majorBidi" w:hAnsiTheme="majorBidi" w:cstheme="majorBidi"/>
          <w:sz w:val="24"/>
          <w:szCs w:val="24"/>
        </w:rPr>
        <w:t>times</w:t>
      </w:r>
      <w:proofErr w:type="gramEnd"/>
      <w:r w:rsidR="00936B37" w:rsidRPr="0017471F">
        <w:rPr>
          <w:rFonts w:asciiTheme="majorBidi" w:hAnsiTheme="majorBidi" w:cstheme="majorBidi"/>
          <w:sz w:val="24"/>
          <w:szCs w:val="24"/>
        </w:rPr>
        <w:t xml:space="preserve"> dilution</w:t>
      </w:r>
      <w:r w:rsidR="00CE56AA" w:rsidRPr="0017471F">
        <w:rPr>
          <w:rFonts w:asciiTheme="majorBidi" w:hAnsiTheme="majorBidi" w:cstheme="majorBidi"/>
          <w:sz w:val="24"/>
          <w:szCs w:val="24"/>
        </w:rPr>
        <w:t>,</w:t>
      </w:r>
      <w:r w:rsidR="00936B37" w:rsidRPr="0017471F">
        <w:rPr>
          <w:rFonts w:asciiTheme="majorBidi" w:hAnsiTheme="majorBidi" w:cstheme="majorBidi"/>
          <w:sz w:val="24"/>
          <w:szCs w:val="24"/>
        </w:rPr>
        <w:t xml:space="preserve"> would neutralize the Omicron variant</w:t>
      </w:r>
      <w:r w:rsidR="00BD3B9B" w:rsidRPr="0017471F">
        <w:rPr>
          <w:rFonts w:asciiTheme="majorBidi" w:hAnsiTheme="majorBidi" w:cstheme="majorBidi"/>
          <w:sz w:val="24"/>
          <w:szCs w:val="24"/>
        </w:rPr>
        <w:t xml:space="preserve"> SARS-CoV-2. </w:t>
      </w:r>
      <w:r w:rsidR="008E0593" w:rsidRPr="0017471F">
        <w:rPr>
          <w:rFonts w:asciiTheme="majorBidi" w:hAnsiTheme="majorBidi" w:cstheme="majorBidi"/>
          <w:sz w:val="24"/>
          <w:szCs w:val="24"/>
        </w:rPr>
        <w:t xml:space="preserve">Moreover, </w:t>
      </w:r>
      <w:r w:rsidR="70BD9A3B" w:rsidRPr="0017471F">
        <w:rPr>
          <w:rFonts w:asciiTheme="majorBidi" w:hAnsiTheme="majorBidi" w:cstheme="majorBidi"/>
          <w:sz w:val="24"/>
          <w:szCs w:val="24"/>
        </w:rPr>
        <w:t>six out of ten</w:t>
      </w:r>
      <w:r w:rsidR="00EE30DF" w:rsidRPr="0017471F">
        <w:rPr>
          <w:rFonts w:asciiTheme="majorBidi" w:hAnsiTheme="majorBidi" w:cstheme="majorBidi"/>
          <w:sz w:val="24"/>
          <w:szCs w:val="24"/>
        </w:rPr>
        <w:t xml:space="preserve"> (</w:t>
      </w:r>
      <w:r w:rsidR="008E0593" w:rsidRPr="0017471F">
        <w:rPr>
          <w:rFonts w:asciiTheme="majorBidi" w:hAnsiTheme="majorBidi" w:cstheme="majorBidi"/>
          <w:sz w:val="24"/>
          <w:szCs w:val="24"/>
        </w:rPr>
        <w:t>60%</w:t>
      </w:r>
      <w:r w:rsidR="00EE30DF" w:rsidRPr="0017471F">
        <w:rPr>
          <w:rFonts w:asciiTheme="majorBidi" w:hAnsiTheme="majorBidi" w:cstheme="majorBidi"/>
          <w:sz w:val="24"/>
          <w:szCs w:val="24"/>
        </w:rPr>
        <w:t>)</w:t>
      </w:r>
      <w:r w:rsidR="008E0593" w:rsidRPr="0017471F">
        <w:rPr>
          <w:rFonts w:asciiTheme="majorBidi" w:hAnsiTheme="majorBidi" w:cstheme="majorBidi"/>
          <w:sz w:val="24"/>
          <w:szCs w:val="24"/>
        </w:rPr>
        <w:t xml:space="preserve"> </w:t>
      </w:r>
      <w:r w:rsidR="00EE30DF" w:rsidRPr="0017471F">
        <w:rPr>
          <w:rFonts w:asciiTheme="majorBidi" w:hAnsiTheme="majorBidi" w:cstheme="majorBidi"/>
          <w:sz w:val="24"/>
          <w:szCs w:val="24"/>
        </w:rPr>
        <w:t>of the samples in this</w:t>
      </w:r>
      <w:r w:rsidR="00705FB4" w:rsidRPr="0017471F">
        <w:rPr>
          <w:rFonts w:asciiTheme="majorBidi" w:hAnsiTheme="majorBidi" w:cstheme="majorBidi"/>
          <w:sz w:val="24"/>
          <w:szCs w:val="24"/>
        </w:rPr>
        <w:t xml:space="preserve"> group </w:t>
      </w:r>
      <w:r w:rsidR="00EE30DF" w:rsidRPr="0017471F">
        <w:rPr>
          <w:rFonts w:asciiTheme="majorBidi" w:hAnsiTheme="majorBidi" w:cstheme="majorBidi"/>
          <w:sz w:val="24"/>
          <w:szCs w:val="24"/>
        </w:rPr>
        <w:t>would neutralize the Omicron variant of SARS-CoV-2</w:t>
      </w:r>
      <w:r w:rsidR="00705FB4" w:rsidRPr="0017471F">
        <w:rPr>
          <w:rFonts w:asciiTheme="majorBidi" w:hAnsiTheme="majorBidi" w:cstheme="majorBidi"/>
          <w:sz w:val="24"/>
          <w:szCs w:val="24"/>
        </w:rPr>
        <w:t xml:space="preserve"> at 1/128 times dilution</w:t>
      </w:r>
      <w:r w:rsidR="00EE30DF" w:rsidRPr="0017471F">
        <w:rPr>
          <w:rFonts w:asciiTheme="majorBidi" w:hAnsiTheme="majorBidi" w:cstheme="majorBidi"/>
          <w:sz w:val="24"/>
          <w:szCs w:val="24"/>
        </w:rPr>
        <w:t>.</w:t>
      </w:r>
      <w:r w:rsidR="00705FB4" w:rsidRPr="0017471F">
        <w:rPr>
          <w:rFonts w:asciiTheme="majorBidi" w:hAnsiTheme="majorBidi" w:cstheme="majorBidi"/>
          <w:sz w:val="24"/>
          <w:szCs w:val="24"/>
        </w:rPr>
        <w:t xml:space="preserve"> </w:t>
      </w:r>
      <w:bookmarkEnd w:id="1"/>
      <w:r w:rsidR="007F79F4" w:rsidRPr="0017471F">
        <w:rPr>
          <w:rFonts w:asciiTheme="majorBidi" w:hAnsiTheme="majorBidi" w:cstheme="majorBidi"/>
          <w:sz w:val="24"/>
          <w:szCs w:val="24"/>
        </w:rPr>
        <w:t>CPE formation was observed in all samples from the control group</w:t>
      </w:r>
      <w:r w:rsidR="00CE56AA" w:rsidRPr="0017471F">
        <w:rPr>
          <w:rFonts w:asciiTheme="majorBidi" w:hAnsiTheme="majorBidi" w:cstheme="majorBidi"/>
          <w:sz w:val="24"/>
          <w:szCs w:val="24"/>
        </w:rPr>
        <w:t>,</w:t>
      </w:r>
      <w:r w:rsidR="007F79F4" w:rsidRPr="0017471F">
        <w:rPr>
          <w:rFonts w:asciiTheme="majorBidi" w:hAnsiTheme="majorBidi" w:cstheme="majorBidi"/>
          <w:sz w:val="24"/>
          <w:szCs w:val="24"/>
        </w:rPr>
        <w:t xml:space="preserve"> and no neutralizing activity was detected at any sera</w:t>
      </w:r>
      <w:r w:rsidR="00AE4530" w:rsidRPr="0017471F">
        <w:rPr>
          <w:rFonts w:asciiTheme="majorBidi" w:hAnsiTheme="majorBidi" w:cstheme="majorBidi"/>
          <w:sz w:val="24"/>
          <w:szCs w:val="24"/>
        </w:rPr>
        <w:t xml:space="preserve"> </w:t>
      </w:r>
      <w:r w:rsidR="007F79F4" w:rsidRPr="0017471F">
        <w:rPr>
          <w:rFonts w:asciiTheme="majorBidi" w:hAnsiTheme="majorBidi" w:cstheme="majorBidi"/>
          <w:sz w:val="24"/>
          <w:szCs w:val="24"/>
        </w:rPr>
        <w:t>dilutions</w:t>
      </w:r>
      <w:r w:rsidR="00D33DB2" w:rsidRPr="0017471F">
        <w:rPr>
          <w:rFonts w:asciiTheme="majorBidi" w:hAnsiTheme="majorBidi" w:cstheme="majorBidi"/>
          <w:sz w:val="24"/>
          <w:szCs w:val="24"/>
        </w:rPr>
        <w:t xml:space="preserve"> (Figure 2)</w:t>
      </w:r>
      <w:r w:rsidRPr="0017471F">
        <w:rPr>
          <w:rFonts w:asciiTheme="majorBidi" w:hAnsiTheme="majorBidi" w:cstheme="majorBidi"/>
          <w:sz w:val="24"/>
          <w:szCs w:val="24"/>
        </w:rPr>
        <w:t xml:space="preserve">. </w:t>
      </w:r>
      <w:r w:rsidR="0017471F">
        <w:rPr>
          <w:rFonts w:asciiTheme="majorBidi" w:hAnsiTheme="majorBidi" w:cstheme="majorBidi"/>
          <w:sz w:val="24"/>
          <w:szCs w:val="24"/>
        </w:rPr>
        <w:t xml:space="preserve">In conclusion, </w:t>
      </w:r>
      <w:proofErr w:type="spellStart"/>
      <w:r w:rsidR="0017471F" w:rsidRPr="0017471F">
        <w:rPr>
          <w:rFonts w:asciiTheme="majorBidi" w:hAnsiTheme="majorBidi" w:cstheme="majorBidi"/>
          <w:sz w:val="24"/>
          <w:szCs w:val="24"/>
          <w:lang w:val="en-GB"/>
        </w:rPr>
        <w:t>BIV1-CovIran</w:t>
      </w:r>
      <w:proofErr w:type="spellEnd"/>
      <w:r w:rsidR="0017471F" w:rsidRPr="0017471F">
        <w:rPr>
          <w:rFonts w:asciiTheme="majorBidi" w:hAnsiTheme="majorBidi" w:cstheme="majorBidi"/>
          <w:sz w:val="24"/>
          <w:szCs w:val="24"/>
          <w:lang w:val="en-GB"/>
        </w:rPr>
        <w:t xml:space="preserve"> Plus was well-tolerated in the a</w:t>
      </w:r>
      <w:r w:rsidR="0017471F" w:rsidRPr="0017471F">
        <w:rPr>
          <w:rFonts w:asciiTheme="majorBidi" w:hAnsiTheme="majorBidi" w:cstheme="majorBidi"/>
          <w:sz w:val="24"/>
          <w:szCs w:val="24"/>
        </w:rPr>
        <w:t>n</w:t>
      </w:r>
      <w:proofErr w:type="spellStart"/>
      <w:r w:rsidR="0017471F" w:rsidRPr="0017471F">
        <w:rPr>
          <w:rFonts w:asciiTheme="majorBidi" w:hAnsiTheme="majorBidi" w:cstheme="majorBidi"/>
          <w:sz w:val="24"/>
          <w:szCs w:val="24"/>
          <w:lang w:val="en-GB"/>
        </w:rPr>
        <w:t>imal</w:t>
      </w:r>
      <w:proofErr w:type="spellEnd"/>
      <w:r w:rsidR="0017471F" w:rsidRPr="0017471F">
        <w:rPr>
          <w:rFonts w:asciiTheme="majorBidi" w:hAnsiTheme="majorBidi" w:cstheme="majorBidi"/>
          <w:sz w:val="24"/>
          <w:szCs w:val="24"/>
          <w:lang w:val="en-GB"/>
        </w:rPr>
        <w:t xml:space="preserve"> models, and no safety concerns were raised. Moreover, the vaccine candidate elicited protective neutralization against the Omicron variant in 100% of mice studied a week after the second injection. </w:t>
      </w:r>
    </w:p>
    <w:p w14:paraId="75B1D3BD" w14:textId="4214EBED" w:rsidR="003E2899" w:rsidRPr="003E2899" w:rsidRDefault="003E2899" w:rsidP="003E2899">
      <w:pPr>
        <w:spacing w:after="0" w:line="480" w:lineRule="auto"/>
        <w:jc w:val="both"/>
        <w:rPr>
          <w:rFonts w:asciiTheme="majorBidi" w:hAnsiTheme="majorBidi" w:cstheme="majorBidi"/>
          <w:sz w:val="24"/>
          <w:szCs w:val="24"/>
          <w:lang w:val="en-GB"/>
        </w:rPr>
      </w:pPr>
      <w:r>
        <w:rPr>
          <w:rFonts w:asciiTheme="majorBidi" w:hAnsiTheme="majorBidi" w:cstheme="majorBidi"/>
          <w:noProof/>
          <w:sz w:val="24"/>
          <w:szCs w:val="24"/>
        </w:rPr>
        <w:lastRenderedPageBreak/>
        <w:drawing>
          <wp:inline distT="0" distB="0" distL="0" distR="0" wp14:anchorId="29F74396" wp14:editId="45057826">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sidR="0017471F" w:rsidRPr="0017471F">
        <w:rPr>
          <w:rFonts w:asciiTheme="majorBidi" w:hAnsiTheme="majorBidi" w:cstheme="majorBidi"/>
          <w:b/>
          <w:bCs/>
          <w:sz w:val="24"/>
          <w:szCs w:val="24"/>
          <w:lang w:val="en-GB"/>
        </w:rPr>
        <w:t>Figure 2.</w:t>
      </w:r>
      <w:r w:rsidR="0017471F" w:rsidRPr="0017471F">
        <w:rPr>
          <w:rFonts w:asciiTheme="majorBidi" w:hAnsiTheme="majorBidi" w:cstheme="majorBidi"/>
          <w:sz w:val="24"/>
          <w:szCs w:val="24"/>
          <w:lang w:val="en-GB"/>
        </w:rPr>
        <w:t xml:space="preserve"> The virus neutralization titres seven days after receiving two doses of BIV1-CovIran Plus with 7 (A) and 14 (B) days intervals. 1/16 sera dilution was considered as the seroprotective threshold.</w:t>
      </w:r>
    </w:p>
    <w:p w14:paraId="5FF236BD" w14:textId="3994A45F" w:rsidR="0054718F" w:rsidRPr="0017471F" w:rsidRDefault="00181860" w:rsidP="0017471F">
      <w:pPr>
        <w:rPr>
          <w:rFonts w:asciiTheme="majorBidi" w:hAnsiTheme="majorBidi" w:cstheme="majorBidi"/>
          <w:b/>
          <w:bCs/>
          <w:sz w:val="28"/>
          <w:szCs w:val="28"/>
        </w:rPr>
      </w:pPr>
      <w:r w:rsidRPr="0017471F">
        <w:rPr>
          <w:rFonts w:asciiTheme="majorBidi" w:hAnsiTheme="majorBidi" w:cstheme="majorBidi"/>
          <w:b/>
          <w:bCs/>
          <w:sz w:val="24"/>
          <w:szCs w:val="24"/>
          <w:lang w:val="en-GB"/>
        </w:rPr>
        <w:t>References</w:t>
      </w:r>
    </w:p>
    <w:p w14:paraId="0FDBBBF4" w14:textId="1E9DEA7D" w:rsidR="00277913" w:rsidRPr="00277913" w:rsidRDefault="00A77DD6" w:rsidP="00277913">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17471F">
        <w:rPr>
          <w:rFonts w:asciiTheme="majorBidi" w:hAnsiTheme="majorBidi" w:cstheme="majorBidi"/>
          <w:sz w:val="24"/>
          <w:szCs w:val="24"/>
          <w:lang w:val="en-GB"/>
        </w:rPr>
        <w:fldChar w:fldCharType="begin" w:fldLock="1"/>
      </w:r>
      <w:r w:rsidRPr="0017471F">
        <w:rPr>
          <w:rFonts w:asciiTheme="majorBidi" w:hAnsiTheme="majorBidi" w:cstheme="majorBidi"/>
          <w:sz w:val="24"/>
          <w:szCs w:val="24"/>
          <w:lang w:val="en-GB"/>
        </w:rPr>
        <w:instrText xml:space="preserve">ADDIN Mendeley Bibliography CSL_BIBLIOGRAPHY </w:instrText>
      </w:r>
      <w:r w:rsidRPr="0017471F">
        <w:rPr>
          <w:rFonts w:asciiTheme="majorBidi" w:hAnsiTheme="majorBidi" w:cstheme="majorBidi"/>
          <w:sz w:val="24"/>
          <w:szCs w:val="24"/>
          <w:lang w:val="en-GB"/>
        </w:rPr>
        <w:fldChar w:fldCharType="separate"/>
      </w:r>
      <w:r w:rsidR="00277913" w:rsidRPr="00277913">
        <w:rPr>
          <w:rFonts w:ascii="Times New Roman" w:hAnsi="Times New Roman" w:cs="Times New Roman"/>
          <w:noProof/>
          <w:sz w:val="24"/>
          <w:szCs w:val="24"/>
        </w:rPr>
        <w:t xml:space="preserve">1. </w:t>
      </w:r>
      <w:r w:rsidR="00277913" w:rsidRPr="00277913">
        <w:rPr>
          <w:rFonts w:ascii="Times New Roman" w:hAnsi="Times New Roman" w:cs="Times New Roman"/>
          <w:noProof/>
          <w:sz w:val="24"/>
          <w:szCs w:val="24"/>
        </w:rPr>
        <w:tab/>
        <w:t xml:space="preserve">Forster R. Study designs for the nonclinical safety testing of new vaccine products. J Pharmacol Toxicol Methods. 2012 Jul;66(1):1–7. </w:t>
      </w:r>
    </w:p>
    <w:p w14:paraId="7BC63EA7" w14:textId="77777777" w:rsidR="00277913" w:rsidRPr="00277913" w:rsidRDefault="00277913" w:rsidP="00277913">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277913">
        <w:rPr>
          <w:rFonts w:ascii="Times New Roman" w:hAnsi="Times New Roman" w:cs="Times New Roman"/>
          <w:noProof/>
          <w:sz w:val="24"/>
          <w:szCs w:val="24"/>
        </w:rPr>
        <w:t xml:space="preserve">2. </w:t>
      </w:r>
      <w:r w:rsidRPr="00277913">
        <w:rPr>
          <w:rFonts w:ascii="Times New Roman" w:hAnsi="Times New Roman" w:cs="Times New Roman"/>
          <w:noProof/>
          <w:sz w:val="24"/>
          <w:szCs w:val="24"/>
        </w:rPr>
        <w:tab/>
        <w:t xml:space="preserve">Wang X, Zhao X, Song J, Wu J, Zhu Y, Li M, et al. Homologous or heterologous booster of inactivated vaccine reduces SARS-CoV-2 Omicron variant escape from neutralizing antibodies. Emerg Microbes Infect. 2022 Dec;11(1):477–81. </w:t>
      </w:r>
    </w:p>
    <w:p w14:paraId="7F5E83A7" w14:textId="77777777" w:rsidR="00277913" w:rsidRPr="00277913" w:rsidRDefault="00277913" w:rsidP="00277913">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277913">
        <w:rPr>
          <w:rFonts w:ascii="Times New Roman" w:hAnsi="Times New Roman" w:cs="Times New Roman"/>
          <w:noProof/>
          <w:sz w:val="24"/>
          <w:szCs w:val="24"/>
        </w:rPr>
        <w:t xml:space="preserve">3. </w:t>
      </w:r>
      <w:r w:rsidRPr="00277913">
        <w:rPr>
          <w:rFonts w:ascii="Times New Roman" w:hAnsi="Times New Roman" w:cs="Times New Roman"/>
          <w:noProof/>
          <w:sz w:val="24"/>
          <w:szCs w:val="24"/>
        </w:rPr>
        <w:tab/>
        <w:t>Abdoli A, Aalizadeh R, Aminianfar H, Kianmehr Z, Teimoori A, Azimi E, et al. Safety and potency of BIV1-CovIran inactivated vaccine candidate for SARS-CoV-2:  A preclinical study. Rev Med Virol [Internet]. 2022 May [cited 2022 Feb 9];32(3):e2305. Available from: https://pubmed.ncbi.nlm.nih.gov/34699647/</w:t>
      </w:r>
    </w:p>
    <w:p w14:paraId="67ED8897" w14:textId="77777777" w:rsidR="00277913" w:rsidRPr="00277913" w:rsidRDefault="00277913" w:rsidP="00277913">
      <w:pPr>
        <w:widowControl w:val="0"/>
        <w:autoSpaceDE w:val="0"/>
        <w:autoSpaceDN w:val="0"/>
        <w:adjustRightInd w:val="0"/>
        <w:spacing w:after="0" w:line="480" w:lineRule="auto"/>
        <w:ind w:left="640" w:hanging="640"/>
        <w:rPr>
          <w:rFonts w:ascii="Times New Roman" w:hAnsi="Times New Roman" w:cs="Times New Roman"/>
          <w:noProof/>
          <w:sz w:val="24"/>
        </w:rPr>
      </w:pPr>
      <w:r w:rsidRPr="00277913">
        <w:rPr>
          <w:rFonts w:ascii="Times New Roman" w:hAnsi="Times New Roman" w:cs="Times New Roman"/>
          <w:noProof/>
          <w:sz w:val="24"/>
          <w:szCs w:val="24"/>
        </w:rPr>
        <w:t xml:space="preserve">4. </w:t>
      </w:r>
      <w:r w:rsidRPr="00277913">
        <w:rPr>
          <w:rFonts w:ascii="Times New Roman" w:hAnsi="Times New Roman" w:cs="Times New Roman"/>
          <w:noProof/>
          <w:sz w:val="24"/>
          <w:szCs w:val="24"/>
        </w:rPr>
        <w:tab/>
        <w:t xml:space="preserve">Wang H, Zhang Y, Huang B, Deng W, Quan Y, Wang W, et al. Development of an </w:t>
      </w:r>
      <w:r w:rsidRPr="00277913">
        <w:rPr>
          <w:rFonts w:ascii="Times New Roman" w:hAnsi="Times New Roman" w:cs="Times New Roman"/>
          <w:noProof/>
          <w:sz w:val="24"/>
          <w:szCs w:val="24"/>
        </w:rPr>
        <w:lastRenderedPageBreak/>
        <w:t xml:space="preserve">Inactivated Vaccine Candidate, BBIBP-CorV, with Potent Protection against SARS-CoV-2. Cell. 2020 Aug;182(3):713-721.e9. </w:t>
      </w:r>
    </w:p>
    <w:p w14:paraId="7E9DFF96" w14:textId="51FABC6F" w:rsidR="00917E87" w:rsidRPr="0017471F" w:rsidRDefault="00A77DD6" w:rsidP="007237CB">
      <w:pPr>
        <w:pStyle w:val="Heading1"/>
        <w:rPr>
          <w:lang w:val="en-GB"/>
        </w:rPr>
      </w:pPr>
      <w:r w:rsidRPr="0017471F">
        <w:rPr>
          <w:lang w:val="en-GB"/>
        </w:rPr>
        <w:fldChar w:fldCharType="end"/>
      </w:r>
    </w:p>
    <w:sectPr w:rsidR="00917E87" w:rsidRPr="0017471F" w:rsidSect="001C558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0D13A4" w14:textId="77777777" w:rsidR="00E66FA6" w:rsidRDefault="00E66FA6" w:rsidP="00CB646A">
      <w:pPr>
        <w:spacing w:after="0" w:line="240" w:lineRule="auto"/>
      </w:pPr>
      <w:r>
        <w:separator/>
      </w:r>
    </w:p>
  </w:endnote>
  <w:endnote w:type="continuationSeparator" w:id="0">
    <w:p w14:paraId="48BE1814" w14:textId="77777777" w:rsidR="00E66FA6" w:rsidRDefault="00E66FA6" w:rsidP="00CB646A">
      <w:pPr>
        <w:spacing w:after="0" w:line="240" w:lineRule="auto"/>
      </w:pPr>
      <w:r>
        <w:continuationSeparator/>
      </w:r>
    </w:p>
  </w:endnote>
  <w:endnote w:type="continuationNotice" w:id="1">
    <w:p w14:paraId="24CE23D5" w14:textId="77777777" w:rsidR="00E66FA6" w:rsidRDefault="00E66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4078575"/>
      <w:docPartObj>
        <w:docPartGallery w:val="Page Numbers (Bottom of Page)"/>
        <w:docPartUnique/>
      </w:docPartObj>
    </w:sdtPr>
    <w:sdtEndPr>
      <w:rPr>
        <w:noProof/>
      </w:rPr>
    </w:sdtEndPr>
    <w:sdtContent>
      <w:p w14:paraId="1420D656" w14:textId="5F1CDF73" w:rsidR="009F404D" w:rsidRDefault="009F404D">
        <w:pPr>
          <w:pStyle w:val="Footer"/>
          <w:jc w:val="center"/>
        </w:pPr>
        <w:r>
          <w:fldChar w:fldCharType="begin"/>
        </w:r>
        <w:r>
          <w:instrText xml:space="preserve"> PAGE   \* MERGEFORMAT </w:instrText>
        </w:r>
        <w:r>
          <w:fldChar w:fldCharType="separate"/>
        </w:r>
        <w:r w:rsidR="009119E4">
          <w:rPr>
            <w:noProof/>
          </w:rPr>
          <w:t>2</w:t>
        </w:r>
        <w:r>
          <w:rPr>
            <w:noProof/>
          </w:rPr>
          <w:fldChar w:fldCharType="end"/>
        </w:r>
      </w:p>
    </w:sdtContent>
  </w:sdt>
  <w:p w14:paraId="464A0E6F" w14:textId="77777777" w:rsidR="009F404D" w:rsidRDefault="009F40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46524D" w14:textId="77777777" w:rsidR="00E66FA6" w:rsidRDefault="00E66FA6" w:rsidP="00CB646A">
      <w:pPr>
        <w:spacing w:after="0" w:line="240" w:lineRule="auto"/>
      </w:pPr>
      <w:r>
        <w:separator/>
      </w:r>
    </w:p>
  </w:footnote>
  <w:footnote w:type="continuationSeparator" w:id="0">
    <w:p w14:paraId="2677F8E5" w14:textId="77777777" w:rsidR="00E66FA6" w:rsidRDefault="00E66FA6" w:rsidP="00CB646A">
      <w:pPr>
        <w:spacing w:after="0" w:line="240" w:lineRule="auto"/>
      </w:pPr>
      <w:r>
        <w:continuationSeparator/>
      </w:r>
    </w:p>
  </w:footnote>
  <w:footnote w:type="continuationNotice" w:id="1">
    <w:p w14:paraId="4894AA52" w14:textId="77777777" w:rsidR="00E66FA6" w:rsidRDefault="00E66FA6">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3F0CEC"/>
    <w:multiLevelType w:val="hybridMultilevel"/>
    <w:tmpl w:val="59BE4B4C"/>
    <w:lvl w:ilvl="0" w:tplc="7D129194">
      <w:start w:val="14"/>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357660"/>
    <w:multiLevelType w:val="hybridMultilevel"/>
    <w:tmpl w:val="36C81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EB524F"/>
    <w:multiLevelType w:val="hybridMultilevel"/>
    <w:tmpl w:val="AC527000"/>
    <w:lvl w:ilvl="0" w:tplc="B3AA2B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DAwtzAzNDM1NrMwNrFU0lEKTi0uzszPAykwqwUABy1RJywAAAA="/>
  </w:docVars>
  <w:rsids>
    <w:rsidRoot w:val="007062E3"/>
    <w:rsid w:val="0000246D"/>
    <w:rsid w:val="0000339C"/>
    <w:rsid w:val="000035E4"/>
    <w:rsid w:val="00005CB0"/>
    <w:rsid w:val="00007C27"/>
    <w:rsid w:val="000157B3"/>
    <w:rsid w:val="00020FDF"/>
    <w:rsid w:val="0002102E"/>
    <w:rsid w:val="0002749B"/>
    <w:rsid w:val="00030F1D"/>
    <w:rsid w:val="00033D33"/>
    <w:rsid w:val="000343F4"/>
    <w:rsid w:val="0003692C"/>
    <w:rsid w:val="0004621B"/>
    <w:rsid w:val="00046D30"/>
    <w:rsid w:val="000521BE"/>
    <w:rsid w:val="000528C9"/>
    <w:rsid w:val="000613FB"/>
    <w:rsid w:val="000728FE"/>
    <w:rsid w:val="00073AAE"/>
    <w:rsid w:val="00090A5F"/>
    <w:rsid w:val="00093146"/>
    <w:rsid w:val="00094BA6"/>
    <w:rsid w:val="00095296"/>
    <w:rsid w:val="00095794"/>
    <w:rsid w:val="000A253D"/>
    <w:rsid w:val="000A3486"/>
    <w:rsid w:val="000B52C4"/>
    <w:rsid w:val="000B7403"/>
    <w:rsid w:val="000D12FD"/>
    <w:rsid w:val="000D1E23"/>
    <w:rsid w:val="000D3355"/>
    <w:rsid w:val="000D5499"/>
    <w:rsid w:val="000D6B81"/>
    <w:rsid w:val="000E1936"/>
    <w:rsid w:val="000E2898"/>
    <w:rsid w:val="000E531C"/>
    <w:rsid w:val="000E7904"/>
    <w:rsid w:val="000F4763"/>
    <w:rsid w:val="00100101"/>
    <w:rsid w:val="001007F1"/>
    <w:rsid w:val="00103868"/>
    <w:rsid w:val="00105A69"/>
    <w:rsid w:val="00114A49"/>
    <w:rsid w:val="00121828"/>
    <w:rsid w:val="00122D67"/>
    <w:rsid w:val="00123205"/>
    <w:rsid w:val="00125826"/>
    <w:rsid w:val="00127487"/>
    <w:rsid w:val="00130FDA"/>
    <w:rsid w:val="0013226A"/>
    <w:rsid w:val="00150B67"/>
    <w:rsid w:val="00160542"/>
    <w:rsid w:val="001609D4"/>
    <w:rsid w:val="00162064"/>
    <w:rsid w:val="001714C6"/>
    <w:rsid w:val="001729E6"/>
    <w:rsid w:val="0017471F"/>
    <w:rsid w:val="00176BD2"/>
    <w:rsid w:val="00181860"/>
    <w:rsid w:val="00191747"/>
    <w:rsid w:val="00191F70"/>
    <w:rsid w:val="001941F8"/>
    <w:rsid w:val="00194F02"/>
    <w:rsid w:val="001A10A1"/>
    <w:rsid w:val="001A2CBD"/>
    <w:rsid w:val="001A4AD9"/>
    <w:rsid w:val="001B5361"/>
    <w:rsid w:val="001C089C"/>
    <w:rsid w:val="001C10FA"/>
    <w:rsid w:val="001C1EA3"/>
    <w:rsid w:val="001C4234"/>
    <w:rsid w:val="001C47EA"/>
    <w:rsid w:val="001C558E"/>
    <w:rsid w:val="001D0386"/>
    <w:rsid w:val="001D04C1"/>
    <w:rsid w:val="001D7DC9"/>
    <w:rsid w:val="001E24EB"/>
    <w:rsid w:val="001E57F6"/>
    <w:rsid w:val="001E72E2"/>
    <w:rsid w:val="001F04E5"/>
    <w:rsid w:val="002016B2"/>
    <w:rsid w:val="00201B74"/>
    <w:rsid w:val="0020464F"/>
    <w:rsid w:val="00212E99"/>
    <w:rsid w:val="00213030"/>
    <w:rsid w:val="0022423B"/>
    <w:rsid w:val="00224618"/>
    <w:rsid w:val="00224851"/>
    <w:rsid w:val="00225011"/>
    <w:rsid w:val="0023010D"/>
    <w:rsid w:val="00235395"/>
    <w:rsid w:val="002370A7"/>
    <w:rsid w:val="00241FF0"/>
    <w:rsid w:val="002424DF"/>
    <w:rsid w:val="002432DB"/>
    <w:rsid w:val="00246CFA"/>
    <w:rsid w:val="00250904"/>
    <w:rsid w:val="002523B2"/>
    <w:rsid w:val="002552EA"/>
    <w:rsid w:val="00256DC7"/>
    <w:rsid w:val="00261B3D"/>
    <w:rsid w:val="00262E7C"/>
    <w:rsid w:val="0026373B"/>
    <w:rsid w:val="002679A6"/>
    <w:rsid w:val="00277913"/>
    <w:rsid w:val="002873F1"/>
    <w:rsid w:val="00287584"/>
    <w:rsid w:val="002A2895"/>
    <w:rsid w:val="002A3B95"/>
    <w:rsid w:val="002A5EEF"/>
    <w:rsid w:val="002B047F"/>
    <w:rsid w:val="002B358A"/>
    <w:rsid w:val="002B6399"/>
    <w:rsid w:val="002C29D1"/>
    <w:rsid w:val="002C2CB3"/>
    <w:rsid w:val="002C4892"/>
    <w:rsid w:val="002C7DAF"/>
    <w:rsid w:val="002D4EDF"/>
    <w:rsid w:val="002E4FD0"/>
    <w:rsid w:val="002E6800"/>
    <w:rsid w:val="002F05A8"/>
    <w:rsid w:val="002F632C"/>
    <w:rsid w:val="002F6F50"/>
    <w:rsid w:val="00303AEB"/>
    <w:rsid w:val="00303F62"/>
    <w:rsid w:val="003134DA"/>
    <w:rsid w:val="00314EBB"/>
    <w:rsid w:val="003151E8"/>
    <w:rsid w:val="0031586B"/>
    <w:rsid w:val="0031709E"/>
    <w:rsid w:val="0032181D"/>
    <w:rsid w:val="00324F7D"/>
    <w:rsid w:val="0032610E"/>
    <w:rsid w:val="00334C4A"/>
    <w:rsid w:val="00337005"/>
    <w:rsid w:val="00340125"/>
    <w:rsid w:val="00341AF7"/>
    <w:rsid w:val="003477FE"/>
    <w:rsid w:val="00356552"/>
    <w:rsid w:val="00357CE5"/>
    <w:rsid w:val="003607EF"/>
    <w:rsid w:val="00365C61"/>
    <w:rsid w:val="00367411"/>
    <w:rsid w:val="003679B7"/>
    <w:rsid w:val="00367C14"/>
    <w:rsid w:val="00380DC4"/>
    <w:rsid w:val="00383160"/>
    <w:rsid w:val="00390AD9"/>
    <w:rsid w:val="003952B7"/>
    <w:rsid w:val="00397CAD"/>
    <w:rsid w:val="003A1A22"/>
    <w:rsid w:val="003A24D4"/>
    <w:rsid w:val="003A5B94"/>
    <w:rsid w:val="003A63F2"/>
    <w:rsid w:val="003A69E8"/>
    <w:rsid w:val="003B022F"/>
    <w:rsid w:val="003B23D6"/>
    <w:rsid w:val="003B70C1"/>
    <w:rsid w:val="003C0471"/>
    <w:rsid w:val="003C4FCB"/>
    <w:rsid w:val="003D3729"/>
    <w:rsid w:val="003E2899"/>
    <w:rsid w:val="003E33D5"/>
    <w:rsid w:val="003E7AA7"/>
    <w:rsid w:val="003F5A58"/>
    <w:rsid w:val="00400D37"/>
    <w:rsid w:val="00402110"/>
    <w:rsid w:val="00404FBD"/>
    <w:rsid w:val="004131FA"/>
    <w:rsid w:val="004160E2"/>
    <w:rsid w:val="00416CCF"/>
    <w:rsid w:val="00416D55"/>
    <w:rsid w:val="00426E8F"/>
    <w:rsid w:val="00441ED5"/>
    <w:rsid w:val="00441F73"/>
    <w:rsid w:val="004430AA"/>
    <w:rsid w:val="00444272"/>
    <w:rsid w:val="00445AFE"/>
    <w:rsid w:val="00447F0C"/>
    <w:rsid w:val="00453EC3"/>
    <w:rsid w:val="00454678"/>
    <w:rsid w:val="004556A6"/>
    <w:rsid w:val="00456C48"/>
    <w:rsid w:val="004644C5"/>
    <w:rsid w:val="00464E38"/>
    <w:rsid w:val="00465AC8"/>
    <w:rsid w:val="00470510"/>
    <w:rsid w:val="00471F85"/>
    <w:rsid w:val="0048621D"/>
    <w:rsid w:val="00486801"/>
    <w:rsid w:val="004873EA"/>
    <w:rsid w:val="00490239"/>
    <w:rsid w:val="0049349F"/>
    <w:rsid w:val="004A25EB"/>
    <w:rsid w:val="004A29E4"/>
    <w:rsid w:val="004C24E4"/>
    <w:rsid w:val="004C2ACD"/>
    <w:rsid w:val="004C7814"/>
    <w:rsid w:val="004D0D6E"/>
    <w:rsid w:val="004D62ED"/>
    <w:rsid w:val="004D7B38"/>
    <w:rsid w:val="004E381E"/>
    <w:rsid w:val="004E4089"/>
    <w:rsid w:val="004E7220"/>
    <w:rsid w:val="004F2917"/>
    <w:rsid w:val="004F382A"/>
    <w:rsid w:val="004F50A0"/>
    <w:rsid w:val="004F798F"/>
    <w:rsid w:val="00500226"/>
    <w:rsid w:val="0050432D"/>
    <w:rsid w:val="00506AA9"/>
    <w:rsid w:val="00514C5F"/>
    <w:rsid w:val="00515699"/>
    <w:rsid w:val="00517298"/>
    <w:rsid w:val="00523557"/>
    <w:rsid w:val="005246A3"/>
    <w:rsid w:val="00524885"/>
    <w:rsid w:val="00540280"/>
    <w:rsid w:val="0054718F"/>
    <w:rsid w:val="00554AC0"/>
    <w:rsid w:val="00555BBA"/>
    <w:rsid w:val="00555C74"/>
    <w:rsid w:val="005607F2"/>
    <w:rsid w:val="00561D3A"/>
    <w:rsid w:val="005665AD"/>
    <w:rsid w:val="00570592"/>
    <w:rsid w:val="00574AF4"/>
    <w:rsid w:val="00574EF7"/>
    <w:rsid w:val="0057716F"/>
    <w:rsid w:val="00581039"/>
    <w:rsid w:val="0058169F"/>
    <w:rsid w:val="005822FF"/>
    <w:rsid w:val="00583CCB"/>
    <w:rsid w:val="0059404A"/>
    <w:rsid w:val="005953E4"/>
    <w:rsid w:val="00596DD3"/>
    <w:rsid w:val="005973F6"/>
    <w:rsid w:val="005A2D39"/>
    <w:rsid w:val="005A43A6"/>
    <w:rsid w:val="005A5446"/>
    <w:rsid w:val="005A5DF7"/>
    <w:rsid w:val="005A632D"/>
    <w:rsid w:val="005A6B93"/>
    <w:rsid w:val="005B081F"/>
    <w:rsid w:val="005B2088"/>
    <w:rsid w:val="005B2B34"/>
    <w:rsid w:val="005B755C"/>
    <w:rsid w:val="005C10F6"/>
    <w:rsid w:val="005D00D0"/>
    <w:rsid w:val="005D1C83"/>
    <w:rsid w:val="005D778D"/>
    <w:rsid w:val="005E38A0"/>
    <w:rsid w:val="005E4035"/>
    <w:rsid w:val="005E53C5"/>
    <w:rsid w:val="005F0371"/>
    <w:rsid w:val="005F2F46"/>
    <w:rsid w:val="005F43E5"/>
    <w:rsid w:val="00600021"/>
    <w:rsid w:val="006029E1"/>
    <w:rsid w:val="00602FBF"/>
    <w:rsid w:val="0060394D"/>
    <w:rsid w:val="006056ED"/>
    <w:rsid w:val="006118EF"/>
    <w:rsid w:val="0061247F"/>
    <w:rsid w:val="00614607"/>
    <w:rsid w:val="00624E01"/>
    <w:rsid w:val="00627F4B"/>
    <w:rsid w:val="00630B6E"/>
    <w:rsid w:val="006353B1"/>
    <w:rsid w:val="00640F73"/>
    <w:rsid w:val="00644B37"/>
    <w:rsid w:val="00644B69"/>
    <w:rsid w:val="00644CE8"/>
    <w:rsid w:val="00644EAF"/>
    <w:rsid w:val="00652694"/>
    <w:rsid w:val="00654048"/>
    <w:rsid w:val="00661F4D"/>
    <w:rsid w:val="00672C97"/>
    <w:rsid w:val="00675F51"/>
    <w:rsid w:val="006811C5"/>
    <w:rsid w:val="006815F3"/>
    <w:rsid w:val="006835F0"/>
    <w:rsid w:val="00683899"/>
    <w:rsid w:val="00686A26"/>
    <w:rsid w:val="00690A94"/>
    <w:rsid w:val="006916D1"/>
    <w:rsid w:val="00691921"/>
    <w:rsid w:val="006A5CF8"/>
    <w:rsid w:val="006A6C04"/>
    <w:rsid w:val="006A70E0"/>
    <w:rsid w:val="006C231E"/>
    <w:rsid w:val="006C5B6C"/>
    <w:rsid w:val="006C6682"/>
    <w:rsid w:val="006C6BC7"/>
    <w:rsid w:val="006C7C4D"/>
    <w:rsid w:val="006D0E01"/>
    <w:rsid w:val="006D13E4"/>
    <w:rsid w:val="006D3E3A"/>
    <w:rsid w:val="006E092C"/>
    <w:rsid w:val="006E4F5D"/>
    <w:rsid w:val="006F4035"/>
    <w:rsid w:val="006F49C8"/>
    <w:rsid w:val="006F605B"/>
    <w:rsid w:val="00702AEC"/>
    <w:rsid w:val="00705FB4"/>
    <w:rsid w:val="007062E3"/>
    <w:rsid w:val="00717712"/>
    <w:rsid w:val="00720004"/>
    <w:rsid w:val="007237CB"/>
    <w:rsid w:val="00723B54"/>
    <w:rsid w:val="00724C17"/>
    <w:rsid w:val="00727E31"/>
    <w:rsid w:val="0073065A"/>
    <w:rsid w:val="00734ABF"/>
    <w:rsid w:val="00734B51"/>
    <w:rsid w:val="00736859"/>
    <w:rsid w:val="00736AF1"/>
    <w:rsid w:val="0074194B"/>
    <w:rsid w:val="00741A39"/>
    <w:rsid w:val="0075198B"/>
    <w:rsid w:val="00760DB0"/>
    <w:rsid w:val="007626C5"/>
    <w:rsid w:val="007631DF"/>
    <w:rsid w:val="00766565"/>
    <w:rsid w:val="007667EF"/>
    <w:rsid w:val="00772671"/>
    <w:rsid w:val="00773C93"/>
    <w:rsid w:val="0077621C"/>
    <w:rsid w:val="007764FD"/>
    <w:rsid w:val="007805B2"/>
    <w:rsid w:val="00782181"/>
    <w:rsid w:val="00787D30"/>
    <w:rsid w:val="007929C8"/>
    <w:rsid w:val="00792B13"/>
    <w:rsid w:val="00795EF7"/>
    <w:rsid w:val="0079776B"/>
    <w:rsid w:val="007A05DF"/>
    <w:rsid w:val="007A464E"/>
    <w:rsid w:val="007A58CA"/>
    <w:rsid w:val="007A69EF"/>
    <w:rsid w:val="007B0272"/>
    <w:rsid w:val="007B0D40"/>
    <w:rsid w:val="007B3664"/>
    <w:rsid w:val="007C0A8C"/>
    <w:rsid w:val="007C3638"/>
    <w:rsid w:val="007C4181"/>
    <w:rsid w:val="007C7382"/>
    <w:rsid w:val="007D68C0"/>
    <w:rsid w:val="007E1B2B"/>
    <w:rsid w:val="007E61C6"/>
    <w:rsid w:val="007F3041"/>
    <w:rsid w:val="007F358C"/>
    <w:rsid w:val="007F79F4"/>
    <w:rsid w:val="00801493"/>
    <w:rsid w:val="00801A5F"/>
    <w:rsid w:val="0080343B"/>
    <w:rsid w:val="0080354E"/>
    <w:rsid w:val="0080459A"/>
    <w:rsid w:val="00805FAB"/>
    <w:rsid w:val="00811394"/>
    <w:rsid w:val="008128A8"/>
    <w:rsid w:val="00812DCC"/>
    <w:rsid w:val="0081709B"/>
    <w:rsid w:val="00817144"/>
    <w:rsid w:val="008303DD"/>
    <w:rsid w:val="00832581"/>
    <w:rsid w:val="0083631E"/>
    <w:rsid w:val="00840E87"/>
    <w:rsid w:val="00841026"/>
    <w:rsid w:val="008447DE"/>
    <w:rsid w:val="008450F3"/>
    <w:rsid w:val="00847C7A"/>
    <w:rsid w:val="0085040E"/>
    <w:rsid w:val="00855F9B"/>
    <w:rsid w:val="00864BA6"/>
    <w:rsid w:val="00864CCB"/>
    <w:rsid w:val="008672D9"/>
    <w:rsid w:val="00873CDC"/>
    <w:rsid w:val="00876B47"/>
    <w:rsid w:val="008815BC"/>
    <w:rsid w:val="0088259B"/>
    <w:rsid w:val="00884727"/>
    <w:rsid w:val="008850A6"/>
    <w:rsid w:val="00891C0F"/>
    <w:rsid w:val="00892585"/>
    <w:rsid w:val="008932A0"/>
    <w:rsid w:val="0089379C"/>
    <w:rsid w:val="008A5111"/>
    <w:rsid w:val="008A5AAE"/>
    <w:rsid w:val="008C3B91"/>
    <w:rsid w:val="008D4C23"/>
    <w:rsid w:val="008E0593"/>
    <w:rsid w:val="008E3718"/>
    <w:rsid w:val="008E55C5"/>
    <w:rsid w:val="008E7DE4"/>
    <w:rsid w:val="008F5B17"/>
    <w:rsid w:val="009043DA"/>
    <w:rsid w:val="00904B35"/>
    <w:rsid w:val="00904F35"/>
    <w:rsid w:val="00905CFE"/>
    <w:rsid w:val="009061FA"/>
    <w:rsid w:val="009119E4"/>
    <w:rsid w:val="00915ADE"/>
    <w:rsid w:val="00916117"/>
    <w:rsid w:val="00917E87"/>
    <w:rsid w:val="00920A65"/>
    <w:rsid w:val="00930081"/>
    <w:rsid w:val="009302D6"/>
    <w:rsid w:val="00932449"/>
    <w:rsid w:val="00936564"/>
    <w:rsid w:val="00936B37"/>
    <w:rsid w:val="00941215"/>
    <w:rsid w:val="00941362"/>
    <w:rsid w:val="009441AC"/>
    <w:rsid w:val="00950DFA"/>
    <w:rsid w:val="00955A21"/>
    <w:rsid w:val="00971980"/>
    <w:rsid w:val="00971F80"/>
    <w:rsid w:val="009730C6"/>
    <w:rsid w:val="00973AF8"/>
    <w:rsid w:val="0097658E"/>
    <w:rsid w:val="00976B20"/>
    <w:rsid w:val="00991435"/>
    <w:rsid w:val="00993A5A"/>
    <w:rsid w:val="00994C63"/>
    <w:rsid w:val="0099641E"/>
    <w:rsid w:val="00996BCC"/>
    <w:rsid w:val="009A7107"/>
    <w:rsid w:val="009B1A50"/>
    <w:rsid w:val="009B33EA"/>
    <w:rsid w:val="009B47EF"/>
    <w:rsid w:val="009B49E9"/>
    <w:rsid w:val="009B4C19"/>
    <w:rsid w:val="009B7D31"/>
    <w:rsid w:val="009C64AF"/>
    <w:rsid w:val="009D0186"/>
    <w:rsid w:val="009D5465"/>
    <w:rsid w:val="009E5819"/>
    <w:rsid w:val="009E610B"/>
    <w:rsid w:val="009F2A05"/>
    <w:rsid w:val="009F2D69"/>
    <w:rsid w:val="009F404D"/>
    <w:rsid w:val="009F6882"/>
    <w:rsid w:val="00A015C5"/>
    <w:rsid w:val="00A01C1B"/>
    <w:rsid w:val="00A033BB"/>
    <w:rsid w:val="00A13E60"/>
    <w:rsid w:val="00A162DD"/>
    <w:rsid w:val="00A23AF1"/>
    <w:rsid w:val="00A25602"/>
    <w:rsid w:val="00A25EC7"/>
    <w:rsid w:val="00A3650B"/>
    <w:rsid w:val="00A50826"/>
    <w:rsid w:val="00A52FF9"/>
    <w:rsid w:val="00A57B09"/>
    <w:rsid w:val="00A62211"/>
    <w:rsid w:val="00A65E98"/>
    <w:rsid w:val="00A661F2"/>
    <w:rsid w:val="00A676DD"/>
    <w:rsid w:val="00A72195"/>
    <w:rsid w:val="00A728B9"/>
    <w:rsid w:val="00A729A5"/>
    <w:rsid w:val="00A73E52"/>
    <w:rsid w:val="00A75A03"/>
    <w:rsid w:val="00A76738"/>
    <w:rsid w:val="00A77DD6"/>
    <w:rsid w:val="00A827FD"/>
    <w:rsid w:val="00A82EE4"/>
    <w:rsid w:val="00A873D8"/>
    <w:rsid w:val="00A94956"/>
    <w:rsid w:val="00A97E42"/>
    <w:rsid w:val="00AA0C2B"/>
    <w:rsid w:val="00AA342E"/>
    <w:rsid w:val="00AA343E"/>
    <w:rsid w:val="00AB2EF8"/>
    <w:rsid w:val="00AB3E08"/>
    <w:rsid w:val="00AC4C2B"/>
    <w:rsid w:val="00AC57AC"/>
    <w:rsid w:val="00AD0471"/>
    <w:rsid w:val="00AD4112"/>
    <w:rsid w:val="00AE4530"/>
    <w:rsid w:val="00AE6396"/>
    <w:rsid w:val="00AF1F63"/>
    <w:rsid w:val="00AF3101"/>
    <w:rsid w:val="00AF4407"/>
    <w:rsid w:val="00B04B13"/>
    <w:rsid w:val="00B11FA6"/>
    <w:rsid w:val="00B12147"/>
    <w:rsid w:val="00B213A9"/>
    <w:rsid w:val="00B36793"/>
    <w:rsid w:val="00B37E46"/>
    <w:rsid w:val="00B4000D"/>
    <w:rsid w:val="00B40A92"/>
    <w:rsid w:val="00B4364C"/>
    <w:rsid w:val="00B51D73"/>
    <w:rsid w:val="00B6385E"/>
    <w:rsid w:val="00B656CD"/>
    <w:rsid w:val="00B65D68"/>
    <w:rsid w:val="00B673CB"/>
    <w:rsid w:val="00B73247"/>
    <w:rsid w:val="00B7523B"/>
    <w:rsid w:val="00B75244"/>
    <w:rsid w:val="00B77A14"/>
    <w:rsid w:val="00B83B56"/>
    <w:rsid w:val="00B87603"/>
    <w:rsid w:val="00B925BD"/>
    <w:rsid w:val="00B94F88"/>
    <w:rsid w:val="00BB152B"/>
    <w:rsid w:val="00BB24E2"/>
    <w:rsid w:val="00BB3DC7"/>
    <w:rsid w:val="00BC0219"/>
    <w:rsid w:val="00BC116C"/>
    <w:rsid w:val="00BC2180"/>
    <w:rsid w:val="00BC2A80"/>
    <w:rsid w:val="00BC2D20"/>
    <w:rsid w:val="00BC4F46"/>
    <w:rsid w:val="00BD0DFF"/>
    <w:rsid w:val="00BD3B9B"/>
    <w:rsid w:val="00BD5026"/>
    <w:rsid w:val="00BD7785"/>
    <w:rsid w:val="00BE3599"/>
    <w:rsid w:val="00BE4BA5"/>
    <w:rsid w:val="00BE72B1"/>
    <w:rsid w:val="00BE7CAA"/>
    <w:rsid w:val="00BF73FE"/>
    <w:rsid w:val="00C01A61"/>
    <w:rsid w:val="00C049A3"/>
    <w:rsid w:val="00C17FF7"/>
    <w:rsid w:val="00C258F8"/>
    <w:rsid w:val="00C30D47"/>
    <w:rsid w:val="00C31720"/>
    <w:rsid w:val="00C31C23"/>
    <w:rsid w:val="00C41842"/>
    <w:rsid w:val="00C469B7"/>
    <w:rsid w:val="00C46F32"/>
    <w:rsid w:val="00C47B62"/>
    <w:rsid w:val="00C50F69"/>
    <w:rsid w:val="00C5285F"/>
    <w:rsid w:val="00C52E0D"/>
    <w:rsid w:val="00C54C95"/>
    <w:rsid w:val="00C63760"/>
    <w:rsid w:val="00C63F81"/>
    <w:rsid w:val="00C6595D"/>
    <w:rsid w:val="00C66355"/>
    <w:rsid w:val="00C73ABD"/>
    <w:rsid w:val="00C75DA1"/>
    <w:rsid w:val="00C77249"/>
    <w:rsid w:val="00C86127"/>
    <w:rsid w:val="00C86AA0"/>
    <w:rsid w:val="00C877E2"/>
    <w:rsid w:val="00CA2286"/>
    <w:rsid w:val="00CA6C21"/>
    <w:rsid w:val="00CA7F00"/>
    <w:rsid w:val="00CB3670"/>
    <w:rsid w:val="00CB49CC"/>
    <w:rsid w:val="00CB4D02"/>
    <w:rsid w:val="00CB56C0"/>
    <w:rsid w:val="00CB646A"/>
    <w:rsid w:val="00CC1B73"/>
    <w:rsid w:val="00CC455D"/>
    <w:rsid w:val="00CD2479"/>
    <w:rsid w:val="00CE004F"/>
    <w:rsid w:val="00CE56AA"/>
    <w:rsid w:val="00CF1A77"/>
    <w:rsid w:val="00CF1AAB"/>
    <w:rsid w:val="00CF3B9F"/>
    <w:rsid w:val="00D02D91"/>
    <w:rsid w:val="00D04B77"/>
    <w:rsid w:val="00D05784"/>
    <w:rsid w:val="00D0679C"/>
    <w:rsid w:val="00D1113D"/>
    <w:rsid w:val="00D219BD"/>
    <w:rsid w:val="00D23BE6"/>
    <w:rsid w:val="00D26269"/>
    <w:rsid w:val="00D26F3F"/>
    <w:rsid w:val="00D276BB"/>
    <w:rsid w:val="00D31A06"/>
    <w:rsid w:val="00D33DB2"/>
    <w:rsid w:val="00D362BD"/>
    <w:rsid w:val="00D42465"/>
    <w:rsid w:val="00D4571F"/>
    <w:rsid w:val="00D46703"/>
    <w:rsid w:val="00D50036"/>
    <w:rsid w:val="00D50AED"/>
    <w:rsid w:val="00D54241"/>
    <w:rsid w:val="00D60D19"/>
    <w:rsid w:val="00D64D72"/>
    <w:rsid w:val="00D64F33"/>
    <w:rsid w:val="00D67FEC"/>
    <w:rsid w:val="00D71A5E"/>
    <w:rsid w:val="00D7306F"/>
    <w:rsid w:val="00D75E90"/>
    <w:rsid w:val="00D77CF8"/>
    <w:rsid w:val="00D83FBB"/>
    <w:rsid w:val="00D97CA1"/>
    <w:rsid w:val="00DA2906"/>
    <w:rsid w:val="00DA3898"/>
    <w:rsid w:val="00DB11B1"/>
    <w:rsid w:val="00DC04D5"/>
    <w:rsid w:val="00DC2732"/>
    <w:rsid w:val="00DC3D0B"/>
    <w:rsid w:val="00DC3FFC"/>
    <w:rsid w:val="00DC52C8"/>
    <w:rsid w:val="00DC7A0D"/>
    <w:rsid w:val="00DD52FF"/>
    <w:rsid w:val="00E00EF3"/>
    <w:rsid w:val="00E01C15"/>
    <w:rsid w:val="00E032EC"/>
    <w:rsid w:val="00E100F1"/>
    <w:rsid w:val="00E10F40"/>
    <w:rsid w:val="00E120A5"/>
    <w:rsid w:val="00E1735A"/>
    <w:rsid w:val="00E22755"/>
    <w:rsid w:val="00E24BAF"/>
    <w:rsid w:val="00E25ABB"/>
    <w:rsid w:val="00E26EFD"/>
    <w:rsid w:val="00E32E0E"/>
    <w:rsid w:val="00E402AC"/>
    <w:rsid w:val="00E40C80"/>
    <w:rsid w:val="00E430B3"/>
    <w:rsid w:val="00E43DD0"/>
    <w:rsid w:val="00E467BC"/>
    <w:rsid w:val="00E50963"/>
    <w:rsid w:val="00E52808"/>
    <w:rsid w:val="00E6201B"/>
    <w:rsid w:val="00E62497"/>
    <w:rsid w:val="00E6361C"/>
    <w:rsid w:val="00E64FB4"/>
    <w:rsid w:val="00E66FA6"/>
    <w:rsid w:val="00E776F4"/>
    <w:rsid w:val="00E77B07"/>
    <w:rsid w:val="00E802A0"/>
    <w:rsid w:val="00E80F87"/>
    <w:rsid w:val="00E86FC1"/>
    <w:rsid w:val="00E96236"/>
    <w:rsid w:val="00E96910"/>
    <w:rsid w:val="00E97801"/>
    <w:rsid w:val="00EA0CB8"/>
    <w:rsid w:val="00EA1F84"/>
    <w:rsid w:val="00EA2B67"/>
    <w:rsid w:val="00EB1601"/>
    <w:rsid w:val="00EB1D2B"/>
    <w:rsid w:val="00EB23E4"/>
    <w:rsid w:val="00EB24A1"/>
    <w:rsid w:val="00EB25F5"/>
    <w:rsid w:val="00EB2BEA"/>
    <w:rsid w:val="00EB3D04"/>
    <w:rsid w:val="00EC4A02"/>
    <w:rsid w:val="00EC4B45"/>
    <w:rsid w:val="00EC6197"/>
    <w:rsid w:val="00EE30DF"/>
    <w:rsid w:val="00EF6CF5"/>
    <w:rsid w:val="00F00AAB"/>
    <w:rsid w:val="00F02264"/>
    <w:rsid w:val="00F03A5D"/>
    <w:rsid w:val="00F050B4"/>
    <w:rsid w:val="00F07C20"/>
    <w:rsid w:val="00F121DB"/>
    <w:rsid w:val="00F13419"/>
    <w:rsid w:val="00F14048"/>
    <w:rsid w:val="00F15DBE"/>
    <w:rsid w:val="00F23E8F"/>
    <w:rsid w:val="00F254BF"/>
    <w:rsid w:val="00F2714C"/>
    <w:rsid w:val="00F337A3"/>
    <w:rsid w:val="00F33B96"/>
    <w:rsid w:val="00F340D2"/>
    <w:rsid w:val="00F448EE"/>
    <w:rsid w:val="00F45965"/>
    <w:rsid w:val="00F5640D"/>
    <w:rsid w:val="00F64A1B"/>
    <w:rsid w:val="00F66092"/>
    <w:rsid w:val="00F70FFC"/>
    <w:rsid w:val="00F72468"/>
    <w:rsid w:val="00F7579F"/>
    <w:rsid w:val="00F758E5"/>
    <w:rsid w:val="00F76279"/>
    <w:rsid w:val="00F77E9A"/>
    <w:rsid w:val="00F85632"/>
    <w:rsid w:val="00F85A91"/>
    <w:rsid w:val="00F85CFC"/>
    <w:rsid w:val="00F9476C"/>
    <w:rsid w:val="00F966E4"/>
    <w:rsid w:val="00FA0E0D"/>
    <w:rsid w:val="00FA1A3D"/>
    <w:rsid w:val="00FA3FFC"/>
    <w:rsid w:val="00FB1F42"/>
    <w:rsid w:val="00FB73CE"/>
    <w:rsid w:val="00FB7880"/>
    <w:rsid w:val="00FC00A4"/>
    <w:rsid w:val="00FC497C"/>
    <w:rsid w:val="00FD1420"/>
    <w:rsid w:val="00FD41AF"/>
    <w:rsid w:val="00FD7049"/>
    <w:rsid w:val="00FE2B25"/>
    <w:rsid w:val="00FE51BE"/>
    <w:rsid w:val="00FE5CF6"/>
    <w:rsid w:val="00FE7B69"/>
    <w:rsid w:val="00FF17F5"/>
    <w:rsid w:val="00FF2F18"/>
    <w:rsid w:val="00FF3A88"/>
    <w:rsid w:val="00FF3ED5"/>
    <w:rsid w:val="00FF55BF"/>
    <w:rsid w:val="00FF7C5D"/>
    <w:rsid w:val="05F4139E"/>
    <w:rsid w:val="2200F140"/>
    <w:rsid w:val="2E8AD619"/>
    <w:rsid w:val="2F1A4274"/>
    <w:rsid w:val="32336495"/>
    <w:rsid w:val="336B86FF"/>
    <w:rsid w:val="4093F829"/>
    <w:rsid w:val="49EFE99D"/>
    <w:rsid w:val="51334083"/>
    <w:rsid w:val="54BA2D37"/>
    <w:rsid w:val="55F73C3C"/>
    <w:rsid w:val="5A4489BA"/>
    <w:rsid w:val="60F3FBD5"/>
    <w:rsid w:val="685E1CF8"/>
    <w:rsid w:val="70BD9A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FB232"/>
  <w15:chartTrackingRefBased/>
  <w15:docId w15:val="{EFD348D2-66BB-4DEE-BDFD-A99CA716C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43DA"/>
  </w:style>
  <w:style w:type="paragraph" w:styleId="Heading1">
    <w:name w:val="heading 1"/>
    <w:basedOn w:val="Normal"/>
    <w:next w:val="Normal"/>
    <w:link w:val="Heading1Char"/>
    <w:uiPriority w:val="9"/>
    <w:qFormat/>
    <w:rsid w:val="004C7814"/>
    <w:pPr>
      <w:spacing w:line="360" w:lineRule="auto"/>
      <w:jc w:val="lowKashida"/>
      <w:outlineLvl w:val="0"/>
    </w:pPr>
    <w:rPr>
      <w:rFonts w:asciiTheme="majorBidi" w:hAnsiTheme="majorBidi" w:cstheme="majorBidi"/>
      <w:b/>
      <w:bCs/>
      <w:sz w:val="24"/>
      <w:szCs w:val="24"/>
    </w:rPr>
  </w:style>
  <w:style w:type="paragraph" w:styleId="Heading2">
    <w:name w:val="heading 2"/>
    <w:basedOn w:val="Normal"/>
    <w:next w:val="Normal"/>
    <w:link w:val="Heading2Char"/>
    <w:uiPriority w:val="9"/>
    <w:unhideWhenUsed/>
    <w:qFormat/>
    <w:rsid w:val="004C7814"/>
    <w:pPr>
      <w:spacing w:after="0" w:line="480" w:lineRule="auto"/>
      <w:jc w:val="lowKashida"/>
      <w:outlineLvl w:val="1"/>
    </w:pPr>
    <w:rPr>
      <w:rFonts w:asciiTheme="majorBidi" w:hAnsiTheme="majorBidi" w:cstheme="majorBidi"/>
      <w:b/>
      <w:bCs/>
      <w:sz w:val="24"/>
      <w:szCs w:val="24"/>
    </w:rPr>
  </w:style>
  <w:style w:type="paragraph" w:styleId="Heading3">
    <w:name w:val="heading 3"/>
    <w:basedOn w:val="Normal"/>
    <w:next w:val="Normal"/>
    <w:link w:val="Heading3Char"/>
    <w:uiPriority w:val="9"/>
    <w:unhideWhenUsed/>
    <w:qFormat/>
    <w:rsid w:val="00D04B77"/>
    <w:pPr>
      <w:spacing w:after="0" w:line="480" w:lineRule="auto"/>
      <w:jc w:val="lowKashida"/>
      <w:outlineLvl w:val="2"/>
    </w:pPr>
    <w:rPr>
      <w:rFonts w:asciiTheme="majorBidi" w:hAnsiTheme="majorBidi" w:cstheme="majorBidi"/>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4112"/>
    <w:rPr>
      <w:color w:val="0563C1" w:themeColor="hyperlink"/>
      <w:u w:val="single"/>
    </w:rPr>
  </w:style>
  <w:style w:type="table" w:styleId="PlainTable2">
    <w:name w:val="Plain Table 2"/>
    <w:basedOn w:val="TableNormal"/>
    <w:uiPriority w:val="42"/>
    <w:rsid w:val="0054718F"/>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54718F"/>
    <w:pPr>
      <w:ind w:left="720"/>
      <w:contextualSpacing/>
    </w:pPr>
  </w:style>
  <w:style w:type="paragraph" w:styleId="Revision">
    <w:name w:val="Revision"/>
    <w:hidden/>
    <w:uiPriority w:val="99"/>
    <w:semiHidden/>
    <w:rsid w:val="00630B6E"/>
    <w:pPr>
      <w:spacing w:after="0" w:line="240" w:lineRule="auto"/>
    </w:pPr>
  </w:style>
  <w:style w:type="character" w:customStyle="1" w:styleId="Heading1Char">
    <w:name w:val="Heading 1 Char"/>
    <w:basedOn w:val="DefaultParagraphFont"/>
    <w:link w:val="Heading1"/>
    <w:uiPriority w:val="9"/>
    <w:rsid w:val="004C7814"/>
    <w:rPr>
      <w:rFonts w:asciiTheme="majorBidi" w:hAnsiTheme="majorBidi" w:cstheme="majorBidi"/>
      <w:b/>
      <w:bCs/>
      <w:sz w:val="24"/>
      <w:szCs w:val="24"/>
    </w:rPr>
  </w:style>
  <w:style w:type="paragraph" w:styleId="Title">
    <w:name w:val="Title"/>
    <w:basedOn w:val="Normal"/>
    <w:next w:val="Normal"/>
    <w:link w:val="TitleChar"/>
    <w:uiPriority w:val="10"/>
    <w:qFormat/>
    <w:rsid w:val="00241FF0"/>
    <w:pPr>
      <w:spacing w:after="0" w:line="480" w:lineRule="auto"/>
      <w:jc w:val="center"/>
    </w:pPr>
    <w:rPr>
      <w:rFonts w:asciiTheme="majorBidi" w:hAnsiTheme="majorBidi" w:cstheme="majorBidi"/>
      <w:b/>
      <w:bCs/>
      <w:sz w:val="36"/>
      <w:szCs w:val="36"/>
      <w:lang w:val="en-GB"/>
    </w:rPr>
  </w:style>
  <w:style w:type="character" w:customStyle="1" w:styleId="TitleChar">
    <w:name w:val="Title Char"/>
    <w:basedOn w:val="DefaultParagraphFont"/>
    <w:link w:val="Title"/>
    <w:uiPriority w:val="10"/>
    <w:rsid w:val="00241FF0"/>
    <w:rPr>
      <w:rFonts w:asciiTheme="majorBidi" w:hAnsiTheme="majorBidi" w:cstheme="majorBidi"/>
      <w:b/>
      <w:bCs/>
      <w:sz w:val="36"/>
      <w:szCs w:val="36"/>
      <w:lang w:val="en-GB"/>
    </w:rPr>
  </w:style>
  <w:style w:type="character" w:customStyle="1" w:styleId="Heading2Char">
    <w:name w:val="Heading 2 Char"/>
    <w:basedOn w:val="DefaultParagraphFont"/>
    <w:link w:val="Heading2"/>
    <w:uiPriority w:val="9"/>
    <w:rsid w:val="004C7814"/>
    <w:rPr>
      <w:rFonts w:asciiTheme="majorBidi" w:hAnsiTheme="majorBidi" w:cstheme="majorBidi"/>
      <w:b/>
      <w:bCs/>
      <w:sz w:val="24"/>
      <w:szCs w:val="24"/>
    </w:rPr>
  </w:style>
  <w:style w:type="character" w:customStyle="1" w:styleId="Heading3Char">
    <w:name w:val="Heading 3 Char"/>
    <w:basedOn w:val="DefaultParagraphFont"/>
    <w:link w:val="Heading3"/>
    <w:uiPriority w:val="9"/>
    <w:rsid w:val="00D04B77"/>
    <w:rPr>
      <w:rFonts w:asciiTheme="majorBidi" w:hAnsiTheme="majorBidi" w:cstheme="majorBidi"/>
      <w:i/>
      <w:iCs/>
      <w:sz w:val="24"/>
      <w:szCs w:val="24"/>
    </w:rPr>
  </w:style>
  <w:style w:type="paragraph" w:styleId="Header">
    <w:name w:val="header"/>
    <w:basedOn w:val="Normal"/>
    <w:link w:val="HeaderChar"/>
    <w:uiPriority w:val="99"/>
    <w:unhideWhenUsed/>
    <w:rsid w:val="00CB64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646A"/>
  </w:style>
  <w:style w:type="paragraph" w:styleId="Footer">
    <w:name w:val="footer"/>
    <w:basedOn w:val="Normal"/>
    <w:link w:val="FooterChar"/>
    <w:uiPriority w:val="99"/>
    <w:unhideWhenUsed/>
    <w:rsid w:val="00CB64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646A"/>
  </w:style>
  <w:style w:type="character" w:styleId="FollowedHyperlink">
    <w:name w:val="FollowedHyperlink"/>
    <w:basedOn w:val="DefaultParagraphFont"/>
    <w:uiPriority w:val="99"/>
    <w:semiHidden/>
    <w:unhideWhenUsed/>
    <w:rsid w:val="009E610B"/>
    <w:rPr>
      <w:color w:val="954F72" w:themeColor="followedHyperlink"/>
      <w:u w:val="single"/>
    </w:rPr>
  </w:style>
  <w:style w:type="table" w:styleId="TableGrid">
    <w:name w:val="Table Grid"/>
    <w:basedOn w:val="TableNormal"/>
    <w:uiPriority w:val="39"/>
    <w:rsid w:val="002F0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55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558E"/>
    <w:rPr>
      <w:rFonts w:ascii="Segoe UI" w:hAnsi="Segoe UI" w:cs="Segoe UI"/>
      <w:sz w:val="18"/>
      <w:szCs w:val="18"/>
    </w:rPr>
  </w:style>
  <w:style w:type="character" w:customStyle="1" w:styleId="UnresolvedMention1">
    <w:name w:val="Unresolved Mention1"/>
    <w:basedOn w:val="DefaultParagraphFont"/>
    <w:uiPriority w:val="99"/>
    <w:semiHidden/>
    <w:unhideWhenUsed/>
    <w:rsid w:val="008447DE"/>
    <w:rPr>
      <w:color w:val="605E5C"/>
      <w:shd w:val="clear" w:color="auto" w:fill="E1DFDD"/>
    </w:rPr>
  </w:style>
  <w:style w:type="paragraph" w:styleId="NormalWeb">
    <w:name w:val="Normal (Web)"/>
    <w:basedOn w:val="Normal"/>
    <w:uiPriority w:val="99"/>
    <w:semiHidden/>
    <w:unhideWhenUsed/>
    <w:rsid w:val="00EA1F84"/>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5A5446"/>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900486">
      <w:bodyDiv w:val="1"/>
      <w:marLeft w:val="0"/>
      <w:marRight w:val="0"/>
      <w:marTop w:val="0"/>
      <w:marBottom w:val="0"/>
      <w:divBdr>
        <w:top w:val="none" w:sz="0" w:space="0" w:color="auto"/>
        <w:left w:val="none" w:sz="0" w:space="0" w:color="auto"/>
        <w:bottom w:val="none" w:sz="0" w:space="0" w:color="auto"/>
        <w:right w:val="none" w:sz="0" w:space="0" w:color="auto"/>
      </w:divBdr>
    </w:div>
    <w:div w:id="198345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A4FE4C8-A5A4-464D-9071-37E3F4A0F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4</Pages>
  <Words>2975</Words>
  <Characters>16958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109</cp:revision>
  <cp:lastPrinted>2022-02-12T08:10:00Z</cp:lastPrinted>
  <dcterms:created xsi:type="dcterms:W3CDTF">2022-02-12T06:16:00Z</dcterms:created>
  <dcterms:modified xsi:type="dcterms:W3CDTF">2023-01-23T17:47:00Z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f4223df2-749e-33af-9b8b-d462cfd90c71</vt:lpwstr>
  </property>
  <property fmtid="{D5CDD505-2E9C-101B-9397-08002B2CF9AE}" pid="4" name="Mendeley Citation Style_1">
    <vt:lpwstr>http://www.zotero.org/styles/vancouver</vt:lpwstr>
  </property>
  <property fmtid="{D5CDD505-2E9C-101B-9397-08002B2CF9AE}" pid="5" name="Mendeley Recent Style Id 0_1">
    <vt:lpwstr>https://csl.mendeley.com/styles/532792291/elsevier-with-titles</vt:lpwstr>
  </property>
  <property fmtid="{D5CDD505-2E9C-101B-9397-08002B2CF9AE}" pid="6" name="Mendeley Recent Style Name 0_1">
    <vt:lpwstr>Elsevier (numeric, with titles) - javad khanali</vt:lpwstr>
  </property>
  <property fmtid="{D5CDD505-2E9C-101B-9397-08002B2CF9AE}" pid="7" name="Mendeley Recent Style Id 1_1">
    <vt:lpwstr>http://csl.mendeley.com/styles/532792291/elsevier-with-titles</vt:lpwstr>
  </property>
  <property fmtid="{D5CDD505-2E9C-101B-9397-08002B2CF9AE}" pid="8" name="Mendeley Recent Style Name 1_1">
    <vt:lpwstr>Elsevier (numeric, with titles) - javad khanali</vt:lpwstr>
  </property>
  <property fmtid="{D5CDD505-2E9C-101B-9397-08002B2CF9AE}" pid="9" name="Mendeley Recent Style Id 2_1">
    <vt:lpwstr>http://www.zotero.org/styles/frontiers-in-education</vt:lpwstr>
  </property>
  <property fmtid="{D5CDD505-2E9C-101B-9397-08002B2CF9AE}" pid="10" name="Mendeley Recent Style Name 2_1">
    <vt:lpwstr>Frontiers in Education</vt:lpwstr>
  </property>
  <property fmtid="{D5CDD505-2E9C-101B-9397-08002B2CF9AE}" pid="11" name="Mendeley Recent Style Id 3_1">
    <vt:lpwstr>http://www.zotero.org/styles/frontiers-in-immunology</vt:lpwstr>
  </property>
  <property fmtid="{D5CDD505-2E9C-101B-9397-08002B2CF9AE}" pid="12" name="Mendeley Recent Style Name 3_1">
    <vt:lpwstr>Frontiers in Immunology</vt:lpwstr>
  </property>
  <property fmtid="{D5CDD505-2E9C-101B-9397-08002B2CF9AE}" pid="13" name="Mendeley Recent Style Id 4_1">
    <vt:lpwstr>http://csl.mendeley.com/styles/532792291/enter-unique-style-id-here-2</vt:lpwstr>
  </property>
  <property fmtid="{D5CDD505-2E9C-101B-9397-08002B2CF9AE}" pid="14" name="Mendeley Recent Style Name 4_1">
    <vt:lpwstr>Journal of Research in Medical Sciences</vt:lpwstr>
  </property>
  <property fmtid="{D5CDD505-2E9C-101B-9397-08002B2CF9AE}" pid="15" name="Mendeley Recent Style Id 5_1">
    <vt:lpwstr>https://csl.mendeley.com/styles/532792291/nature-3</vt:lpwstr>
  </property>
  <property fmtid="{D5CDD505-2E9C-101B-9397-08002B2CF9AE}" pid="16" name="Mendeley Recent Style Name 5_1">
    <vt:lpwstr>Nature - javad khanali</vt:lpwstr>
  </property>
  <property fmtid="{D5CDD505-2E9C-101B-9397-08002B2CF9AE}" pid="17" name="Mendeley Recent Style Id 6_1">
    <vt:lpwstr>https://csl.mendeley.com/styles/532792291/nature-2</vt:lpwstr>
  </property>
  <property fmtid="{D5CDD505-2E9C-101B-9397-08002B2CF9AE}" pid="18" name="Mendeley Recent Style Name 6_1">
    <vt:lpwstr>Nature - javad khanali</vt:lpwstr>
  </property>
  <property fmtid="{D5CDD505-2E9C-101B-9397-08002B2CF9AE}" pid="19" name="Mendeley Recent Style Id 7_1">
    <vt:lpwstr>http://csl.mendeley.com/styles/532792291/nature-3</vt:lpwstr>
  </property>
  <property fmtid="{D5CDD505-2E9C-101B-9397-08002B2CF9AE}" pid="20" name="Mendeley Recent Style Name 7_1">
    <vt:lpwstr>Nature - javad khanali</vt:lpwstr>
  </property>
  <property fmtid="{D5CDD505-2E9C-101B-9397-08002B2CF9AE}" pid="21" name="Mendeley Recent Style Id 8_1">
    <vt:lpwstr>http://csl.mendeley.com/styles/532792291/nature-2</vt:lpwstr>
  </property>
  <property fmtid="{D5CDD505-2E9C-101B-9397-08002B2CF9AE}" pid="22" name="Mendeley Recent Style Name 8_1">
    <vt:lpwstr>Nature - javad khanali</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