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8E2" w:rsidRPr="00E938E2" w:rsidRDefault="00E938E2" w:rsidP="00E938E2">
      <w:pPr>
        <w:spacing w:after="0" w:line="480" w:lineRule="auto"/>
        <w:jc w:val="center"/>
        <w:outlineLvl w:val="1"/>
        <w:rPr>
          <w:rFonts w:ascii="Cambria" w:hAnsi="Cambria" w:cs="Calibri"/>
          <w:b/>
          <w:bCs/>
          <w:color w:val="7030A0"/>
          <w:kern w:val="36"/>
          <w:sz w:val="28"/>
          <w:szCs w:val="28"/>
        </w:rPr>
      </w:pPr>
      <w:proofErr w:type="gramStart"/>
      <w:r w:rsidRPr="00E938E2">
        <w:rPr>
          <w:rFonts w:ascii="Cambria" w:hAnsi="Cambria" w:cs="Calibri"/>
          <w:b/>
          <w:bCs/>
          <w:color w:val="7030A0"/>
          <w:kern w:val="36"/>
          <w:sz w:val="28"/>
          <w:szCs w:val="28"/>
        </w:rPr>
        <w:t>SUPPLEMENTARY  DOCUMEN</w:t>
      </w:r>
      <w:r>
        <w:rPr>
          <w:rFonts w:ascii="Cambria" w:hAnsi="Cambria" w:cs="Calibri"/>
          <w:b/>
          <w:bCs/>
          <w:color w:val="7030A0"/>
          <w:kern w:val="36"/>
          <w:sz w:val="28"/>
          <w:szCs w:val="28"/>
        </w:rPr>
        <w:t>T</w:t>
      </w:r>
      <w:proofErr w:type="gramEnd"/>
    </w:p>
    <w:p w:rsidR="00E938E2" w:rsidRDefault="00E938E2" w:rsidP="00595EE0">
      <w:pPr>
        <w:spacing w:after="0" w:line="480" w:lineRule="auto"/>
        <w:jc w:val="both"/>
        <w:outlineLvl w:val="1"/>
        <w:rPr>
          <w:rFonts w:ascii="Cambria" w:hAnsi="Cambria" w:cs="Calibri"/>
          <w:b/>
          <w:bCs/>
          <w:color w:val="00B050"/>
          <w:kern w:val="36"/>
          <w:sz w:val="20"/>
          <w:szCs w:val="20"/>
        </w:rPr>
      </w:pPr>
    </w:p>
    <w:p w:rsidR="00E938E2" w:rsidRDefault="00E938E2" w:rsidP="00595EE0">
      <w:pPr>
        <w:spacing w:after="0" w:line="480" w:lineRule="auto"/>
        <w:jc w:val="both"/>
        <w:outlineLvl w:val="1"/>
        <w:rPr>
          <w:rFonts w:ascii="Cambria" w:hAnsi="Cambria" w:cs="Calibri"/>
          <w:b/>
          <w:bCs/>
          <w:color w:val="00B050"/>
          <w:kern w:val="36"/>
          <w:sz w:val="20"/>
          <w:szCs w:val="20"/>
        </w:rPr>
      </w:pPr>
    </w:p>
    <w:p w:rsidR="00595EE0" w:rsidRDefault="00E938E2" w:rsidP="00595EE0">
      <w:pPr>
        <w:spacing w:after="0" w:line="480" w:lineRule="auto"/>
        <w:jc w:val="both"/>
        <w:outlineLvl w:val="1"/>
        <w:rPr>
          <w:rFonts w:ascii="Cambria" w:hAnsi="Cambria" w:cs="Calibri"/>
          <w:b/>
          <w:bCs/>
          <w:color w:val="00B050"/>
          <w:kern w:val="36"/>
          <w:sz w:val="20"/>
          <w:szCs w:val="20"/>
        </w:rPr>
      </w:pPr>
      <w:r>
        <w:rPr>
          <w:rFonts w:ascii="Cambria" w:hAnsi="Cambria" w:cs="Calibri"/>
          <w:b/>
          <w:bCs/>
          <w:color w:val="00B050"/>
          <w:kern w:val="36"/>
          <w:sz w:val="20"/>
          <w:szCs w:val="20"/>
        </w:rPr>
        <w:t xml:space="preserve"> ABSTRACT</w:t>
      </w:r>
    </w:p>
    <w:p w:rsidR="00E938E2" w:rsidRPr="00E938E2" w:rsidRDefault="00E938E2" w:rsidP="00E938E2">
      <w:pPr>
        <w:pStyle w:val="NormalWeb"/>
        <w:spacing w:before="0" w:beforeAutospacing="0" w:after="0" w:afterAutospacing="0" w:line="480" w:lineRule="auto"/>
        <w:jc w:val="both"/>
      </w:pPr>
      <w:r w:rsidRPr="00525CF5">
        <w:t xml:space="preserve">Among four genotypes, the  unique gene sequences in 550 </w:t>
      </w:r>
      <w:proofErr w:type="spellStart"/>
      <w:r w:rsidRPr="00525CF5">
        <w:t>bp</w:t>
      </w:r>
      <w:proofErr w:type="spellEnd"/>
      <w:r w:rsidRPr="00525CF5">
        <w:t xml:space="preserve"> and 800 </w:t>
      </w:r>
      <w:proofErr w:type="spellStart"/>
      <w:r w:rsidRPr="00525CF5">
        <w:t>bp</w:t>
      </w:r>
      <w:proofErr w:type="spellEnd"/>
      <w:r w:rsidRPr="00525CF5">
        <w:t xml:space="preserve"> DNA ladders identified by AP-4 primer and 600 </w:t>
      </w:r>
      <w:proofErr w:type="spellStart"/>
      <w:r w:rsidRPr="00525CF5">
        <w:t>bp</w:t>
      </w:r>
      <w:proofErr w:type="spellEnd"/>
      <w:r w:rsidRPr="00525CF5">
        <w:t xml:space="preserve"> DNA ladders identified by AP-32 primer are only found in IRS  genotype  as dimorphic bands  and single band, respectively. Similarly, in IGS water chestnut, DNA fragments </w:t>
      </w:r>
      <w:proofErr w:type="gramStart"/>
      <w:r w:rsidRPr="00525CF5">
        <w:t>AP30-1250,</w:t>
      </w:r>
      <w:proofErr w:type="gramEnd"/>
      <w:r w:rsidRPr="00525CF5">
        <w:t xml:space="preserve"> and ISSR23-1500 &amp; ISSR23-1350 are only found as single bands an</w:t>
      </w:r>
      <w:r>
        <w:t>d dimorphic bands, respectively.</w:t>
      </w:r>
    </w:p>
    <w:p w:rsidR="00E938E2" w:rsidRDefault="00E938E2" w:rsidP="00595EE0">
      <w:pPr>
        <w:spacing w:after="0" w:line="480" w:lineRule="auto"/>
        <w:jc w:val="both"/>
        <w:outlineLvl w:val="1"/>
        <w:rPr>
          <w:rFonts w:ascii="Cambria" w:hAnsi="Cambria" w:cs="Calibri"/>
          <w:b/>
          <w:bCs/>
          <w:color w:val="00B050"/>
          <w:kern w:val="36"/>
          <w:sz w:val="20"/>
          <w:szCs w:val="20"/>
        </w:rPr>
      </w:pPr>
    </w:p>
    <w:p w:rsidR="00595EE0" w:rsidRPr="00E938E2" w:rsidRDefault="00595EE0" w:rsidP="00595EE0">
      <w:pPr>
        <w:spacing w:after="0" w:line="480" w:lineRule="auto"/>
        <w:jc w:val="both"/>
        <w:outlineLvl w:val="1"/>
        <w:rPr>
          <w:rFonts w:ascii="Cambria" w:hAnsi="Cambria" w:cs="Calibri"/>
          <w:b/>
          <w:bCs/>
          <w:kern w:val="36"/>
          <w:sz w:val="20"/>
          <w:szCs w:val="20"/>
        </w:rPr>
      </w:pPr>
      <w:r w:rsidRPr="00E938E2">
        <w:rPr>
          <w:rFonts w:ascii="Cambria" w:hAnsi="Cambria" w:cs="Calibri"/>
          <w:b/>
          <w:bCs/>
          <w:kern w:val="36"/>
          <w:sz w:val="20"/>
          <w:szCs w:val="20"/>
        </w:rPr>
        <w:t xml:space="preserve">Unique gene </w:t>
      </w:r>
      <w:proofErr w:type="gramStart"/>
      <w:r w:rsidRPr="00E938E2">
        <w:rPr>
          <w:rFonts w:ascii="Cambria" w:hAnsi="Cambria" w:cs="Calibri"/>
          <w:b/>
          <w:bCs/>
          <w:kern w:val="36"/>
          <w:sz w:val="20"/>
          <w:szCs w:val="20"/>
        </w:rPr>
        <w:t>sequences  identified</w:t>
      </w:r>
      <w:proofErr w:type="gramEnd"/>
      <w:r w:rsidRPr="00E938E2">
        <w:rPr>
          <w:rFonts w:ascii="Cambria" w:hAnsi="Cambria" w:cs="Calibri"/>
          <w:b/>
          <w:bCs/>
          <w:kern w:val="36"/>
          <w:sz w:val="20"/>
          <w:szCs w:val="20"/>
        </w:rPr>
        <w:t xml:space="preserve"> in genotypes</w:t>
      </w:r>
    </w:p>
    <w:p w:rsidR="00E938E2" w:rsidRPr="00E938E2" w:rsidRDefault="00E938E2" w:rsidP="00595EE0">
      <w:pPr>
        <w:pStyle w:val="gmail-p"/>
        <w:spacing w:before="0" w:beforeAutospacing="0" w:after="0" w:afterAutospacing="0" w:line="480" w:lineRule="auto"/>
        <w:jc w:val="both"/>
      </w:pPr>
    </w:p>
    <w:p w:rsidR="00E938E2" w:rsidRPr="00E938E2" w:rsidRDefault="00595EE0" w:rsidP="00595EE0">
      <w:pPr>
        <w:pStyle w:val="gmail-p"/>
        <w:spacing w:before="0" w:beforeAutospacing="0" w:after="0" w:afterAutospacing="0" w:line="480" w:lineRule="auto"/>
        <w:jc w:val="both"/>
      </w:pPr>
      <w:r w:rsidRPr="00E938E2">
        <w:t xml:space="preserve">Unique gene sequence in   550 </w:t>
      </w:r>
      <w:proofErr w:type="spellStart"/>
      <w:r w:rsidRPr="00E938E2">
        <w:t>bp</w:t>
      </w:r>
      <w:proofErr w:type="spellEnd"/>
      <w:r w:rsidRPr="00E938E2">
        <w:t xml:space="preserve"> and 800 </w:t>
      </w:r>
      <w:proofErr w:type="spellStart"/>
      <w:r w:rsidRPr="00E938E2">
        <w:t>bp</w:t>
      </w:r>
      <w:proofErr w:type="spellEnd"/>
      <w:r w:rsidRPr="00E938E2">
        <w:t xml:space="preserve"> DNA ladders identified from AP-4 (5’CAAACGACGG3’) primer and 600bp</w:t>
      </w:r>
      <w:proofErr w:type="gramStart"/>
      <w:r w:rsidRPr="00E938E2">
        <w:t>  DNA</w:t>
      </w:r>
      <w:proofErr w:type="gramEnd"/>
      <w:r w:rsidRPr="00E938E2">
        <w:t xml:space="preserve"> ladder  identified from AP-32 (5’AACATCTCCGGG3’) primer  which are only present  in IRS  water chestnut as  dimorphic and   </w:t>
      </w:r>
      <w:proofErr w:type="spellStart"/>
      <w:r w:rsidRPr="00E938E2">
        <w:t>monomorphic</w:t>
      </w:r>
      <w:proofErr w:type="spellEnd"/>
      <w:r w:rsidRPr="00E938E2">
        <w:t xml:space="preserve"> band, respectively. Similarly, in IGS</w:t>
      </w:r>
      <w:proofErr w:type="gramStart"/>
      <w:r w:rsidRPr="00E938E2">
        <w:t>  water</w:t>
      </w:r>
      <w:proofErr w:type="gramEnd"/>
      <w:r w:rsidRPr="00E938E2">
        <w:t xml:space="preserve"> chestnut, DNA fragments </w:t>
      </w:r>
      <w:proofErr w:type="spellStart"/>
      <w:r w:rsidRPr="00E938E2">
        <w:t>viz</w:t>
      </w:r>
      <w:proofErr w:type="spellEnd"/>
      <w:r w:rsidRPr="00E938E2">
        <w:t>; AP30-1250 (5’GGACCTCCATCG3’) and ISSR23-1500 &amp; ISSR23-1350 ( 5’AGTAGTAGTTCTCTCTCTCTCTC3’)  are only present as single DNA band  and dimorphic bands, respectively.  According to</w:t>
      </w:r>
      <w:proofErr w:type="gramStart"/>
      <w:r w:rsidRPr="00E938E2">
        <w:t>  Sharma</w:t>
      </w:r>
      <w:proofErr w:type="gramEnd"/>
      <w:r w:rsidRPr="00E938E2">
        <w:t xml:space="preserve">  et al., 2007 the highly </w:t>
      </w:r>
      <w:proofErr w:type="spellStart"/>
      <w:r w:rsidRPr="00E938E2">
        <w:t>allogamous</w:t>
      </w:r>
      <w:proofErr w:type="spellEnd"/>
      <w:r w:rsidRPr="00E938E2">
        <w:t xml:space="preserve">  nature of </w:t>
      </w:r>
      <w:proofErr w:type="spellStart"/>
      <w:r w:rsidRPr="00E938E2">
        <w:t>Trapa</w:t>
      </w:r>
      <w:proofErr w:type="spellEnd"/>
      <w:r w:rsidRPr="00E938E2">
        <w:t xml:space="preserve"> species  creates </w:t>
      </w:r>
      <w:proofErr w:type="spellStart"/>
      <w:r w:rsidRPr="00E938E2">
        <w:t>heterozygosity</w:t>
      </w:r>
      <w:proofErr w:type="spellEnd"/>
      <w:r w:rsidRPr="00E938E2">
        <w:t xml:space="preserve">  in  their natural populations. Desai et al. (2015) also stated </w:t>
      </w:r>
      <w:proofErr w:type="gramStart"/>
      <w:r w:rsidRPr="00E938E2">
        <w:t>that  the</w:t>
      </w:r>
      <w:proofErr w:type="gramEnd"/>
      <w:r w:rsidRPr="00E938E2">
        <w:t xml:space="preserve"> DNA polymorphism in  a specified population  of </w:t>
      </w:r>
      <w:proofErr w:type="spellStart"/>
      <w:r w:rsidRPr="00E938E2">
        <w:rPr>
          <w:i/>
        </w:rPr>
        <w:t>Trapa</w:t>
      </w:r>
      <w:proofErr w:type="spellEnd"/>
      <w:r w:rsidRPr="00E938E2">
        <w:rPr>
          <w:i/>
        </w:rPr>
        <w:t xml:space="preserve"> spp.  </w:t>
      </w:r>
      <w:proofErr w:type="gramStart"/>
      <w:r w:rsidRPr="00E938E2">
        <w:t>is</w:t>
      </w:r>
      <w:proofErr w:type="gramEnd"/>
      <w:r w:rsidRPr="00E938E2">
        <w:t xml:space="preserve"> due to the presence of genetic variants governed by the different alleles and their frequency of allocation.  Utility of molecular analysis of</w:t>
      </w:r>
      <w:proofErr w:type="gramStart"/>
      <w:r w:rsidRPr="00E938E2">
        <w:t>  water</w:t>
      </w:r>
      <w:proofErr w:type="gramEnd"/>
      <w:r w:rsidRPr="00E938E2">
        <w:t xml:space="preserve"> chestnut  plants has been well documented by many workers  ( </w:t>
      </w:r>
      <w:proofErr w:type="spellStart"/>
      <w:r w:rsidRPr="00E938E2">
        <w:t>Hoque</w:t>
      </w:r>
      <w:proofErr w:type="spellEnd"/>
      <w:r w:rsidRPr="00E938E2">
        <w:t xml:space="preserve"> et al. 2005;  </w:t>
      </w:r>
      <w:proofErr w:type="spellStart"/>
      <w:r w:rsidRPr="00E938E2">
        <w:t>Mahto</w:t>
      </w:r>
      <w:proofErr w:type="spellEnd"/>
      <w:r w:rsidRPr="00E938E2">
        <w:t xml:space="preserve"> et al. 2018). The genotype specific </w:t>
      </w:r>
      <w:proofErr w:type="spellStart"/>
      <w:r w:rsidRPr="00E938E2">
        <w:t>diagonistic</w:t>
      </w:r>
      <w:proofErr w:type="spellEnd"/>
      <w:r w:rsidRPr="00E938E2">
        <w:t xml:space="preserve"> bands using RAPD and </w:t>
      </w:r>
      <w:r w:rsidRPr="00E938E2">
        <w:lastRenderedPageBreak/>
        <w:t xml:space="preserve">ISSR markers afford a prospect to be SCAR markers for the differentiation of four genotypes. Genetic fidelity of clonally selected plants and traditional cultivars   has immense practical utility and commercial implications under the wetland ecosystem of north Bihar, India. However, morphologically the fruit color. </w:t>
      </w:r>
      <w:proofErr w:type="gramStart"/>
      <w:r w:rsidRPr="00E938E2">
        <w:t>size</w:t>
      </w:r>
      <w:proofErr w:type="gramEnd"/>
      <w:r w:rsidRPr="00E938E2">
        <w:t xml:space="preserve"> number of fruits/plant and spine variation in </w:t>
      </w:r>
      <w:proofErr w:type="spellStart"/>
      <w:r w:rsidRPr="00E938E2">
        <w:t>Trapa</w:t>
      </w:r>
      <w:proofErr w:type="spellEnd"/>
      <w:r w:rsidRPr="00E938E2">
        <w:t xml:space="preserve"> spp. were considered in the study but it was unsafe to assume that these small morphological variations have been reflected in the RAPD and ISSR analysis. Accordingly</w:t>
      </w:r>
      <w:proofErr w:type="gramStart"/>
      <w:r w:rsidRPr="00E938E2">
        <w:t>,  </w:t>
      </w:r>
      <w:proofErr w:type="spellStart"/>
      <w:r w:rsidRPr="00E938E2">
        <w:t>Houque</w:t>
      </w:r>
      <w:proofErr w:type="spellEnd"/>
      <w:proofErr w:type="gramEnd"/>
      <w:r w:rsidRPr="00E938E2">
        <w:t xml:space="preserve"> et al. (2005) randomly amplified polymorphic DNA (RAPD) markers  </w:t>
      </w:r>
      <w:proofErr w:type="spellStart"/>
      <w:r w:rsidRPr="00E938E2">
        <w:t>viz</w:t>
      </w:r>
      <w:proofErr w:type="spellEnd"/>
      <w:r w:rsidRPr="00E938E2">
        <w:t>;  AP-1, AP-4, AP-5, AP-11, AP-16, AP-22, AP-30 have proved to be the most polymorphic markers for water chestnut crop. </w:t>
      </w:r>
    </w:p>
    <w:p w:rsidR="00595EE0" w:rsidRPr="00E938E2" w:rsidRDefault="00595EE0" w:rsidP="00595EE0">
      <w:pPr>
        <w:pStyle w:val="gmail-p"/>
        <w:spacing w:before="0" w:beforeAutospacing="0" w:after="0" w:afterAutospacing="0" w:line="480" w:lineRule="auto"/>
        <w:jc w:val="both"/>
      </w:pPr>
      <w:r w:rsidRPr="00E938E2">
        <w:t xml:space="preserve">  </w:t>
      </w:r>
    </w:p>
    <w:p w:rsidR="00E938E2" w:rsidRPr="00E938E2" w:rsidRDefault="00E938E2" w:rsidP="00E938E2">
      <w:pPr>
        <w:pStyle w:val="NormalWeb"/>
        <w:jc w:val="center"/>
        <w:rPr>
          <w:b/>
          <w:i/>
          <w:sz w:val="32"/>
          <w:szCs w:val="32"/>
        </w:rPr>
      </w:pPr>
      <w:r w:rsidRPr="00E938E2">
        <w:rPr>
          <w:b/>
          <w:i/>
          <w:noProof/>
          <w:sz w:val="32"/>
          <w:szCs w:val="32"/>
        </w:rPr>
        <w:drawing>
          <wp:inline distT="0" distB="0" distL="0" distR="0">
            <wp:extent cx="3451350" cy="1338479"/>
            <wp:effectExtent l="19050" t="0" r="0" b="0"/>
            <wp:docPr id="1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 cstate="print"/>
                    <a:srcRect t="4478" b="66604"/>
                    <a:stretch>
                      <a:fillRect/>
                    </a:stretch>
                  </pic:blipFill>
                  <pic:spPr>
                    <a:xfrm>
                      <a:off x="0" y="0"/>
                      <a:ext cx="3456808" cy="1340596"/>
                    </a:xfrm>
                    <a:prstGeom prst="rect">
                      <a:avLst/>
                    </a:prstGeom>
                  </pic:spPr>
                </pic:pic>
              </a:graphicData>
            </a:graphic>
          </wp:inline>
        </w:drawing>
      </w:r>
    </w:p>
    <w:p w:rsidR="00E938E2" w:rsidRPr="00E938E2" w:rsidRDefault="00E938E2" w:rsidP="00E938E2">
      <w:pPr>
        <w:jc w:val="center"/>
      </w:pPr>
      <w:r w:rsidRPr="00E938E2">
        <w:rPr>
          <w:noProof/>
        </w:rPr>
        <w:drawing>
          <wp:inline distT="0" distB="0" distL="0" distR="0">
            <wp:extent cx="3235350" cy="1110556"/>
            <wp:effectExtent l="19050" t="0" r="3150" b="0"/>
            <wp:docPr id="1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 cstate="print"/>
                    <a:srcRect t="6302" b="66588"/>
                    <a:stretch>
                      <a:fillRect/>
                    </a:stretch>
                  </pic:blipFill>
                  <pic:spPr>
                    <a:xfrm>
                      <a:off x="0" y="0"/>
                      <a:ext cx="3237900" cy="1111431"/>
                    </a:xfrm>
                    <a:prstGeom prst="rect">
                      <a:avLst/>
                    </a:prstGeom>
                  </pic:spPr>
                </pic:pic>
              </a:graphicData>
            </a:graphic>
          </wp:inline>
        </w:drawing>
      </w:r>
    </w:p>
    <w:p w:rsidR="00E938E2" w:rsidRPr="00E938E2" w:rsidRDefault="00E938E2" w:rsidP="00E938E2">
      <w:pPr>
        <w:jc w:val="center"/>
        <w:rPr>
          <w:b/>
        </w:rPr>
      </w:pPr>
      <w:r w:rsidRPr="00E938E2">
        <w:rPr>
          <w:b/>
        </w:rPr>
        <w:t xml:space="preserve">Fig-4-5: The presence of DNA fragment  550 </w:t>
      </w:r>
      <w:proofErr w:type="spellStart"/>
      <w:r w:rsidRPr="00E938E2">
        <w:rPr>
          <w:b/>
        </w:rPr>
        <w:t>bp</w:t>
      </w:r>
      <w:proofErr w:type="spellEnd"/>
      <w:r w:rsidRPr="00E938E2">
        <w:rPr>
          <w:b/>
        </w:rPr>
        <w:t xml:space="preserve"> DNA and in 800 </w:t>
      </w:r>
      <w:proofErr w:type="spellStart"/>
      <w:r w:rsidRPr="00E938E2">
        <w:rPr>
          <w:b/>
        </w:rPr>
        <w:t>bp</w:t>
      </w:r>
      <w:proofErr w:type="spellEnd"/>
      <w:r w:rsidRPr="00E938E2">
        <w:rPr>
          <w:b/>
        </w:rPr>
        <w:t xml:space="preserve"> from   AP-4 and 600 </w:t>
      </w:r>
      <w:proofErr w:type="spellStart"/>
      <w:r w:rsidRPr="00E938E2">
        <w:rPr>
          <w:b/>
        </w:rPr>
        <w:t>bp</w:t>
      </w:r>
      <w:proofErr w:type="spellEnd"/>
      <w:r w:rsidRPr="00E938E2">
        <w:rPr>
          <w:b/>
        </w:rPr>
        <w:t xml:space="preserve"> DNA ladder   identified from AP-32 primer only present   in  IRS</w:t>
      </w:r>
    </w:p>
    <w:p w:rsidR="00E938E2" w:rsidRPr="00E938E2" w:rsidRDefault="00E938E2" w:rsidP="00E938E2">
      <w:pPr>
        <w:jc w:val="center"/>
        <w:rPr>
          <w:b/>
          <w:i/>
          <w:sz w:val="18"/>
          <w:szCs w:val="18"/>
        </w:rPr>
      </w:pPr>
      <w:r w:rsidRPr="00E938E2">
        <w:rPr>
          <w:b/>
          <w:i/>
          <w:sz w:val="18"/>
          <w:szCs w:val="18"/>
        </w:rPr>
        <w:t xml:space="preserve">[Profile of </w:t>
      </w:r>
      <w:proofErr w:type="gramStart"/>
      <w:r w:rsidRPr="00E938E2">
        <w:rPr>
          <w:b/>
          <w:i/>
          <w:sz w:val="18"/>
          <w:szCs w:val="18"/>
        </w:rPr>
        <w:t>four  water</w:t>
      </w:r>
      <w:proofErr w:type="gramEnd"/>
      <w:r w:rsidRPr="00E938E2">
        <w:rPr>
          <w:b/>
          <w:i/>
          <w:sz w:val="18"/>
          <w:szCs w:val="18"/>
        </w:rPr>
        <w:t xml:space="preserve"> chestnut  varieties with 10 RAPD markers. In the figure Lane-1:  Improved Green Spineless (IGS</w:t>
      </w:r>
      <w:proofErr w:type="gramStart"/>
      <w:r w:rsidRPr="00E938E2">
        <w:rPr>
          <w:b/>
          <w:i/>
          <w:sz w:val="18"/>
          <w:szCs w:val="18"/>
        </w:rPr>
        <w:t>) ,</w:t>
      </w:r>
      <w:proofErr w:type="gramEnd"/>
      <w:r w:rsidRPr="00E938E2">
        <w:rPr>
          <w:b/>
          <w:i/>
          <w:sz w:val="18"/>
          <w:szCs w:val="18"/>
        </w:rPr>
        <w:t xml:space="preserve"> Lane-2: Red Spine Large local (RSLL), Lane-3: Improved Red Spineless (IRS), Lane-4: Red Small Spine Local, M is the 1Kb Molecular weight size Standard.]</w:t>
      </w:r>
    </w:p>
    <w:p w:rsidR="00E938E2" w:rsidRPr="00E938E2" w:rsidRDefault="00E938E2" w:rsidP="00E938E2">
      <w:pPr>
        <w:jc w:val="center"/>
      </w:pPr>
      <w:r w:rsidRPr="00E938E2">
        <w:rPr>
          <w:noProof/>
        </w:rPr>
        <w:lastRenderedPageBreak/>
        <w:drawing>
          <wp:inline distT="0" distB="0" distL="0" distR="0">
            <wp:extent cx="3484810" cy="1216309"/>
            <wp:effectExtent l="19050" t="0" r="1340" b="0"/>
            <wp:docPr id="1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rcRect t="34235" b="39739"/>
                    <a:stretch>
                      <a:fillRect/>
                    </a:stretch>
                  </pic:blipFill>
                  <pic:spPr>
                    <a:xfrm>
                      <a:off x="0" y="0"/>
                      <a:ext cx="3485258" cy="1216465"/>
                    </a:xfrm>
                    <a:prstGeom prst="rect">
                      <a:avLst/>
                    </a:prstGeom>
                  </pic:spPr>
                </pic:pic>
              </a:graphicData>
            </a:graphic>
          </wp:inline>
        </w:drawing>
      </w:r>
    </w:p>
    <w:p w:rsidR="00E938E2" w:rsidRPr="00E938E2" w:rsidRDefault="00E938E2" w:rsidP="00E938E2">
      <w:pPr>
        <w:jc w:val="center"/>
      </w:pPr>
      <w:r w:rsidRPr="00E938E2">
        <w:rPr>
          <w:noProof/>
        </w:rPr>
        <w:drawing>
          <wp:inline distT="0" distB="0" distL="0" distR="0">
            <wp:extent cx="3400950" cy="1129890"/>
            <wp:effectExtent l="19050" t="0" r="9000" b="0"/>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cstate="print"/>
                    <a:srcRect b="68371"/>
                    <a:stretch>
                      <a:fillRect/>
                    </a:stretch>
                  </pic:blipFill>
                  <pic:spPr>
                    <a:xfrm>
                      <a:off x="0" y="0"/>
                      <a:ext cx="3409034" cy="1132576"/>
                    </a:xfrm>
                    <a:prstGeom prst="rect">
                      <a:avLst/>
                    </a:prstGeom>
                  </pic:spPr>
                </pic:pic>
              </a:graphicData>
            </a:graphic>
          </wp:inline>
        </w:drawing>
      </w:r>
    </w:p>
    <w:p w:rsidR="00E938E2" w:rsidRPr="00E938E2" w:rsidRDefault="00E938E2" w:rsidP="00E938E2">
      <w:pPr>
        <w:jc w:val="center"/>
        <w:rPr>
          <w:b/>
        </w:rPr>
      </w:pPr>
      <w:r w:rsidRPr="00E938E2">
        <w:rPr>
          <w:b/>
        </w:rPr>
        <w:t xml:space="preserve">Fig-6-7: Distinguishing Features of IGS: </w:t>
      </w:r>
      <w:proofErr w:type="gramStart"/>
      <w:r w:rsidRPr="00E938E2">
        <w:rPr>
          <w:b/>
        </w:rPr>
        <w:t>The</w:t>
      </w:r>
      <w:proofErr w:type="gramEnd"/>
      <w:r w:rsidRPr="00E938E2">
        <w:rPr>
          <w:b/>
        </w:rPr>
        <w:t xml:space="preserve"> presence of DNA fragments AP30-1250, and ISSR23-1500 &amp; ISSR23-1350</w:t>
      </w:r>
    </w:p>
    <w:p w:rsidR="00E938E2" w:rsidRPr="00E938E2" w:rsidRDefault="00E938E2" w:rsidP="00E938E2">
      <w:pPr>
        <w:jc w:val="center"/>
        <w:rPr>
          <w:i/>
          <w:sz w:val="18"/>
          <w:szCs w:val="18"/>
        </w:rPr>
      </w:pPr>
      <w:r w:rsidRPr="00E938E2">
        <w:rPr>
          <w:b/>
          <w:i/>
          <w:sz w:val="18"/>
          <w:szCs w:val="18"/>
        </w:rPr>
        <w:t xml:space="preserve">[Profile of </w:t>
      </w:r>
      <w:proofErr w:type="gramStart"/>
      <w:r w:rsidRPr="00E938E2">
        <w:rPr>
          <w:b/>
          <w:i/>
          <w:sz w:val="18"/>
          <w:szCs w:val="18"/>
        </w:rPr>
        <w:t>four  water</w:t>
      </w:r>
      <w:proofErr w:type="gramEnd"/>
      <w:r w:rsidRPr="00E938E2">
        <w:rPr>
          <w:b/>
          <w:i/>
          <w:sz w:val="18"/>
          <w:szCs w:val="18"/>
        </w:rPr>
        <w:t xml:space="preserve"> chestnut  varieties with 10 RAPD and 10 ISSR  markers . In the figure Lane-1:  Improved Green Spineless (IGS</w:t>
      </w:r>
      <w:proofErr w:type="gramStart"/>
      <w:r w:rsidRPr="00E938E2">
        <w:rPr>
          <w:b/>
          <w:i/>
          <w:sz w:val="18"/>
          <w:szCs w:val="18"/>
        </w:rPr>
        <w:t>) ,</w:t>
      </w:r>
      <w:proofErr w:type="gramEnd"/>
      <w:r w:rsidRPr="00E938E2">
        <w:rPr>
          <w:b/>
          <w:i/>
          <w:sz w:val="18"/>
          <w:szCs w:val="18"/>
        </w:rPr>
        <w:t xml:space="preserve"> Lane-2: Red Spine Large local (RSLL), Lane-3: Improved Red Spineless (IRS), Lane-4: Red Small Spine Local, M is the 1Kb Molecular weight size Standard.]</w:t>
      </w:r>
    </w:p>
    <w:p w:rsidR="00E938E2" w:rsidRPr="00E938E2" w:rsidRDefault="00E938E2" w:rsidP="00E938E2"/>
    <w:p w:rsidR="00DC672D" w:rsidRPr="00E938E2" w:rsidRDefault="00DC672D"/>
    <w:sectPr w:rsidR="00DC672D" w:rsidRPr="00E938E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595EE0"/>
    <w:rsid w:val="00595EE0"/>
    <w:rsid w:val="00DC672D"/>
    <w:rsid w:val="00E93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p">
    <w:name w:val="gmail-p"/>
    <w:basedOn w:val="Normal"/>
    <w:rsid w:val="00595EE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938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93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8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462</Words>
  <Characters>2639</Characters>
  <Application>Microsoft Office Word</Application>
  <DocSecurity>0</DocSecurity>
  <Lines>21</Lines>
  <Paragraphs>6</Paragraphs>
  <ScaleCrop>false</ScaleCrop>
  <Company>Grizli777</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2023-03-27T08:00:00Z</dcterms:created>
  <dcterms:modified xsi:type="dcterms:W3CDTF">2023-03-27T08:00:00Z</dcterms:modified>
</cp:coreProperties>
</file>