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02F95F6" w14:textId="5AF3D1CE" w:rsidR="00676754" w:rsidRDefault="00676754" w:rsidP="00676754">
      <w:pPr>
        <w:spacing w:line="360" w:lineRule="auto"/>
        <w:rPr>
          <w:rFonts w:ascii="Times New Roman" w:hAnsi="Times New Roman"/>
          <w:b/>
          <w:bCs/>
          <w:sz w:val="24"/>
          <w:szCs w:val="24"/>
        </w:rPr>
      </w:pPr>
      <w:r w:rsidRPr="00D25981">
        <w:rPr>
          <w:rFonts w:ascii="Times New Roman" w:hAnsi="Times New Roman"/>
          <w:b/>
          <w:bCs/>
          <w:sz w:val="24"/>
          <w:szCs w:val="24"/>
        </w:rPr>
        <w:t xml:space="preserve">Differential expression of inflammatory cytokines in </w:t>
      </w:r>
      <w:r>
        <w:rPr>
          <w:rFonts w:ascii="Times New Roman" w:hAnsi="Times New Roman" w:hint="eastAsia"/>
          <w:b/>
          <w:bCs/>
          <w:sz w:val="24"/>
          <w:szCs w:val="24"/>
        </w:rPr>
        <w:t>h</w:t>
      </w:r>
      <w:r w:rsidRPr="00D25981">
        <w:rPr>
          <w:rFonts w:ascii="Times New Roman" w:hAnsi="Times New Roman"/>
          <w:b/>
          <w:bCs/>
          <w:sz w:val="24"/>
          <w:szCs w:val="24"/>
        </w:rPr>
        <w:t>elicobacter pylori-associated gastritis</w:t>
      </w:r>
    </w:p>
    <w:p w14:paraId="56C4BD5A" w14:textId="77777777" w:rsidR="00676754" w:rsidRDefault="00676754" w:rsidP="00676754">
      <w:pPr>
        <w:spacing w:line="360" w:lineRule="auto"/>
        <w:rPr>
          <w:rFonts w:ascii="Times New Roman" w:hAnsi="Times New Roman"/>
          <w:b/>
          <w:bCs/>
          <w:sz w:val="24"/>
          <w:szCs w:val="24"/>
        </w:rPr>
      </w:pPr>
    </w:p>
    <w:p w14:paraId="1E0AD55E" w14:textId="77777777" w:rsidR="00676754" w:rsidRDefault="00676754" w:rsidP="00676754">
      <w:pPr>
        <w:spacing w:after="200"/>
        <w:rPr>
          <w:rFonts w:ascii="Times New Roman" w:hAnsi="Times New Roman"/>
          <w:sz w:val="24"/>
          <w:szCs w:val="24"/>
        </w:rPr>
      </w:pPr>
      <w:r>
        <w:rPr>
          <w:rFonts w:ascii="Times New Roman" w:hAnsi="Times New Roman"/>
          <w:sz w:val="24"/>
          <w:szCs w:val="24"/>
        </w:rPr>
        <w:t>Supplementary material</w:t>
      </w:r>
    </w:p>
    <w:p w14:paraId="56AFC544" w14:textId="77777777" w:rsidR="00676754" w:rsidRPr="00676754" w:rsidRDefault="00676754" w:rsidP="00CD67B3">
      <w:pPr>
        <w:jc w:val="both"/>
        <w:rPr>
          <w:rFonts w:ascii="Times New Roman" w:hAnsi="Times New Roman" w:cs="Times New Roman"/>
          <w:b/>
          <w:bCs/>
          <w:sz w:val="24"/>
          <w:szCs w:val="24"/>
        </w:rPr>
      </w:pPr>
    </w:p>
    <w:p w14:paraId="3C956370" w14:textId="2176693B" w:rsidR="00CD67B3" w:rsidRPr="00F15FA9" w:rsidRDefault="00CD67B3" w:rsidP="00CD67B3">
      <w:pPr>
        <w:jc w:val="both"/>
        <w:rPr>
          <w:rFonts w:ascii="Times New Roman" w:hAnsi="Times New Roman" w:cs="Times New Roman"/>
          <w:b/>
          <w:bCs/>
          <w:sz w:val="24"/>
          <w:szCs w:val="24"/>
        </w:rPr>
      </w:pPr>
      <w:r w:rsidRPr="00F15FA9">
        <w:rPr>
          <w:rFonts w:ascii="Times New Roman" w:hAnsi="Times New Roman" w:cs="Times New Roman"/>
          <w:b/>
          <w:bCs/>
          <w:sz w:val="24"/>
          <w:szCs w:val="24"/>
        </w:rPr>
        <w:t>Data S</w:t>
      </w:r>
      <w:r w:rsidR="003254AD">
        <w:rPr>
          <w:rFonts w:ascii="Times New Roman" w:hAnsi="Times New Roman" w:cs="Times New Roman"/>
          <w:b/>
          <w:bCs/>
          <w:sz w:val="24"/>
          <w:szCs w:val="24"/>
        </w:rPr>
        <w:t>1</w:t>
      </w:r>
      <w:r w:rsidRPr="00F15FA9">
        <w:rPr>
          <w:rFonts w:ascii="Times New Roman" w:hAnsi="Times New Roman" w:cs="Times New Roman"/>
          <w:b/>
          <w:bCs/>
          <w:sz w:val="24"/>
          <w:szCs w:val="24"/>
        </w:rPr>
        <w:t>. Materials and methods</w:t>
      </w:r>
    </w:p>
    <w:p w14:paraId="47D50463" w14:textId="03761E4B" w:rsidR="007F21C6" w:rsidRDefault="00100F97" w:rsidP="00CD67B3">
      <w:pPr>
        <w:jc w:val="both"/>
        <w:rPr>
          <w:rFonts w:ascii="Times New Roman" w:hAnsi="Times New Roman" w:cs="Times New Roman"/>
          <w:sz w:val="24"/>
          <w:szCs w:val="24"/>
        </w:rPr>
      </w:pPr>
      <w:r w:rsidRPr="00F15FA9">
        <w:rPr>
          <w:rFonts w:ascii="Times New Roman" w:hAnsi="Times New Roman" w:cs="Times New Roman"/>
          <w:b/>
          <w:bCs/>
          <w:sz w:val="24"/>
          <w:szCs w:val="24"/>
        </w:rPr>
        <w:t>Histology Studies</w:t>
      </w:r>
      <w:r w:rsidR="00CD67B3" w:rsidRPr="00F15FA9">
        <w:rPr>
          <w:rFonts w:ascii="Times New Roman" w:hAnsi="Times New Roman" w:cs="Times New Roman"/>
          <w:b/>
          <w:bCs/>
          <w:sz w:val="24"/>
          <w:szCs w:val="24"/>
        </w:rPr>
        <w:t>.</w:t>
      </w:r>
      <w:r w:rsidR="00CD67B3">
        <w:rPr>
          <w:rFonts w:ascii="Times New Roman" w:hAnsi="Times New Roman" w:cs="Times New Roman"/>
          <w:i/>
          <w:iCs/>
          <w:sz w:val="24"/>
          <w:szCs w:val="24"/>
        </w:rPr>
        <w:t xml:space="preserve"> </w:t>
      </w:r>
      <w:r w:rsidR="007F21C6" w:rsidRPr="007F21C6">
        <w:rPr>
          <w:rFonts w:ascii="Times New Roman" w:hAnsi="Times New Roman" w:cs="Times New Roman"/>
          <w:sz w:val="24"/>
          <w:szCs w:val="24"/>
        </w:rPr>
        <w:t>The gastric mucosa w</w:t>
      </w:r>
      <w:r w:rsidR="00BA5C2A">
        <w:rPr>
          <w:rFonts w:ascii="Times New Roman" w:hAnsi="Times New Roman" w:cs="Times New Roman"/>
          <w:sz w:val="24"/>
          <w:szCs w:val="24"/>
        </w:rPr>
        <w:t>as</w:t>
      </w:r>
      <w:r w:rsidR="007F21C6" w:rsidRPr="007F21C6">
        <w:rPr>
          <w:rFonts w:ascii="Times New Roman" w:hAnsi="Times New Roman" w:cs="Times New Roman"/>
          <w:sz w:val="24"/>
          <w:szCs w:val="24"/>
        </w:rPr>
        <w:t xml:space="preserve"> immediately (after dissection) perfused with 10% aqueous formaldehyde solution and then embedded in paraffin. Tissue sections of 5 µm were prepared using a microtome and stained with haematoxylin and eosin (H&amp;E). The stained</w:t>
      </w:r>
      <w:r w:rsidR="007F21C6">
        <w:rPr>
          <w:rFonts w:ascii="Times New Roman" w:hAnsi="Times New Roman" w:cs="Times New Roman"/>
          <w:sz w:val="24"/>
          <w:szCs w:val="24"/>
        </w:rPr>
        <w:t xml:space="preserve"> </w:t>
      </w:r>
      <w:r w:rsidR="007F21C6" w:rsidRPr="007F21C6">
        <w:rPr>
          <w:rFonts w:ascii="Times New Roman" w:hAnsi="Times New Roman" w:cs="Times New Roman"/>
          <w:sz w:val="24"/>
          <w:szCs w:val="24"/>
        </w:rPr>
        <w:t>sections were analysed using a microscope slide scanner.</w:t>
      </w:r>
    </w:p>
    <w:p w14:paraId="60B0869E" w14:textId="3FCAC736" w:rsidR="00645EF4" w:rsidRDefault="00645EF4" w:rsidP="00645EF4">
      <w:pPr>
        <w:jc w:val="both"/>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6EF7BD46" wp14:editId="1B023C2A">
            <wp:extent cx="5273675" cy="2009775"/>
            <wp:effectExtent l="0" t="0" r="317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3675" cy="2009775"/>
                    </a:xfrm>
                    <a:prstGeom prst="rect">
                      <a:avLst/>
                    </a:prstGeom>
                    <a:noFill/>
                    <a:ln>
                      <a:noFill/>
                    </a:ln>
                  </pic:spPr>
                </pic:pic>
              </a:graphicData>
            </a:graphic>
          </wp:inline>
        </w:drawing>
      </w:r>
    </w:p>
    <w:p w14:paraId="70DB22F1" w14:textId="63983184" w:rsidR="00645EF4" w:rsidRDefault="00645EF4" w:rsidP="00645EF4">
      <w:pPr>
        <w:jc w:val="both"/>
        <w:rPr>
          <w:rFonts w:ascii="Times New Roman" w:hAnsi="Times New Roman" w:cs="Times New Roman"/>
          <w:sz w:val="24"/>
          <w:szCs w:val="24"/>
        </w:rPr>
      </w:pPr>
      <w:r w:rsidRPr="00577E93">
        <w:rPr>
          <w:rFonts w:ascii="Times New Roman" w:hAnsi="Times New Roman" w:cs="Times New Roman"/>
          <w:sz w:val="24"/>
          <w:szCs w:val="24"/>
        </w:rPr>
        <w:t xml:space="preserve">Figure </w:t>
      </w:r>
      <w:r>
        <w:rPr>
          <w:rFonts w:ascii="Times New Roman" w:hAnsi="Times New Roman" w:cs="Times New Roman"/>
          <w:sz w:val="24"/>
          <w:szCs w:val="24"/>
        </w:rPr>
        <w:t>S</w:t>
      </w:r>
      <w:r w:rsidRPr="00577E93">
        <w:rPr>
          <w:rFonts w:ascii="Times New Roman" w:hAnsi="Times New Roman" w:cs="Times New Roman"/>
          <w:sz w:val="24"/>
          <w:szCs w:val="24"/>
        </w:rPr>
        <w:t xml:space="preserve">1. </w:t>
      </w:r>
      <w:bookmarkStart w:id="0" w:name="_Hlk129088145"/>
      <w:r>
        <w:rPr>
          <w:rFonts w:ascii="Times New Roman" w:hAnsi="Times New Roman" w:cs="Times New Roman"/>
          <w:sz w:val="24"/>
          <w:szCs w:val="24"/>
        </w:rPr>
        <w:t>H</w:t>
      </w:r>
      <w:r w:rsidRPr="00577E93">
        <w:rPr>
          <w:rFonts w:ascii="Times New Roman" w:hAnsi="Times New Roman" w:cs="Times New Roman"/>
          <w:sz w:val="24"/>
          <w:szCs w:val="24"/>
        </w:rPr>
        <w:t xml:space="preserve">ematoxylin-eosin staining </w:t>
      </w:r>
      <w:r>
        <w:rPr>
          <w:rFonts w:ascii="Times New Roman" w:hAnsi="Times New Roman" w:cs="Times New Roman"/>
          <w:sz w:val="24"/>
          <w:szCs w:val="24"/>
        </w:rPr>
        <w:t>of</w:t>
      </w:r>
      <w:r w:rsidRPr="00577E93">
        <w:rPr>
          <w:rFonts w:ascii="Times New Roman" w:hAnsi="Times New Roman" w:cs="Times New Roman"/>
          <w:sz w:val="24"/>
          <w:szCs w:val="24"/>
        </w:rPr>
        <w:t xml:space="preserve"> the </w:t>
      </w:r>
      <w:r w:rsidRPr="00100F97">
        <w:rPr>
          <w:rFonts w:ascii="Times New Roman" w:hAnsi="Times New Roman" w:cs="Times New Roman"/>
          <w:sz w:val="24"/>
          <w:szCs w:val="24"/>
        </w:rPr>
        <w:t>gastric mucosa</w:t>
      </w:r>
      <w:r>
        <w:rPr>
          <w:rFonts w:ascii="Times New Roman" w:hAnsi="Times New Roman" w:cs="Times New Roman"/>
          <w:sz w:val="24"/>
          <w:szCs w:val="24"/>
        </w:rPr>
        <w:t xml:space="preserve"> samples obtained </w:t>
      </w:r>
      <w:r w:rsidRPr="00577E93">
        <w:rPr>
          <w:rFonts w:ascii="Times New Roman" w:hAnsi="Times New Roman" w:cs="Times New Roman"/>
          <w:sz w:val="24"/>
          <w:szCs w:val="24"/>
        </w:rPr>
        <w:t xml:space="preserve">from </w:t>
      </w:r>
      <w:r>
        <w:rPr>
          <w:rFonts w:ascii="Times New Roman" w:hAnsi="Times New Roman" w:cs="Times New Roman"/>
          <w:sz w:val="24"/>
          <w:szCs w:val="24"/>
        </w:rPr>
        <w:t xml:space="preserve">a </w:t>
      </w:r>
      <w:r w:rsidRPr="00577E93">
        <w:rPr>
          <w:rFonts w:ascii="Times New Roman" w:hAnsi="Times New Roman" w:cs="Times New Roman"/>
          <w:sz w:val="24"/>
          <w:szCs w:val="24"/>
        </w:rPr>
        <w:t>gastric biopsy</w:t>
      </w:r>
      <w:r>
        <w:rPr>
          <w:rFonts w:ascii="Times New Roman" w:hAnsi="Times New Roman" w:cs="Times New Roman"/>
          <w:sz w:val="24"/>
          <w:szCs w:val="24"/>
        </w:rPr>
        <w:t>.</w:t>
      </w:r>
      <w:r w:rsidRPr="00577E93">
        <w:rPr>
          <w:rFonts w:ascii="Times New Roman" w:hAnsi="Times New Roman" w:cs="Times New Roman"/>
          <w:sz w:val="24"/>
          <w:szCs w:val="24"/>
        </w:rPr>
        <w:t xml:space="preserve"> </w:t>
      </w:r>
      <w:bookmarkEnd w:id="0"/>
      <w:r w:rsidRPr="00577E93">
        <w:rPr>
          <w:rFonts w:ascii="Times New Roman" w:hAnsi="Times New Roman" w:cs="Times New Roman"/>
          <w:sz w:val="24"/>
          <w:szCs w:val="24"/>
        </w:rPr>
        <w:t>(</w:t>
      </w:r>
      <w:r>
        <w:rPr>
          <w:rFonts w:ascii="Times New Roman" w:hAnsi="Times New Roman" w:cs="Times New Roman"/>
          <w:sz w:val="24"/>
          <w:szCs w:val="24"/>
        </w:rPr>
        <w:t>A1, A2</w:t>
      </w:r>
      <w:r w:rsidRPr="00577E93">
        <w:rPr>
          <w:rFonts w:ascii="Times New Roman" w:hAnsi="Times New Roman" w:cs="Times New Roman"/>
          <w:sz w:val="24"/>
          <w:szCs w:val="24"/>
        </w:rPr>
        <w:t>)</w:t>
      </w:r>
      <w:r>
        <w:rPr>
          <w:rFonts w:ascii="Times New Roman" w:hAnsi="Times New Roman" w:cs="Times New Roman"/>
          <w:sz w:val="24"/>
          <w:szCs w:val="24"/>
        </w:rPr>
        <w:t xml:space="preserve">, </w:t>
      </w:r>
      <w:r w:rsidRPr="00CA03D5">
        <w:rPr>
          <w:rFonts w:ascii="Times New Roman" w:hAnsi="Times New Roman" w:cs="Times New Roman"/>
          <w:sz w:val="24"/>
          <w:szCs w:val="24"/>
        </w:rPr>
        <w:t>normal group</w:t>
      </w:r>
      <w:r w:rsidRPr="00577E93">
        <w:rPr>
          <w:rFonts w:ascii="Times New Roman" w:hAnsi="Times New Roman" w:cs="Times New Roman"/>
          <w:sz w:val="24"/>
          <w:szCs w:val="24"/>
        </w:rPr>
        <w:t>; (</w:t>
      </w:r>
      <w:r>
        <w:rPr>
          <w:rFonts w:ascii="Times New Roman" w:hAnsi="Times New Roman" w:cs="Times New Roman"/>
          <w:sz w:val="24"/>
          <w:szCs w:val="24"/>
        </w:rPr>
        <w:t>B1, B2)</w:t>
      </w:r>
      <w:r w:rsidRPr="0029445C">
        <w:rPr>
          <w:rFonts w:ascii="Times New Roman" w:hAnsi="Times New Roman" w:cs="Times New Roman"/>
          <w:sz w:val="24"/>
          <w:szCs w:val="24"/>
        </w:rPr>
        <w:t xml:space="preserve"> </w:t>
      </w:r>
      <w:r w:rsidRPr="00CA03D5">
        <w:rPr>
          <w:rFonts w:ascii="Times New Roman" w:hAnsi="Times New Roman" w:cs="Times New Roman"/>
          <w:sz w:val="24"/>
          <w:szCs w:val="24"/>
        </w:rPr>
        <w:t xml:space="preserve">normal gastritis </w:t>
      </w:r>
      <w:r w:rsidRPr="00577E93">
        <w:rPr>
          <w:rFonts w:ascii="Times New Roman" w:hAnsi="Times New Roman" w:cs="Times New Roman"/>
          <w:sz w:val="24"/>
          <w:szCs w:val="24"/>
        </w:rPr>
        <w:t>(</w:t>
      </w:r>
      <w:r>
        <w:rPr>
          <w:rFonts w:ascii="Times New Roman" w:hAnsi="Times New Roman" w:cs="Times New Roman"/>
          <w:sz w:val="24"/>
          <w:szCs w:val="24"/>
        </w:rPr>
        <w:t>C1, C2)</w:t>
      </w:r>
      <w:r w:rsidRPr="00577E93">
        <w:rPr>
          <w:rFonts w:ascii="Times New Roman" w:hAnsi="Times New Roman" w:cs="Times New Roman"/>
          <w:sz w:val="24"/>
          <w:szCs w:val="24"/>
        </w:rPr>
        <w:t xml:space="preserve"> </w:t>
      </w:r>
      <w:r w:rsidRPr="00CE48D4">
        <w:rPr>
          <w:rFonts w:ascii="Times New Roman" w:hAnsi="Times New Roman"/>
          <w:i/>
          <w:sz w:val="24"/>
        </w:rPr>
        <w:t>Helicobacter pylori</w:t>
      </w:r>
      <w:r w:rsidRPr="00CA03D5">
        <w:rPr>
          <w:rFonts w:ascii="Times New Roman" w:hAnsi="Times New Roman" w:cs="Times New Roman"/>
          <w:sz w:val="24"/>
          <w:szCs w:val="24"/>
        </w:rPr>
        <w:t>-infected gastritis</w:t>
      </w:r>
      <w:r>
        <w:rPr>
          <w:rFonts w:ascii="Times New Roman" w:hAnsi="Times New Roman" w:cs="Times New Roman" w:hint="eastAsia"/>
          <w:sz w:val="24"/>
          <w:szCs w:val="24"/>
        </w:rPr>
        <w:t>;</w:t>
      </w:r>
      <w:r>
        <w:rPr>
          <w:rFonts w:ascii="Times New Roman" w:hAnsi="Times New Roman" w:cs="Times New Roman"/>
          <w:sz w:val="24"/>
          <w:szCs w:val="24"/>
        </w:rPr>
        <w:t xml:space="preserve"> </w:t>
      </w:r>
      <w:r w:rsidRPr="00577E93">
        <w:rPr>
          <w:rFonts w:ascii="Times New Roman" w:hAnsi="Times New Roman" w:cs="Times New Roman"/>
          <w:sz w:val="24"/>
          <w:szCs w:val="24"/>
        </w:rPr>
        <w:t xml:space="preserve">EI: eosinophil infiltration; IM1: intestinal metaplasia; IM2: intestinal metaplasia without glandular cavity of </w:t>
      </w:r>
      <w:r>
        <w:rPr>
          <w:rFonts w:ascii="Times New Roman" w:hAnsi="Times New Roman" w:cs="Times New Roman"/>
          <w:sz w:val="24"/>
          <w:szCs w:val="24"/>
        </w:rPr>
        <w:t xml:space="preserve">the </w:t>
      </w:r>
      <w:r w:rsidRPr="00577E93">
        <w:rPr>
          <w:rFonts w:ascii="Times New Roman" w:hAnsi="Times New Roman" w:cs="Times New Roman"/>
          <w:sz w:val="24"/>
          <w:szCs w:val="24"/>
        </w:rPr>
        <w:t>pyloric gland; APG: atrophy of pyloric gland; LI: Lymphocytes infiltration</w:t>
      </w:r>
      <w:r>
        <w:rPr>
          <w:rFonts w:ascii="Times New Roman" w:hAnsi="Times New Roman" w:cs="Times New Roman"/>
          <w:sz w:val="24"/>
          <w:szCs w:val="24"/>
        </w:rPr>
        <w:t xml:space="preserve">; HP: </w:t>
      </w:r>
      <w:r w:rsidRPr="00CE48D4">
        <w:rPr>
          <w:rFonts w:ascii="Times New Roman" w:hAnsi="Times New Roman"/>
          <w:i/>
          <w:sz w:val="24"/>
        </w:rPr>
        <w:t>Helicobacter pylori</w:t>
      </w:r>
      <w:r w:rsidRPr="00577E93">
        <w:rPr>
          <w:rFonts w:ascii="Times New Roman" w:hAnsi="Times New Roman" w:cs="Times New Roman"/>
          <w:sz w:val="24"/>
          <w:szCs w:val="24"/>
        </w:rPr>
        <w:t xml:space="preserve">. Black arrows show locations of common histomorphological characteristics in different stages. </w:t>
      </w:r>
      <w:r w:rsidRPr="00247FEC">
        <w:rPr>
          <w:rFonts w:ascii="Times New Roman" w:hAnsi="Times New Roman" w:cs="Times New Roman"/>
          <w:sz w:val="24"/>
          <w:szCs w:val="24"/>
        </w:rPr>
        <w:t>Scale</w:t>
      </w:r>
      <w:r>
        <w:rPr>
          <w:rFonts w:ascii="Times New Roman" w:hAnsi="Times New Roman" w:cs="Times New Roman"/>
          <w:sz w:val="24"/>
          <w:szCs w:val="24"/>
        </w:rPr>
        <w:t xml:space="preserve"> </w:t>
      </w:r>
      <w:r w:rsidRPr="00247FEC">
        <w:rPr>
          <w:rFonts w:ascii="Times New Roman" w:hAnsi="Times New Roman" w:cs="Times New Roman"/>
          <w:sz w:val="24"/>
          <w:szCs w:val="24"/>
        </w:rPr>
        <w:t xml:space="preserve">bar = </w:t>
      </w:r>
      <w:r>
        <w:rPr>
          <w:rFonts w:ascii="Times New Roman" w:hAnsi="Times New Roman" w:cs="Times New Roman"/>
          <w:sz w:val="24"/>
          <w:szCs w:val="24"/>
        </w:rPr>
        <w:t>10</w:t>
      </w:r>
      <w:r w:rsidRPr="00247FEC">
        <w:rPr>
          <w:rFonts w:ascii="Times New Roman" w:hAnsi="Times New Roman" w:cs="Times New Roman"/>
          <w:sz w:val="24"/>
          <w:szCs w:val="24"/>
        </w:rPr>
        <w:t>0 µm</w:t>
      </w:r>
      <w:r>
        <w:rPr>
          <w:rFonts w:ascii="Times New Roman" w:hAnsi="Times New Roman" w:cs="Times New Roman"/>
          <w:sz w:val="24"/>
          <w:szCs w:val="24"/>
        </w:rPr>
        <w:t xml:space="preserve"> in A1, B1, C1; </w:t>
      </w:r>
      <w:r w:rsidRPr="00247FEC">
        <w:rPr>
          <w:rFonts w:ascii="Times New Roman" w:hAnsi="Times New Roman" w:cs="Times New Roman"/>
          <w:sz w:val="24"/>
          <w:szCs w:val="24"/>
        </w:rPr>
        <w:t>Scale</w:t>
      </w:r>
      <w:r>
        <w:rPr>
          <w:rFonts w:ascii="Times New Roman" w:hAnsi="Times New Roman" w:cs="Times New Roman"/>
          <w:sz w:val="24"/>
          <w:szCs w:val="24"/>
        </w:rPr>
        <w:t xml:space="preserve"> </w:t>
      </w:r>
      <w:r w:rsidRPr="00247FEC">
        <w:rPr>
          <w:rFonts w:ascii="Times New Roman" w:hAnsi="Times New Roman" w:cs="Times New Roman"/>
          <w:sz w:val="24"/>
          <w:szCs w:val="24"/>
        </w:rPr>
        <w:t xml:space="preserve">bar = </w:t>
      </w:r>
      <w:r>
        <w:rPr>
          <w:rFonts w:ascii="Times New Roman" w:hAnsi="Times New Roman" w:cs="Times New Roman"/>
          <w:sz w:val="24"/>
          <w:szCs w:val="24"/>
        </w:rPr>
        <w:t>20</w:t>
      </w:r>
      <w:r w:rsidRPr="00247FEC">
        <w:rPr>
          <w:rFonts w:ascii="Times New Roman" w:hAnsi="Times New Roman" w:cs="Times New Roman"/>
          <w:sz w:val="24"/>
          <w:szCs w:val="24"/>
        </w:rPr>
        <w:t xml:space="preserve"> µm</w:t>
      </w:r>
      <w:r>
        <w:rPr>
          <w:rFonts w:ascii="Times New Roman" w:hAnsi="Times New Roman" w:cs="Times New Roman"/>
          <w:sz w:val="24"/>
          <w:szCs w:val="24"/>
        </w:rPr>
        <w:t xml:space="preserve"> in A2, B2, C2.</w:t>
      </w:r>
    </w:p>
    <w:p w14:paraId="6574CEA1" w14:textId="77777777" w:rsidR="00645EF4" w:rsidRPr="00CD67B3" w:rsidRDefault="00645EF4" w:rsidP="00CD67B3">
      <w:pPr>
        <w:jc w:val="both"/>
        <w:rPr>
          <w:rFonts w:ascii="Times New Roman" w:hAnsi="Times New Roman" w:cs="Times New Roman"/>
          <w:i/>
          <w:iCs/>
          <w:sz w:val="24"/>
          <w:szCs w:val="24"/>
        </w:rPr>
      </w:pPr>
    </w:p>
    <w:p w14:paraId="22687A7A" w14:textId="6BAB87DD" w:rsidR="00C55A76" w:rsidRDefault="00C55A76" w:rsidP="00CD67B3">
      <w:pPr>
        <w:jc w:val="both"/>
        <w:rPr>
          <w:rFonts w:ascii="Times New Roman" w:hAnsi="Times New Roman" w:cs="Times New Roman"/>
          <w:sz w:val="24"/>
          <w:szCs w:val="24"/>
        </w:rPr>
      </w:pPr>
      <w:r w:rsidRPr="00F15FA9">
        <w:rPr>
          <w:rFonts w:ascii="Times New Roman" w:hAnsi="Times New Roman" w:cs="Times New Roman"/>
          <w:b/>
          <w:bCs/>
          <w:sz w:val="24"/>
          <w:szCs w:val="24"/>
        </w:rPr>
        <w:lastRenderedPageBreak/>
        <w:t>Endoscopy</w:t>
      </w:r>
      <w:r w:rsidR="00CD67B3" w:rsidRPr="00F15FA9">
        <w:rPr>
          <w:rFonts w:ascii="Times New Roman" w:hAnsi="Times New Roman" w:cs="Times New Roman"/>
          <w:b/>
          <w:bCs/>
          <w:sz w:val="24"/>
          <w:szCs w:val="24"/>
        </w:rPr>
        <w:t xml:space="preserve">. </w:t>
      </w:r>
      <w:r w:rsidRPr="00C55A76">
        <w:rPr>
          <w:rFonts w:ascii="Times New Roman" w:hAnsi="Times New Roman" w:cs="Times New Roman" w:hint="eastAsia"/>
          <w:sz w:val="24"/>
          <w:szCs w:val="24"/>
        </w:rPr>
        <w:t>The Kyoto Classification of Gastritis, categori</w:t>
      </w:r>
      <w:r w:rsidR="00BA5C2A">
        <w:rPr>
          <w:rFonts w:ascii="Times New Roman" w:hAnsi="Times New Roman" w:cs="Times New Roman"/>
          <w:sz w:val="24"/>
          <w:szCs w:val="24"/>
        </w:rPr>
        <w:t>s</w:t>
      </w:r>
      <w:r w:rsidRPr="00C55A76">
        <w:rPr>
          <w:rFonts w:ascii="Times New Roman" w:hAnsi="Times New Roman" w:cs="Times New Roman" w:hint="eastAsia"/>
          <w:sz w:val="24"/>
          <w:szCs w:val="24"/>
        </w:rPr>
        <w:t xml:space="preserve">ing </w:t>
      </w:r>
      <w:r w:rsidRPr="00CE48D4">
        <w:rPr>
          <w:rFonts w:ascii="Times New Roman" w:hAnsi="Times New Roman"/>
          <w:i/>
          <w:sz w:val="24"/>
        </w:rPr>
        <w:t>H. pylori</w:t>
      </w:r>
      <w:r w:rsidRPr="00C55A76">
        <w:rPr>
          <w:rFonts w:ascii="Times New Roman" w:hAnsi="Times New Roman" w:cs="Times New Roman" w:hint="eastAsia"/>
          <w:sz w:val="24"/>
          <w:szCs w:val="24"/>
        </w:rPr>
        <w:t xml:space="preserve"> infection into three phases (non-gastritis, active gastritis, and inactive gastritis</w:t>
      </w:r>
      <w:r w:rsidR="00BA5C2A">
        <w:rPr>
          <w:rFonts w:ascii="Times New Roman" w:hAnsi="Times New Roman" w:cs="Times New Roman" w:hint="eastAsia"/>
          <w:sz w:val="24"/>
          <w:szCs w:val="24"/>
        </w:rPr>
        <w:t>)</w:t>
      </w:r>
      <w:r w:rsidR="00BA5C2A">
        <w:rPr>
          <w:rFonts w:ascii="Times New Roman" w:hAnsi="Times New Roman" w:cs="Times New Roman"/>
          <w:sz w:val="24"/>
          <w:szCs w:val="24"/>
        </w:rPr>
        <w:t xml:space="preserve">, </w:t>
      </w:r>
      <w:r w:rsidRPr="00C55A76">
        <w:rPr>
          <w:rFonts w:ascii="Times New Roman" w:hAnsi="Times New Roman" w:cs="Times New Roman" w:hint="eastAsia"/>
          <w:sz w:val="24"/>
          <w:szCs w:val="24"/>
        </w:rPr>
        <w:t xml:space="preserve">was proposed to better assess the status of H. pylori infection and </w:t>
      </w:r>
      <w:r w:rsidR="007A46C4" w:rsidRPr="007A46C4">
        <w:rPr>
          <w:rFonts w:ascii="Times New Roman" w:hAnsi="Times New Roman" w:cs="Times New Roman"/>
          <w:sz w:val="24"/>
          <w:szCs w:val="24"/>
        </w:rPr>
        <w:t xml:space="preserve"> gastric cancer</w:t>
      </w:r>
      <w:r w:rsidR="007A46C4">
        <w:rPr>
          <w:rFonts w:ascii="Times New Roman" w:hAnsi="Times New Roman" w:cs="Times New Roman"/>
          <w:sz w:val="24"/>
          <w:szCs w:val="24"/>
        </w:rPr>
        <w:t xml:space="preserve"> (</w:t>
      </w:r>
      <w:r w:rsidRPr="00C55A76">
        <w:rPr>
          <w:rFonts w:ascii="Times New Roman" w:hAnsi="Times New Roman" w:cs="Times New Roman" w:hint="eastAsia"/>
          <w:sz w:val="24"/>
          <w:szCs w:val="24"/>
        </w:rPr>
        <w:t>GC</w:t>
      </w:r>
      <w:r w:rsidR="007A46C4">
        <w:rPr>
          <w:rFonts w:ascii="Times New Roman" w:hAnsi="Times New Roman" w:cs="Times New Roman"/>
          <w:sz w:val="24"/>
          <w:szCs w:val="24"/>
        </w:rPr>
        <w:t>)</w:t>
      </w:r>
      <w:r w:rsidRPr="00C55A76">
        <w:rPr>
          <w:rFonts w:ascii="Times New Roman" w:hAnsi="Times New Roman" w:cs="Times New Roman" w:hint="eastAsia"/>
          <w:sz w:val="24"/>
          <w:szCs w:val="24"/>
        </w:rPr>
        <w:t xml:space="preserve"> risk by endoscopy</w:t>
      </w:r>
      <w:r w:rsidR="00BA5C2A">
        <w:rPr>
          <w:rFonts w:ascii="Times New Roman" w:hAnsi="Times New Roman" w:cs="Times New Roman"/>
          <w:sz w:val="24"/>
          <w:szCs w:val="24"/>
        </w:rPr>
        <w:t xml:space="preserve"> </w:t>
      </w:r>
      <w:r w:rsidR="00A72C5F">
        <w:rPr>
          <w:rFonts w:ascii="Times New Roman" w:hAnsi="Times New Roman" w:cs="Times New Roman"/>
          <w:sz w:val="24"/>
          <w:szCs w:val="24"/>
        </w:rPr>
        <w:fldChar w:fldCharType="begin" w:fldLock="1"/>
      </w:r>
      <w:r w:rsidR="00645EF4">
        <w:rPr>
          <w:rFonts w:ascii="Times New Roman" w:hAnsi="Times New Roman" w:cs="Times New Roman"/>
          <w:sz w:val="24"/>
          <w:szCs w:val="24"/>
        </w:rPr>
        <w:instrText>ADDIN CSL_CITATION {"citationItems":[{"id":"ITEM-1","itemData":{"DOI":"10.1111/j.1440-1746.1991.tb01469.x","ISSN":"14401746","PMID":"1912432","author":[{"dropping-particle":"","family":"TYTGAT","given":"G. N.J.","non-dropping-particle":"","parse-names":false,"suffix":""}],"container-title":"Journal of Gastroenterology and Hepatology","id":"ITEM-1","issue":"3","issued":{"date-parts":[["1991","6","1"]]},"page":"223-234","publisher":"John Wiley &amp; Sons, Ltd","title":"The Sydney System: Endoscopic division. Endoscopic appearances in gastritis/duodenitis","type":"article-journal","volume":"6"},"uris":["http://www.mendeley.com/documents/?uuid=b58687f4-5b0e-350b-8b4f-2e029cccfb9a"]}],"mendeley":{"formattedCitation":"&lt;sup&gt;1&lt;/sup&gt;","plainTextFormattedCitation":"1","previouslyFormattedCitation":"(1)"},"properties":{"noteIndex":0},"schema":"https://github.com/citation-style-language/schema/raw/master/csl-citation.json"}</w:instrText>
      </w:r>
      <w:r w:rsidR="00A72C5F">
        <w:rPr>
          <w:rFonts w:ascii="Times New Roman" w:hAnsi="Times New Roman" w:cs="Times New Roman"/>
          <w:sz w:val="24"/>
          <w:szCs w:val="24"/>
        </w:rPr>
        <w:fldChar w:fldCharType="separate"/>
      </w:r>
      <w:r w:rsidR="00645EF4" w:rsidRPr="00645EF4">
        <w:rPr>
          <w:rFonts w:ascii="Times New Roman" w:hAnsi="Times New Roman" w:cs="Times New Roman"/>
          <w:noProof/>
          <w:sz w:val="24"/>
          <w:szCs w:val="24"/>
          <w:vertAlign w:val="superscript"/>
        </w:rPr>
        <w:t>1</w:t>
      </w:r>
      <w:r w:rsidR="00A72C5F">
        <w:rPr>
          <w:rFonts w:ascii="Times New Roman" w:hAnsi="Times New Roman" w:cs="Times New Roman"/>
          <w:sz w:val="24"/>
          <w:szCs w:val="24"/>
        </w:rPr>
        <w:fldChar w:fldCharType="end"/>
      </w:r>
      <w:r w:rsidRPr="00C55A76">
        <w:rPr>
          <w:rFonts w:ascii="Times New Roman" w:hAnsi="Times New Roman" w:cs="Times New Roman" w:hint="eastAsia"/>
          <w:sz w:val="24"/>
          <w:szCs w:val="24"/>
        </w:rPr>
        <w:t>. In a healthy st</w:t>
      </w:r>
      <w:r w:rsidRPr="00C55A76">
        <w:rPr>
          <w:rFonts w:ascii="Times New Roman" w:hAnsi="Times New Roman" w:cs="Times New Roman"/>
          <w:sz w:val="24"/>
          <w:szCs w:val="24"/>
        </w:rPr>
        <w:t xml:space="preserve">omach, an easily detectable feature, non-gastritis, was the regular arrangement of collecting venules (RAC), featured as </w:t>
      </w:r>
      <w:r w:rsidR="00BA5C2A">
        <w:rPr>
          <w:rFonts w:ascii="Times New Roman" w:hAnsi="Times New Roman" w:cs="Times New Roman"/>
          <w:sz w:val="24"/>
          <w:szCs w:val="24"/>
        </w:rPr>
        <w:t>tiny</w:t>
      </w:r>
      <w:r w:rsidRPr="00C55A76">
        <w:rPr>
          <w:rFonts w:ascii="Times New Roman" w:hAnsi="Times New Roman" w:cs="Times New Roman"/>
          <w:sz w:val="24"/>
          <w:szCs w:val="24"/>
        </w:rPr>
        <w:t xml:space="preserve"> red spots on the mucosal surface</w:t>
      </w:r>
      <w:r w:rsidR="00BA5C2A">
        <w:rPr>
          <w:rFonts w:ascii="Times New Roman" w:hAnsi="Times New Roman" w:cs="Times New Roman"/>
          <w:sz w:val="24"/>
          <w:szCs w:val="24"/>
        </w:rPr>
        <w:t xml:space="preserve"> </w:t>
      </w:r>
      <w:r w:rsidR="00A72C5F">
        <w:rPr>
          <w:rFonts w:ascii="Times New Roman" w:hAnsi="Times New Roman" w:cs="Times New Roman"/>
          <w:sz w:val="24"/>
          <w:szCs w:val="24"/>
        </w:rPr>
        <w:fldChar w:fldCharType="begin" w:fldLock="1"/>
      </w:r>
      <w:r w:rsidR="00645EF4">
        <w:rPr>
          <w:rFonts w:ascii="Times New Roman" w:hAnsi="Times New Roman" w:cs="Times New Roman"/>
          <w:sz w:val="24"/>
          <w:szCs w:val="24"/>
        </w:rPr>
        <w:instrText>ADDIN CSL_CITATION {"citationItems":[{"id":"ITEM-1","itemData":{"DOI":"10.1111/den.13808","ISSN":"0915-5635","PMID":"32767790","abstract":"Background: The regular arrangement of collecting venules (RAC) and the Kimura-Takemoto classification of atrophic change (KTC) are simple and easy-to-use criteria which have been shown to reliably predict or rule out a Helicobacter pylori infection of the stomach. Although these features have been investigated extensively in Asia, their significance in the West has not been evaluated. Methods: In a series of 200 consecutive gastroscopic examinations (single examiner, single center), the presence or absence of RAC and the KTC grade (open type vs closed type) were recorded prospectively. Helicobacter pylori infection was defined as a positive histology or a positive rapid urease test. Furthermore, multivariate analysis of endoscopic predictors of H. pylori infection based on the Kyoto classification of gastritis was performed. Results: Two hundred patients were examined of which 57 had a H. pylori infection (28%). Both RAC and KTC had excellent negative predictive values of about 90% and sensitivity values of up to 85%. In multivariate analysis, atrophic change and diffuse redness without RAC were significantly associated with H. pylori infection. Conclusion: Regular arrangement of collecting venules and KTC are simple endoscopic features which should be given attention by Western endoscopists and can be easily used to rule out a H. pylori infection of the stomach.","author":[{"dropping-particle":"","family":"Ebigbo","given":"Alanna","non-dropping-particle":"","parse-names":false,"suffix":""},{"dropping-particle":"","family":"Marienhagen","given":"Jörg","non-dropping-particle":"","parse-names":false,"suffix":""},{"dropping-particle":"","family":"Messmann","given":"Helmut","non-dropping-particle":"","parse-names":false,"suffix":""}],"container-title":"Digestive Endoscopy","id":"ITEM-1","issue":"4","issued":{"date-parts":[["2021","5","28"]]},"page":"587-591","title":"Regu</w:instrText>
      </w:r>
      <w:r w:rsidR="00645EF4">
        <w:rPr>
          <w:rFonts w:ascii="Times New Roman" w:hAnsi="Times New Roman" w:cs="Times New Roman" w:hint="eastAsia"/>
          <w:sz w:val="24"/>
          <w:szCs w:val="24"/>
        </w:rPr>
        <w:instrText>lar arrangement of collecting venules and the Kimura</w:instrText>
      </w:r>
      <w:r w:rsidR="00645EF4">
        <w:rPr>
          <w:rFonts w:ascii="Times New Roman" w:hAnsi="Times New Roman" w:cs="Times New Roman" w:hint="eastAsia"/>
          <w:sz w:val="24"/>
          <w:szCs w:val="24"/>
        </w:rPr>
        <w:instrText>‐</w:instrText>
      </w:r>
      <w:r w:rsidR="00645EF4">
        <w:rPr>
          <w:rFonts w:ascii="Times New Roman" w:hAnsi="Times New Roman" w:cs="Times New Roman" w:hint="eastAsia"/>
          <w:sz w:val="24"/>
          <w:szCs w:val="24"/>
        </w:rPr>
        <w:instrText>Takemoto classification for the endoscopic diagnosis of Helicobacter pylori infection: Evaluation in a Western setting","type":"article-journal","volume":"33"},"uris":["http://www.mendeley.com/documents</w:instrText>
      </w:r>
      <w:r w:rsidR="00645EF4">
        <w:rPr>
          <w:rFonts w:ascii="Times New Roman" w:hAnsi="Times New Roman" w:cs="Times New Roman"/>
          <w:sz w:val="24"/>
          <w:szCs w:val="24"/>
        </w:rPr>
        <w:instrText>/?uuid=3ceb4c00-4ebc-4aa5-af28-06f6cc36039a"]},{"id":"ITEM-2","itemData":{"DOI":"10.3389/fonc.2020.599218","ISSN":"2234943X","abstract":"Background: There is lack of clinical evidence supporting the value of the Kyoto classification of gastritis for the diagnosis of Helicobacter pylori (H. pylori) infection in Chinese patients, and there aren’t enough specific features for the endoscopic diagnosis of past infections, which is of special significance for the prevention of early gastric cancer (GC). Methods: This was a prospective and multicenter study with 650 Chinese patients. The H. pylori status and gastric mucosal features, including 17 characteristics based on the Kyoto classification and two newly-defined features unclear atrophy boundary (UAB) and RAC reappearance in atrophic mucosa (RAC reappearance) were recorded in a blind fashion. The clinical characteristics of the subjects were analyzed, and the diagnostic odds ratio (DOR), sensitivity, specificity, positive predictive value (PPV), negative predictive value (NPV), area under the receiver operating characteristics curve (ROC/AUC), and 95% confidence intervals were calculated for the different features, individually, and in combination. Results: For past infection, the DOR of UAB was 7.69 (95%CI:3.11−19.1), second only to map-like redness (7.78 (95%CI: 3.43−17.7)). RAC reappearance showed the highest ROC/AUC (0.583). In cases in which at least one of these three specific features of past infection was considered positive, the ROC/AUC reached 0.643. For current infection, nodularity showed the highest DOR (11.7 (95%CI: 2.65−51.2)), followed by diffuse redness (10.5 (95%CI: 4.87−22.6)). Mucosal swelling showed the highest ROC/AUC (0.726). Regular arrangement of collecting venules (RAC) was specific for no infection. Conclusions: This study provides evidence of the clinical accuracy and robustness of the Kyoto classification of gastritis for the diagnosis of H. pylori in Chinese patients, and confirms UAB and RAC reappearance partly supplement it for the diagnosis of past infections, which is of great benefit to the early prevention of GC.","author":[{"dropping-particle":"","family":"Zhao","given":"Jing","non-dropping-particle":"","parse-names":false,"suffix":""},{"dropping-particle":"","family":"Xu","given":"Shaoxian","non-dropping-particle":"","parse-names":false,"suffix":""},{"dropping-particle":"","family":"Gao","given":"Yuan","non-dropping-particle":"","parse-names":false,"suffix":""},{"dropping-particle":"","family":"Lei","given":"Yali","non-dropping-particle":"","parse-names":false,"suffix":""},{"dropping-particle":"","family":"Zou","given":"Baicang","non-dropping-particle":"","parse-names":false,"suffix":""},{"dropping-particle":"","family":"Zhou","given":"Mimi","non-dropping-particle":"","parse-names":false,"suffix":""},{"dropping-particle":"","family":"Chang","given":"Danyan","non-dropping-particle":"","parse-names":false,"suffix":""},{"dropping-particle":"","family":"Dong","given":"Lei","non-dropping-particle":"","parse-names":false,"suffix":""},{"dropping-particle":"","family":"Qin","given":"Bin","non-dropping-particle":"","parse-names":false,"suffix":""}],"container-title":"Frontiers in Oncology","id":"ITEM-2","issue":"December","issued":{"date-parts":[["2020"]]},"page":"1-9","title":"Accuracy of Endoscopic Diagnosis of Helicobacter pylori Based on the Kyoto Classification of Gastritis: A Multicenter Study","type":"article-journal","volume":"10"},"uris":["http://www.mendeley.com/documents/?uuid=12109925-d501-4fa2-82c9-bba5e1943d66"]}],"mendeley":{"formattedCitation":"&lt;sup&gt;2,3&lt;/sup&gt;","plainTextFormattedCitation":"2,3","previouslyFormattedCitation":"(2,3)"},"properties":{"noteIndex":0},"schema":"https://github.com/citation-style-language/schema/raw/master/csl-citation.json"}</w:instrText>
      </w:r>
      <w:r w:rsidR="00A72C5F">
        <w:rPr>
          <w:rFonts w:ascii="Times New Roman" w:hAnsi="Times New Roman" w:cs="Times New Roman"/>
          <w:sz w:val="24"/>
          <w:szCs w:val="24"/>
        </w:rPr>
        <w:fldChar w:fldCharType="separate"/>
      </w:r>
      <w:r w:rsidR="00645EF4" w:rsidRPr="00645EF4">
        <w:rPr>
          <w:rFonts w:ascii="Times New Roman" w:hAnsi="Times New Roman" w:cs="Times New Roman"/>
          <w:noProof/>
          <w:sz w:val="24"/>
          <w:szCs w:val="24"/>
          <w:vertAlign w:val="superscript"/>
        </w:rPr>
        <w:t>2,3</w:t>
      </w:r>
      <w:r w:rsidR="00A72C5F">
        <w:rPr>
          <w:rFonts w:ascii="Times New Roman" w:hAnsi="Times New Roman" w:cs="Times New Roman"/>
          <w:sz w:val="24"/>
          <w:szCs w:val="24"/>
        </w:rPr>
        <w:fldChar w:fldCharType="end"/>
      </w:r>
      <w:r w:rsidRPr="00C55A76">
        <w:rPr>
          <w:rFonts w:ascii="Times New Roman" w:hAnsi="Times New Roman" w:cs="Times New Roman"/>
          <w:sz w:val="24"/>
          <w:szCs w:val="24"/>
        </w:rPr>
        <w:t>. However, after being infected with H. pylori, the stomach was characteri</w:t>
      </w:r>
      <w:r w:rsidR="00BA5C2A">
        <w:rPr>
          <w:rFonts w:ascii="Times New Roman" w:hAnsi="Times New Roman" w:cs="Times New Roman"/>
          <w:sz w:val="24"/>
          <w:szCs w:val="24"/>
        </w:rPr>
        <w:t>s</w:t>
      </w:r>
      <w:r w:rsidRPr="00C55A76">
        <w:rPr>
          <w:rFonts w:ascii="Times New Roman" w:hAnsi="Times New Roman" w:cs="Times New Roman"/>
          <w:sz w:val="24"/>
          <w:szCs w:val="24"/>
        </w:rPr>
        <w:t>ed as irregular arrangement or absence of the so-called collecting venules</w:t>
      </w:r>
      <w:r w:rsidR="00BA5C2A">
        <w:rPr>
          <w:rFonts w:ascii="Times New Roman" w:hAnsi="Times New Roman" w:cs="Times New Roman"/>
          <w:sz w:val="24"/>
          <w:szCs w:val="24"/>
        </w:rPr>
        <w:t xml:space="preserve"> </w:t>
      </w:r>
      <w:r w:rsidR="00A72C5F">
        <w:rPr>
          <w:rFonts w:ascii="Times New Roman" w:hAnsi="Times New Roman" w:cs="Times New Roman"/>
          <w:sz w:val="24"/>
          <w:szCs w:val="24"/>
        </w:rPr>
        <w:fldChar w:fldCharType="begin" w:fldLock="1"/>
      </w:r>
      <w:r w:rsidR="00645EF4">
        <w:rPr>
          <w:rFonts w:ascii="Times New Roman" w:hAnsi="Times New Roman" w:cs="Times New Roman"/>
          <w:sz w:val="24"/>
          <w:szCs w:val="24"/>
        </w:rPr>
        <w:instrText>ADDIN CSL_CITATION {"citationItems":[{"id":"ITEM-1","itemData":{"DOI":"10.1111/jgh.12046","ISSN":"08159319","PMID":"23189930","abstract":"Background and Aim: Common endoscopic findings in stomachs with Helicobacter pylori infections include antral nodularity, thickened gastric folds, and visible submucosal vessels. These findings are suggestive but not diagnostic of H.pylori infection. Magnifying endoscopy can reveal more precisely the abnormal mucosal patterns in an H.pylori-infected stomach; however, it requires more training, expertise, and time. We aimed to establish a new classification for predicting H.pylori-infected stomachs by non-magnifying standard endoscopy alone. Methods: A total of 617 participants who underwent gastroscopy were prospectivel</w:instrText>
      </w:r>
      <w:r w:rsidR="00645EF4">
        <w:rPr>
          <w:rFonts w:ascii="Times New Roman" w:hAnsi="Times New Roman" w:cs="Times New Roman" w:hint="eastAsia"/>
          <w:sz w:val="24"/>
          <w:szCs w:val="24"/>
        </w:rPr>
        <w:instrText xml:space="preserve">y enrolled from August 2011 to January 2012. We performed a careful close-up examination of the corpus at the greater curvature maintaining a distance </w:instrText>
      </w:r>
      <w:r w:rsidR="00645EF4">
        <w:rPr>
          <w:rFonts w:ascii="Times New Roman" w:hAnsi="Times New Roman" w:cs="Times New Roman" w:hint="eastAsia"/>
          <w:sz w:val="24"/>
          <w:szCs w:val="24"/>
        </w:rPr>
        <w:instrText>≤</w:instrText>
      </w:r>
      <w:r w:rsidR="00645EF4">
        <w:rPr>
          <w:rFonts w:ascii="Times New Roman" w:hAnsi="Times New Roman" w:cs="Times New Roman" w:hint="eastAsia"/>
          <w:sz w:val="24"/>
          <w:szCs w:val="24"/>
        </w:rPr>
        <w:instrText>10mm between the endoscope tip and the mucosal surface. We classified gastric mucosal patterns into fou</w:instrText>
      </w:r>
      <w:r w:rsidR="00645EF4">
        <w:rPr>
          <w:rFonts w:ascii="Times New Roman" w:hAnsi="Times New Roman" w:cs="Times New Roman"/>
          <w:sz w:val="24"/>
          <w:szCs w:val="24"/>
        </w:rPr>
        <w:instrText>r categories: normal regular arrangement of collecting venules (numerous minute red dots), mosaic-like appearance (type A; swollen areae gastricae or snakeskin appearance), diffuse homogenous redness (type B), and untypical pattern (type C; irregular redness with groove) to predict H.pylori infection status. Results: The frequencies of H.pylori infection in patients with a normal regular arrangement of collecting venules pattern and types A, B, and C patterns were 9.4%, 87.7%, 98.1%, and 90.9%, respectively. The sensitivity, specificity, and positive and negative predictive values of all abnormal patterns for prediction of H.pylori infection were 93.3%, 89.1%, 92.3%, and 90.6%, respectively. The overall accuracy was 91.6%. Conclusions: Careful close-up observation of the gastric mucosal pattern with standard endoscopy can predict H.pylori infection status. © 2012 Journal of Gastroenterology and Hepatology Foundation and Wiley Publishing Asia Pty Ltd.","author":[{"dropping-particle":"","family":"Cho","given":"Jun-Hyung","non-dropping-particle":"","parse-names":false,"suffix":""},{"dropping-particle":"","family":"Chang","given":"Young Woon","non-dropping-particle":"","parse-names":false,"suffix":""},{"dropping-particle":"","family":"Jang","given":"Jae Young","non-dropping-particle":"","parse-names":false,"suffix":""},{"dropping-particle":"","family":"Shim","given":"Jae-Jun","non-dropping-particle":"","parse-names":false,"suffix":""},{"dropping-particle":"","family":"Lee","given":"Chang Kyun","non-dropping-particle":"","parse-names":false,"suffix":""},{"dropping-particle":"","family":"Dong","given":"Seok Ho","non-dropping-particle":"","parse-names":false,"suffix":""},{"dropping-particle":"","family":"Kim","given":"Hyo Jong","non-dropping-particle":"","parse-names":false,"suffix":""},{"dropping-particle":"","family":"Kim","given":"Byung-Ho","non-dropping-particle":"","parse-names":false,"suffix":""},{"dropping-particle":"","family":"Lee","given":"Tae Hee","non-dropping-particle":"","parse-names":false,"suffix":""},{"dropping-particle":"","family":"Cho","given":"Joo Young","non-dropping-particle":"","parse-names":false,"suffix":""}],"container-title":"Journal of Gastroenterology and Hepatology","id":"ITEM-1","issue":"2","issued":{"date-parts":[["2013","2"]]},"page":"279-284","title":"Close observation of gastric mucosal pattern by standard endoscopy can predict Helicobacter pylori infection status","type":"article-journal","volume":"28"},"uris":["http://www.mendeley.com/documents/?uuid=84d44d95-c45b-488e-bd9e-07b9f99f18e1"]}],"mendeley":{"formattedCitation":"&lt;sup&gt;4&lt;/sup&gt;","plainTextFormattedCitation":"4","previouslyFormattedCitation":"(4)"},"properties":{"noteIndex":0},"schema":"https://github.com/citation-style-language/schema/raw/master/csl-citation.json"}</w:instrText>
      </w:r>
      <w:r w:rsidR="00A72C5F">
        <w:rPr>
          <w:rFonts w:ascii="Times New Roman" w:hAnsi="Times New Roman" w:cs="Times New Roman"/>
          <w:sz w:val="24"/>
          <w:szCs w:val="24"/>
        </w:rPr>
        <w:fldChar w:fldCharType="separate"/>
      </w:r>
      <w:r w:rsidR="00645EF4" w:rsidRPr="00645EF4">
        <w:rPr>
          <w:rFonts w:ascii="Times New Roman" w:hAnsi="Times New Roman" w:cs="Times New Roman"/>
          <w:noProof/>
          <w:sz w:val="24"/>
          <w:szCs w:val="24"/>
          <w:vertAlign w:val="superscript"/>
        </w:rPr>
        <w:t>4</w:t>
      </w:r>
      <w:r w:rsidR="00A72C5F">
        <w:rPr>
          <w:rFonts w:ascii="Times New Roman" w:hAnsi="Times New Roman" w:cs="Times New Roman"/>
          <w:sz w:val="24"/>
          <w:szCs w:val="24"/>
        </w:rPr>
        <w:fldChar w:fldCharType="end"/>
      </w:r>
      <w:r w:rsidRPr="00C55A76">
        <w:rPr>
          <w:rFonts w:ascii="Times New Roman" w:hAnsi="Times New Roman" w:cs="Times New Roman"/>
          <w:sz w:val="24"/>
          <w:szCs w:val="24"/>
        </w:rPr>
        <w:t xml:space="preserve">. Atrophic gastritis (AG)after infection by H. pylori presents with diffuse redness, spotty redness, mucosal </w:t>
      </w:r>
      <w:r w:rsidR="00BA5C2A">
        <w:rPr>
          <w:rFonts w:ascii="Times New Roman" w:hAnsi="Times New Roman" w:cs="Times New Roman"/>
          <w:sz w:val="24"/>
          <w:szCs w:val="24"/>
        </w:rPr>
        <w:t>o</w:t>
      </w:r>
      <w:r w:rsidRPr="00C55A76">
        <w:rPr>
          <w:rFonts w:ascii="Times New Roman" w:hAnsi="Times New Roman" w:cs="Times New Roman"/>
          <w:sz w:val="24"/>
          <w:szCs w:val="24"/>
        </w:rPr>
        <w:t xml:space="preserve">edema, and enlarged folds. This phenomenon can decrease and disappear after </w:t>
      </w:r>
      <w:r w:rsidRPr="00CE48D4">
        <w:rPr>
          <w:rFonts w:ascii="Times New Roman" w:hAnsi="Times New Roman"/>
          <w:i/>
          <w:sz w:val="24"/>
        </w:rPr>
        <w:t>H. pylori</w:t>
      </w:r>
      <w:r w:rsidRPr="00C55A76">
        <w:rPr>
          <w:rFonts w:ascii="Times New Roman" w:hAnsi="Times New Roman" w:cs="Times New Roman"/>
          <w:sz w:val="24"/>
          <w:szCs w:val="24"/>
        </w:rPr>
        <w:t xml:space="preserve"> eradication</w:t>
      </w:r>
      <w:r w:rsidR="00BA5C2A">
        <w:rPr>
          <w:rFonts w:ascii="Times New Roman" w:hAnsi="Times New Roman" w:cs="Times New Roman"/>
          <w:sz w:val="24"/>
          <w:szCs w:val="24"/>
        </w:rPr>
        <w:t xml:space="preserve"> </w:t>
      </w:r>
      <w:r w:rsidR="0088131A">
        <w:rPr>
          <w:rFonts w:ascii="Times New Roman" w:hAnsi="Times New Roman" w:cs="Times New Roman"/>
          <w:sz w:val="24"/>
          <w:szCs w:val="24"/>
        </w:rPr>
        <w:fldChar w:fldCharType="begin" w:fldLock="1"/>
      </w:r>
      <w:r w:rsidR="00645EF4">
        <w:rPr>
          <w:rFonts w:ascii="Times New Roman" w:hAnsi="Times New Roman" w:cs="Times New Roman"/>
          <w:sz w:val="24"/>
          <w:szCs w:val="24"/>
        </w:rPr>
        <w:instrText>ADDIN CSL_CITATION {"citationItems":[{"id":"ITEM-1","itemData":{"DOI":"10.1111/j.1443-1661.2012.01357.x","ISSN":"09155635","PMID":"23362997","abstract":"Aim Gastritis is an important pathological state that causes gastric atrophy and cancer. The Sydney System is a well-used classification for histological evaluation for gastritis. However, there is no concordance with endoscopic findings. In the present study, we tried to establish endoscopic criteria and diagnosis for the inflammation activity of gastric mucosa. Methods A prospective multicenter study was conducted and 24 facilities participated. Two hundred and seventy patients received endoscopic examinations and 15 endoscopic features were evaluated. Biopsy specimens were taken from five points, and evaluated by a single pathologist for mononuclear cell infiltration and polymorphonuclear cell infiltration. Sensitivity, specificity, positive predictive value, negative predictive value, area under curve of receiver operating characteristics (AUC/ROC) of each endoscopic finding to histological gastritis were calculated. Results There was no single endoscopic finding that was highly specific for mononuclear cell infiltration and polymorphonuclear cell infiltration. In the corpus, the combination of swelling of areae gastrica by the indigo carmine contrast method (IC method) and lack of a regular arrangement of collecting venules (RAC) in angle for mononuclear cell infiltration (0.887), and the combination of swelling of areae gastrica by the IC method and diffuse redness for polymorphonuclear cell infiltration (0.851) showed the highest AUC/ROC. In the antrum, the combination of diffuse redness and visibility of a vascular pattern for mononuclear cell infiltration (0.780), and the combination of visibility of vascular pattern and swelling of areae gastrica by the IC method for polymorphonuclear cell infiltration (0.795) showed the highest AUC/ROC. Conclusion Combination of endoscopic findings can improve diagnostic accuracy, and sensitivity of examination for inflammation. © 2012 The Authors. Digestive Endoscopy © 2012 Japan Gastroenterological Endoscopy Society.","author":[{"dropping-particle":"","family":"Nomura","given":"Sachiyo","non-dropping-particle":"","parse-names":false,"suffix":""},{"dropping-particle":"","family":"Terao","given":"Shuichi","non-dropping-particle":"","parse-names":false,"suffix":""},{"dropping-particle":"","family":"Adachi","given":"Kyoichi","non-dropping-particle":"","parse-names":false,"suffix":""},{"dropping-particle":"","family":"Kato","given":"Takahiro","non-dropping-particle":"","parse-names":false,"suffix":""},{"dropping-particle":"","family":"Ida","given":"Kazunori","non-dropping-particle":"","parse-names":false,"suffix":""},{"dropping-particle":"","family":"Watanabe","given":"Hidenobu","non-dropping-particle":"","parse-names":false,"suffix":""},{"dropping-particle":"","family":"Shimbo","given":"Takuro","non-dropping-particle":"","parse-names":false,"suffix":""}],"container-title":"Digestive Endoscopy","id":"ITEM-1","issue":"2","issued":{"date-parts":[["2013"]]},"page":"136-146","title":"Endoscopic diagnosis of gastric mucosal activity and inflammation","type":"article-journal","volume":"25"},"uris":["http://www.mendeley.com/documents/?uuid=6566965e-e075-46da-ba1f-e8ab57f55d30"]},{"id":"ITEM-2","itemData":{"DOI":"10.1111/j.1443-1661.2012.01385.x","ISSN":"09155635","PMID":"23369104","abstract":"Background and Aim Successful eradication of H. pylori changes pathological findings of gastritis dramatically. However, change of endoscopic mucosal findings is not fully understood. To clarify the short-term changes of endoscopic mucosal findings after cure of H. pylori infection, a multicenter prospective trial was conducted. Methods One hundred and forty-seven patients with H. pylori infection from 12 institutions were enrolled into this prospective cohort trial. Nineteen endoscopic findings using high-resolution white light electronic endoscopy were assessed before and 2-4 months after eradication treatment of H. pylori. H. pylori infection was diagnosed by pathology of three stomach sites using hematoxylin-eosin stain or H. pylori-specific immunostaining. Endoscopic features of the successful eradication group and the failed eradication group were compared. The change of severity of endoscopic features before and after H. pylori eradication were compared between successful eradication and failed eradication. Results One hundred and twenty-six patients were analyzed. Eradication rate was 81% (102/126). Non-transparency of gastric juice, diffuse redness of fundic mucosa, enlarged fold, spotty redness of fundic mucosa, flat erosion of stomach, and hemoglobin index of fundic mucosa were significantly different between the successful eradication group and the failed eradication group. Gastric flat erosion was of higher frequency in the successful eradication group. When eradication was successful, spotty redness of fundic gland improved significantly. Conclusion Assessment of endoscopic findings of spotty redness after eradication treatment is useful in the diagnosis of H. pylori eradication. © 2012 The Authors. Digestive Endoscopy © 2012 Japan Gastroenterological Endoscopy Society.","author":[{"dropping-particle":"","family":"Kato","given":"Mototsugu","non-dropping-particle":"","parse-names":false,"suffix":""},{"dropping-particle":"","family":"Terao","given":"Shuichi","non-dropping-particle":"","parse-names":false,"suffix":""},{"dropping-particle":"","family":"Adachi","given":"Kyoichi","non-dropping-particle":"","parse-names":false,"suffix":""},{"dropping-particle":"","family":"Nakajima","given":"Shigemi","non-dropping-particle":"","parse-names":false,"suffix":""},{"dropping-particle":"","family":"Ando","given":"Takashi","non-dropping-particle":"","parse-names":false,"suffix":""},{"dropping-particle":"","family":"Yoshida","given":"Norimasa","non-dropping-particle":"","parse-names":false,"suffix":""},{"dropping-particle":"","family":"Uedo","given":"Noriya","non-dropping-particle":"","parse-names":false,"suffix":""},{"dropping-particle":"","family":"Murakami","given":"Kazunari","non-dropping-particle":"","parse-names":false,"suffix":""},{"dropping-particle":"","family":"Ohara","given":"Shuichi","non-dropping-particle":"","parse-names":false,"suffix":""},{"dropping-particle":"","family":"Ito","given":"Masanori","non-dropping-particle":"","parse-names":false,"suffix":""},{"dropping-particle":"","family":"Uemura","given":"Naomi","non-dropping-particle":"","parse-names":false,"suffix":""},{"dropping-particle":"","family":"Shimbo","given":"Takuro","non-dropping-particle":"","parse-names":false,"suffix":""},{"dropping-particle":"","family":"Watanabe","given":"Hidenobu","non-dropping-particle":"","parse-names":false,"suffix":""},{"dropping-particle":"","family":"Kato","given":"Takahiro","non-dropping-particle":"","parse-names":false,"suffix":""},{"dropping-particle":"","family":"Ida","given":"Kazunori","non-dropping-particle":"","parse-names":false,"suffix":""}],"container-title":"Digestive Endoscopy","id":"ITEM-2","issue":"3","issued":{"date-parts":[["2013","5"]]},"page":"264-273","title":"Changes in endoscopic findings of gastritis after cure of H. pylori infection: Multicenter prospective trial","type":"article-journal","volume":"25"},"uris":["http://www.mendeley.com/documents/?uuid=2f0e9a21-066e-4136-97e5-981f9bd42c34"]}],"mendeley":{"formattedCitation":"&lt;sup&gt;5,6&lt;/sup&gt;","plainTextFormattedCitation":"5,6","previouslyFormattedCitation":"(5,6)"},"properties":{"noteIndex":0},"schema":"https://github.com/citation-style-language/schema/raw/master/csl-citation.json"}</w:instrText>
      </w:r>
      <w:r w:rsidR="0088131A">
        <w:rPr>
          <w:rFonts w:ascii="Times New Roman" w:hAnsi="Times New Roman" w:cs="Times New Roman"/>
          <w:sz w:val="24"/>
          <w:szCs w:val="24"/>
        </w:rPr>
        <w:fldChar w:fldCharType="separate"/>
      </w:r>
      <w:r w:rsidR="00645EF4" w:rsidRPr="00645EF4">
        <w:rPr>
          <w:rFonts w:ascii="Times New Roman" w:hAnsi="Times New Roman" w:cs="Times New Roman"/>
          <w:noProof/>
          <w:sz w:val="24"/>
          <w:szCs w:val="24"/>
          <w:vertAlign w:val="superscript"/>
        </w:rPr>
        <w:t>5,6</w:t>
      </w:r>
      <w:r w:rsidR="0088131A">
        <w:rPr>
          <w:rFonts w:ascii="Times New Roman" w:hAnsi="Times New Roman" w:cs="Times New Roman"/>
          <w:sz w:val="24"/>
          <w:szCs w:val="24"/>
        </w:rPr>
        <w:fldChar w:fldCharType="end"/>
      </w:r>
      <w:r w:rsidRPr="00C55A76">
        <w:rPr>
          <w:rFonts w:ascii="Times New Roman" w:hAnsi="Times New Roman" w:cs="Times New Roman"/>
          <w:sz w:val="24"/>
          <w:szCs w:val="24"/>
        </w:rPr>
        <w:t>.</w:t>
      </w:r>
      <w:r w:rsidR="00BA5C2A">
        <w:rPr>
          <w:rFonts w:ascii="Times New Roman" w:hAnsi="Times New Roman" w:cs="Times New Roman"/>
          <w:sz w:val="24"/>
          <w:szCs w:val="24"/>
        </w:rPr>
        <w:t xml:space="preserve"> </w:t>
      </w:r>
      <w:r w:rsidRPr="00C55A76">
        <w:rPr>
          <w:rFonts w:ascii="Times New Roman" w:hAnsi="Times New Roman" w:cs="Times New Roman"/>
          <w:sz w:val="24"/>
          <w:szCs w:val="24"/>
        </w:rPr>
        <w:t xml:space="preserve">After a period of H. pylori infection, </w:t>
      </w:r>
      <w:r w:rsidR="0088131A" w:rsidRPr="0088131A">
        <w:rPr>
          <w:rFonts w:ascii="Times New Roman" w:hAnsi="Times New Roman" w:cs="Times New Roman"/>
          <w:sz w:val="24"/>
          <w:szCs w:val="24"/>
        </w:rPr>
        <w:t xml:space="preserve">Atrophic gastritis </w:t>
      </w:r>
      <w:r w:rsidR="0088131A">
        <w:rPr>
          <w:rFonts w:ascii="Times New Roman" w:hAnsi="Times New Roman" w:cs="Times New Roman" w:hint="eastAsia"/>
          <w:sz w:val="24"/>
          <w:szCs w:val="24"/>
        </w:rPr>
        <w:t>(</w:t>
      </w:r>
      <w:r w:rsidRPr="00C55A76">
        <w:rPr>
          <w:rFonts w:ascii="Times New Roman" w:hAnsi="Times New Roman" w:cs="Times New Roman"/>
          <w:sz w:val="24"/>
          <w:szCs w:val="24"/>
        </w:rPr>
        <w:t>AG</w:t>
      </w:r>
      <w:r w:rsidR="0088131A">
        <w:rPr>
          <w:rFonts w:ascii="Times New Roman" w:hAnsi="Times New Roman" w:cs="Times New Roman"/>
          <w:sz w:val="24"/>
          <w:szCs w:val="24"/>
        </w:rPr>
        <w:t>)</w:t>
      </w:r>
      <w:r w:rsidRPr="00C55A76">
        <w:rPr>
          <w:rFonts w:ascii="Times New Roman" w:hAnsi="Times New Roman" w:cs="Times New Roman"/>
          <w:sz w:val="24"/>
          <w:szCs w:val="24"/>
        </w:rPr>
        <w:t xml:space="preserve"> turns into inactive gastritis upon eradication therapy or spontaneously disappears because of advanced atrophy, featuring map-like redness, and flat or depressed erythematous tumo</w:t>
      </w:r>
      <w:r w:rsidR="00BA5C2A">
        <w:rPr>
          <w:rFonts w:ascii="Times New Roman" w:hAnsi="Times New Roman" w:cs="Times New Roman"/>
          <w:sz w:val="24"/>
          <w:szCs w:val="24"/>
        </w:rPr>
        <w:t>u</w:t>
      </w:r>
      <w:r w:rsidRPr="00C55A76">
        <w:rPr>
          <w:rFonts w:ascii="Times New Roman" w:hAnsi="Times New Roman" w:cs="Times New Roman"/>
          <w:sz w:val="24"/>
          <w:szCs w:val="24"/>
        </w:rPr>
        <w:t>rs,</w:t>
      </w:r>
      <w:r w:rsidR="00BA5C2A">
        <w:rPr>
          <w:rFonts w:ascii="Times New Roman" w:hAnsi="Times New Roman" w:cs="Times New Roman"/>
          <w:sz w:val="24"/>
          <w:szCs w:val="24"/>
        </w:rPr>
        <w:t xml:space="preserve"> </w:t>
      </w:r>
      <w:r w:rsidRPr="00C55A76">
        <w:rPr>
          <w:rFonts w:ascii="Times New Roman" w:hAnsi="Times New Roman" w:cs="Times New Roman"/>
          <w:sz w:val="24"/>
          <w:szCs w:val="24"/>
        </w:rPr>
        <w:t xml:space="preserve">which is the characteristic change of AG after </w:t>
      </w:r>
      <w:r w:rsidRPr="00CE48D4">
        <w:rPr>
          <w:rFonts w:ascii="Times New Roman" w:hAnsi="Times New Roman"/>
          <w:i/>
          <w:sz w:val="24"/>
        </w:rPr>
        <w:t>H. pylori</w:t>
      </w:r>
      <w:r w:rsidRPr="00C55A76">
        <w:rPr>
          <w:rFonts w:ascii="Times New Roman" w:hAnsi="Times New Roman" w:cs="Times New Roman"/>
          <w:sz w:val="24"/>
          <w:szCs w:val="24"/>
        </w:rPr>
        <w:t xml:space="preserve"> eradication, i.e., nonatrophied areas dissipate the inflammation</w:t>
      </w:r>
      <w:r w:rsidR="00BA5C2A">
        <w:rPr>
          <w:rFonts w:ascii="Times New Roman" w:hAnsi="Times New Roman" w:cs="Times New Roman"/>
          <w:sz w:val="24"/>
          <w:szCs w:val="24"/>
        </w:rPr>
        <w:t>. T</w:t>
      </w:r>
      <w:r w:rsidRPr="00C55A76">
        <w:rPr>
          <w:rFonts w:ascii="Times New Roman" w:hAnsi="Times New Roman" w:cs="Times New Roman"/>
          <w:sz w:val="24"/>
          <w:szCs w:val="24"/>
        </w:rPr>
        <w:t>he atrophied areas are relatively red compared to the nonatrophied areas.</w:t>
      </w:r>
      <w:r w:rsidR="00BA5C2A">
        <w:rPr>
          <w:rFonts w:ascii="Times New Roman" w:hAnsi="Times New Roman" w:cs="Times New Roman"/>
          <w:sz w:val="24"/>
          <w:szCs w:val="24"/>
        </w:rPr>
        <w:t xml:space="preserve"> </w:t>
      </w:r>
      <w:r w:rsidRPr="00C55A76">
        <w:rPr>
          <w:rFonts w:ascii="Times New Roman" w:hAnsi="Times New Roman" w:cs="Times New Roman"/>
          <w:sz w:val="24"/>
          <w:szCs w:val="24"/>
        </w:rPr>
        <w:t xml:space="preserve">Another characteristic was mottled patchy erythema (MPE) after </w:t>
      </w:r>
      <w:r w:rsidRPr="00CE48D4">
        <w:rPr>
          <w:rFonts w:ascii="Times New Roman" w:hAnsi="Times New Roman"/>
          <w:i/>
          <w:sz w:val="24"/>
        </w:rPr>
        <w:t>H. pylori</w:t>
      </w:r>
      <w:r w:rsidRPr="00C55A76">
        <w:rPr>
          <w:rFonts w:ascii="Times New Roman" w:hAnsi="Times New Roman" w:cs="Times New Roman"/>
          <w:sz w:val="24"/>
          <w:szCs w:val="24"/>
        </w:rPr>
        <w:t xml:space="preserve"> infection, showing many flat/slightly depressed erythematous lesions detected by white light endoscopy and highly predicting the impact of </w:t>
      </w:r>
      <w:r w:rsidRPr="00CE48D4">
        <w:rPr>
          <w:rFonts w:ascii="Times New Roman" w:hAnsi="Times New Roman"/>
          <w:i/>
          <w:sz w:val="24"/>
        </w:rPr>
        <w:t>H. pylori</w:t>
      </w:r>
      <w:r w:rsidRPr="00C55A76">
        <w:rPr>
          <w:rFonts w:ascii="Times New Roman" w:hAnsi="Times New Roman" w:cs="Times New Roman"/>
          <w:sz w:val="24"/>
          <w:szCs w:val="24"/>
        </w:rPr>
        <w:t xml:space="preserve"> eradication.</w:t>
      </w:r>
    </w:p>
    <w:p w14:paraId="338BF3F8" w14:textId="6A37867B" w:rsidR="00645EF4" w:rsidRDefault="00645EF4" w:rsidP="00645EF4">
      <w:pPr>
        <w:jc w:val="cente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6A6DEBD6" wp14:editId="76F115AE">
            <wp:extent cx="2563960" cy="3600000"/>
            <wp:effectExtent l="0" t="0" r="8255" b="63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563960" cy="3600000"/>
                    </a:xfrm>
                    <a:prstGeom prst="rect">
                      <a:avLst/>
                    </a:prstGeom>
                    <a:noFill/>
                    <a:ln>
                      <a:noFill/>
                    </a:ln>
                  </pic:spPr>
                </pic:pic>
              </a:graphicData>
            </a:graphic>
          </wp:inline>
        </w:drawing>
      </w:r>
    </w:p>
    <w:p w14:paraId="1E13F27E" w14:textId="1B1B3069" w:rsidR="00645EF4" w:rsidRDefault="00645EF4" w:rsidP="00CD67B3">
      <w:pPr>
        <w:jc w:val="both"/>
        <w:rPr>
          <w:rFonts w:ascii="Times New Roman" w:hAnsi="Times New Roman" w:cs="Times New Roman"/>
          <w:sz w:val="24"/>
          <w:szCs w:val="24"/>
        </w:rPr>
      </w:pPr>
      <w:r w:rsidRPr="00645EF4">
        <w:rPr>
          <w:rFonts w:ascii="Times New Roman" w:hAnsi="Times New Roman" w:cs="Times New Roman"/>
          <w:sz w:val="24"/>
          <w:szCs w:val="24"/>
        </w:rPr>
        <w:t>Figure S2. Endoscopic features for Helicobacter pylori-infected gastric samples.</w:t>
      </w:r>
    </w:p>
    <w:p w14:paraId="7D1CF246" w14:textId="77777777" w:rsidR="00645EF4" w:rsidRDefault="00645EF4" w:rsidP="00CD67B3">
      <w:pPr>
        <w:jc w:val="both"/>
        <w:rPr>
          <w:rFonts w:ascii="Times New Roman" w:hAnsi="Times New Roman" w:cs="Times New Roman"/>
          <w:sz w:val="24"/>
          <w:szCs w:val="24"/>
        </w:rPr>
      </w:pPr>
    </w:p>
    <w:p w14:paraId="2C66A495" w14:textId="7D49522A" w:rsidR="00CD67B3" w:rsidRPr="00F15FA9" w:rsidRDefault="00CD67B3" w:rsidP="00014217">
      <w:pPr>
        <w:jc w:val="both"/>
        <w:rPr>
          <w:rFonts w:ascii="Times New Roman" w:hAnsi="Times New Roman" w:cs="Times New Roman"/>
          <w:b/>
          <w:bCs/>
          <w:sz w:val="24"/>
          <w:szCs w:val="24"/>
        </w:rPr>
      </w:pPr>
      <w:r w:rsidRPr="00F15FA9">
        <w:rPr>
          <w:rFonts w:ascii="Times New Roman" w:hAnsi="Times New Roman" w:cs="Times New Roman"/>
          <w:b/>
          <w:bCs/>
          <w:sz w:val="24"/>
          <w:szCs w:val="24"/>
        </w:rPr>
        <w:t>The endoscopic features are summarsied in Table S</w:t>
      </w:r>
      <w:r w:rsidR="0000043E">
        <w:rPr>
          <w:rFonts w:ascii="Times New Roman" w:hAnsi="Times New Roman" w:cs="Times New Roman"/>
          <w:b/>
          <w:bCs/>
          <w:sz w:val="24"/>
          <w:szCs w:val="24"/>
        </w:rPr>
        <w:t>1</w:t>
      </w:r>
      <w:r w:rsidRPr="00F15FA9">
        <w:rPr>
          <w:rFonts w:ascii="Times New Roman" w:hAnsi="Times New Roman" w:cs="Times New Roman"/>
          <w:b/>
          <w:bCs/>
          <w:sz w:val="24"/>
          <w:szCs w:val="24"/>
        </w:rPr>
        <w:t xml:space="preserve">. </w:t>
      </w:r>
    </w:p>
    <w:p w14:paraId="16688727" w14:textId="0CC4A170" w:rsidR="00645EF4" w:rsidRPr="00F15FA9" w:rsidRDefault="00645EF4" w:rsidP="00645EF4">
      <w:pPr>
        <w:jc w:val="both"/>
        <w:rPr>
          <w:rFonts w:ascii="Times New Roman" w:eastAsia="宋体" w:hAnsi="Times New Roman" w:cs="Times New Roman"/>
          <w:b/>
          <w:bCs/>
          <w:sz w:val="24"/>
          <w:szCs w:val="24"/>
        </w:rPr>
      </w:pPr>
      <w:r w:rsidRPr="00F15FA9">
        <w:rPr>
          <w:rFonts w:ascii="Times New Roman" w:eastAsia="宋体" w:hAnsi="Times New Roman" w:cs="Times New Roman"/>
          <w:b/>
          <w:bCs/>
          <w:sz w:val="24"/>
          <w:szCs w:val="24"/>
        </w:rPr>
        <w:t>Table S</w:t>
      </w:r>
      <w:r w:rsidR="003254AD">
        <w:rPr>
          <w:rFonts w:ascii="Times New Roman" w:eastAsia="宋体" w:hAnsi="Times New Roman" w:cs="Times New Roman" w:hint="eastAsia"/>
          <w:b/>
          <w:bCs/>
          <w:sz w:val="24"/>
          <w:szCs w:val="24"/>
        </w:rPr>
        <w:t>1</w:t>
      </w:r>
      <w:r w:rsidRPr="00F15FA9">
        <w:rPr>
          <w:rFonts w:ascii="Times New Roman" w:eastAsia="宋体" w:hAnsi="Times New Roman" w:cs="Times New Roman"/>
          <w:b/>
          <w:bCs/>
          <w:sz w:val="24"/>
          <w:szCs w:val="24"/>
        </w:rPr>
        <w:t>. Summary of endoscopic features</w:t>
      </w:r>
    </w:p>
    <w:tbl>
      <w:tblPr>
        <w:tblW w:w="0" w:type="auto"/>
        <w:tblBorders>
          <w:top w:val="single" w:sz="4" w:space="0" w:color="auto"/>
          <w:bottom w:val="single" w:sz="4" w:space="0" w:color="auto"/>
        </w:tblBorders>
        <w:tblLook w:val="04A0" w:firstRow="1" w:lastRow="0" w:firstColumn="1" w:lastColumn="0" w:noHBand="0" w:noVBand="1"/>
      </w:tblPr>
      <w:tblGrid>
        <w:gridCol w:w="1479"/>
        <w:gridCol w:w="2390"/>
        <w:gridCol w:w="2255"/>
        <w:gridCol w:w="2182"/>
      </w:tblGrid>
      <w:tr w:rsidR="00645EF4" w:rsidRPr="00645EF4" w14:paraId="098EC7D3" w14:textId="77777777" w:rsidTr="00D11CC9">
        <w:trPr>
          <w:trHeight w:val="286"/>
        </w:trPr>
        <w:tc>
          <w:tcPr>
            <w:tcW w:w="1668" w:type="dxa"/>
            <w:tcBorders>
              <w:top w:val="single" w:sz="4" w:space="0" w:color="auto"/>
              <w:bottom w:val="single" w:sz="4" w:space="0" w:color="auto"/>
            </w:tcBorders>
            <w:shd w:val="clear" w:color="auto" w:fill="auto"/>
          </w:tcPr>
          <w:p w14:paraId="4315AA6D" w14:textId="77777777" w:rsidR="00645EF4" w:rsidRPr="00645EF4" w:rsidRDefault="00645EF4" w:rsidP="00645EF4">
            <w:pPr>
              <w:jc w:val="both"/>
              <w:rPr>
                <w:rFonts w:ascii="Times New Roman" w:eastAsia="宋体" w:hAnsi="Times New Roman" w:cs="Times New Roman"/>
                <w:sz w:val="24"/>
                <w:szCs w:val="24"/>
              </w:rPr>
            </w:pPr>
          </w:p>
        </w:tc>
        <w:tc>
          <w:tcPr>
            <w:tcW w:w="4252" w:type="dxa"/>
            <w:tcBorders>
              <w:top w:val="single" w:sz="4" w:space="0" w:color="auto"/>
              <w:bottom w:val="single" w:sz="4" w:space="0" w:color="auto"/>
            </w:tcBorders>
            <w:shd w:val="clear" w:color="auto" w:fill="auto"/>
          </w:tcPr>
          <w:p w14:paraId="3137E779"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N-Group</w:t>
            </w:r>
          </w:p>
        </w:tc>
        <w:tc>
          <w:tcPr>
            <w:tcW w:w="3827" w:type="dxa"/>
            <w:tcBorders>
              <w:top w:val="single" w:sz="4" w:space="0" w:color="auto"/>
              <w:bottom w:val="single" w:sz="4" w:space="0" w:color="auto"/>
            </w:tcBorders>
            <w:shd w:val="clear" w:color="auto" w:fill="auto"/>
          </w:tcPr>
          <w:p w14:paraId="48B7D88F"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G-Group</w:t>
            </w:r>
          </w:p>
        </w:tc>
        <w:tc>
          <w:tcPr>
            <w:tcW w:w="3828" w:type="dxa"/>
            <w:tcBorders>
              <w:top w:val="single" w:sz="4" w:space="0" w:color="auto"/>
              <w:bottom w:val="single" w:sz="4" w:space="0" w:color="auto"/>
            </w:tcBorders>
            <w:shd w:val="clear" w:color="auto" w:fill="auto"/>
          </w:tcPr>
          <w:p w14:paraId="4FFBCA5A"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GH-group</w:t>
            </w:r>
          </w:p>
        </w:tc>
      </w:tr>
      <w:tr w:rsidR="00645EF4" w:rsidRPr="00645EF4" w14:paraId="6D9CB8C0" w14:textId="77777777" w:rsidTr="00D11CC9">
        <w:tc>
          <w:tcPr>
            <w:tcW w:w="1668" w:type="dxa"/>
            <w:tcBorders>
              <w:top w:val="single" w:sz="4" w:space="0" w:color="auto"/>
            </w:tcBorders>
            <w:shd w:val="clear" w:color="auto" w:fill="auto"/>
          </w:tcPr>
          <w:p w14:paraId="4594970F"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Gastric fundus</w:t>
            </w:r>
          </w:p>
        </w:tc>
        <w:tc>
          <w:tcPr>
            <w:tcW w:w="4252" w:type="dxa"/>
            <w:tcBorders>
              <w:top w:val="single" w:sz="4" w:space="0" w:color="auto"/>
            </w:tcBorders>
            <w:shd w:val="clear" w:color="auto" w:fill="auto"/>
          </w:tcPr>
          <w:p w14:paraId="7073F72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mucus lake,  clear; and mucus amount, medium.</w:t>
            </w:r>
          </w:p>
        </w:tc>
        <w:tc>
          <w:tcPr>
            <w:tcW w:w="3827" w:type="dxa"/>
            <w:tcBorders>
              <w:top w:val="single" w:sz="4" w:space="0" w:color="auto"/>
            </w:tcBorders>
            <w:shd w:val="clear" w:color="auto" w:fill="auto"/>
          </w:tcPr>
          <w:p w14:paraId="2BDCC7A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mucus lake,  clear; and mucus amount, medium.</w:t>
            </w:r>
          </w:p>
        </w:tc>
        <w:tc>
          <w:tcPr>
            <w:tcW w:w="3828" w:type="dxa"/>
            <w:tcBorders>
              <w:top w:val="single" w:sz="4" w:space="0" w:color="auto"/>
            </w:tcBorders>
            <w:shd w:val="clear" w:color="auto" w:fill="auto"/>
          </w:tcPr>
          <w:p w14:paraId="4FE3B4D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mucus lake,  clear; and mucus amount, medium.</w:t>
            </w:r>
          </w:p>
        </w:tc>
      </w:tr>
      <w:tr w:rsidR="00645EF4" w:rsidRPr="00645EF4" w14:paraId="01E6437D" w14:textId="77777777" w:rsidTr="00D11CC9">
        <w:tc>
          <w:tcPr>
            <w:tcW w:w="1668" w:type="dxa"/>
            <w:shd w:val="clear" w:color="auto" w:fill="auto"/>
          </w:tcPr>
          <w:p w14:paraId="30687D23"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Gastric body</w:t>
            </w:r>
          </w:p>
        </w:tc>
        <w:tc>
          <w:tcPr>
            <w:tcW w:w="4252" w:type="dxa"/>
            <w:shd w:val="clear" w:color="auto" w:fill="auto"/>
          </w:tcPr>
          <w:p w14:paraId="33956409"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the greater curvature of the mucosa, wrinkled and regular arrangement</w:t>
            </w:r>
          </w:p>
        </w:tc>
        <w:tc>
          <w:tcPr>
            <w:tcW w:w="3827" w:type="dxa"/>
            <w:shd w:val="clear" w:color="auto" w:fill="auto"/>
          </w:tcPr>
          <w:p w14:paraId="052B6937"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the greater curvature of the mucosa, wrinkled and regular arrangement</w:t>
            </w:r>
          </w:p>
        </w:tc>
        <w:tc>
          <w:tcPr>
            <w:tcW w:w="3828" w:type="dxa"/>
            <w:shd w:val="clear" w:color="auto" w:fill="auto"/>
          </w:tcPr>
          <w:p w14:paraId="6D702271"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the greater curvature of the mucosa, wrinkled and regular arrangement</w:t>
            </w:r>
          </w:p>
        </w:tc>
      </w:tr>
      <w:tr w:rsidR="00645EF4" w:rsidRPr="00645EF4" w14:paraId="7BBE7772" w14:textId="77777777" w:rsidTr="00D11CC9">
        <w:tc>
          <w:tcPr>
            <w:tcW w:w="1668" w:type="dxa"/>
            <w:shd w:val="clear" w:color="auto" w:fill="auto"/>
          </w:tcPr>
          <w:p w14:paraId="79B7BE6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lastRenderedPageBreak/>
              <w:t>Gastric antrum</w:t>
            </w:r>
          </w:p>
        </w:tc>
        <w:tc>
          <w:tcPr>
            <w:tcW w:w="4252" w:type="dxa"/>
            <w:shd w:val="clear" w:color="auto" w:fill="auto"/>
          </w:tcPr>
          <w:p w14:paraId="190FF413"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was patchy hyperemic, and edematous, red and white blood vessels could be seen through, and peristaltic movement was acceptable</w:t>
            </w:r>
          </w:p>
        </w:tc>
        <w:tc>
          <w:tcPr>
            <w:tcW w:w="3827" w:type="dxa"/>
            <w:shd w:val="clear" w:color="auto" w:fill="auto"/>
          </w:tcPr>
          <w:p w14:paraId="14133D1E"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The antral mucosa was scattered in spots and patches of hyperemia, edema and erosion</w:t>
            </w:r>
          </w:p>
        </w:tc>
        <w:tc>
          <w:tcPr>
            <w:tcW w:w="3828" w:type="dxa"/>
            <w:shd w:val="clear" w:color="auto" w:fill="auto"/>
          </w:tcPr>
          <w:p w14:paraId="411C74ED"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The mucosa was hyperemic and edematous, alternating with red and white blood vessels (mainly red vessels), peristaltic movement was acceptable. A 0.3 cm ulcer was seen on the greater curvature, and the surface was covered with white moss</w:t>
            </w:r>
          </w:p>
        </w:tc>
      </w:tr>
      <w:tr w:rsidR="00645EF4" w:rsidRPr="00645EF4" w14:paraId="03F84971" w14:textId="77777777" w:rsidTr="00D11CC9">
        <w:tc>
          <w:tcPr>
            <w:tcW w:w="1668" w:type="dxa"/>
            <w:shd w:val="clear" w:color="auto" w:fill="auto"/>
          </w:tcPr>
          <w:p w14:paraId="54F937F7"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Gastric Angle</w:t>
            </w:r>
          </w:p>
        </w:tc>
        <w:tc>
          <w:tcPr>
            <w:tcW w:w="4252" w:type="dxa"/>
            <w:shd w:val="clear" w:color="auto" w:fill="auto"/>
          </w:tcPr>
          <w:p w14:paraId="77E4D9C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smooth through blood vessels and the shape is regular.</w:t>
            </w:r>
          </w:p>
        </w:tc>
        <w:tc>
          <w:tcPr>
            <w:tcW w:w="3827" w:type="dxa"/>
            <w:shd w:val="clear" w:color="auto" w:fill="auto"/>
          </w:tcPr>
          <w:p w14:paraId="218328A5"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 xml:space="preserve">Angle of the stomach was arched, and a 0.3 X 0.4 cm ulcer was seen in the middle of the stomach. The ulcer was covered with yellow-white moss and blood crust, and the surrounding mucosa </w:t>
            </w:r>
            <w:r w:rsidRPr="00645EF4">
              <w:rPr>
                <w:rFonts w:ascii="Times New Roman" w:eastAsia="宋体" w:hAnsi="Times New Roman" w:cs="Times New Roman"/>
                <w:sz w:val="24"/>
                <w:szCs w:val="24"/>
              </w:rPr>
              <w:lastRenderedPageBreak/>
              <w:t>was congested and swollen.</w:t>
            </w:r>
          </w:p>
        </w:tc>
        <w:tc>
          <w:tcPr>
            <w:tcW w:w="3828" w:type="dxa"/>
            <w:shd w:val="clear" w:color="auto" w:fill="auto"/>
          </w:tcPr>
          <w:p w14:paraId="3FBAFFE8"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lastRenderedPageBreak/>
              <w:t>The mucosa was smooth and regular in shape</w:t>
            </w:r>
          </w:p>
        </w:tc>
      </w:tr>
      <w:tr w:rsidR="00645EF4" w:rsidRPr="00645EF4" w14:paraId="606C0578" w14:textId="77777777" w:rsidTr="00D11CC9">
        <w:tc>
          <w:tcPr>
            <w:tcW w:w="1668" w:type="dxa"/>
            <w:shd w:val="clear" w:color="auto" w:fill="auto"/>
          </w:tcPr>
          <w:p w14:paraId="6726259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Duodenum</w:t>
            </w:r>
          </w:p>
        </w:tc>
        <w:tc>
          <w:tcPr>
            <w:tcW w:w="4252" w:type="dxa"/>
            <w:shd w:val="clear" w:color="auto" w:fill="auto"/>
          </w:tcPr>
          <w:p w14:paraId="3D7C7B1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No abnormalities were found in the mucosa of the bulb and descending parts</w:t>
            </w:r>
          </w:p>
        </w:tc>
        <w:tc>
          <w:tcPr>
            <w:tcW w:w="3827" w:type="dxa"/>
            <w:shd w:val="clear" w:color="auto" w:fill="auto"/>
          </w:tcPr>
          <w:p w14:paraId="6B8A7FB6"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No abnormalities were found in the duodenal bulb or descending part</w:t>
            </w:r>
          </w:p>
        </w:tc>
        <w:tc>
          <w:tcPr>
            <w:tcW w:w="3828" w:type="dxa"/>
            <w:shd w:val="clear" w:color="auto" w:fill="auto"/>
          </w:tcPr>
          <w:p w14:paraId="3B5253F7"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Large deep ulcers were observed in the posterior wall of the bulb, with white fur and blood crust on the surface, and no abnormality was found in the descending mucosa</w:t>
            </w:r>
          </w:p>
        </w:tc>
      </w:tr>
      <w:tr w:rsidR="00645EF4" w:rsidRPr="00645EF4" w14:paraId="06BE8B0D" w14:textId="77777777" w:rsidTr="00D11CC9">
        <w:tc>
          <w:tcPr>
            <w:tcW w:w="1668" w:type="dxa"/>
            <w:shd w:val="clear" w:color="auto" w:fill="auto"/>
          </w:tcPr>
          <w:p w14:paraId="2B1AA529"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 xml:space="preserve">Dentate </w:t>
            </w:r>
            <w:r w:rsidRPr="00645EF4">
              <w:rPr>
                <w:rFonts w:ascii="Times New Roman" w:eastAsia="宋体" w:hAnsi="Times New Roman" w:cs="Times New Roman" w:hint="eastAsia"/>
                <w:sz w:val="24"/>
                <w:szCs w:val="24"/>
              </w:rPr>
              <w:t>line</w:t>
            </w:r>
          </w:p>
        </w:tc>
        <w:tc>
          <w:tcPr>
            <w:tcW w:w="4252" w:type="dxa"/>
            <w:shd w:val="clear" w:color="auto" w:fill="auto"/>
          </w:tcPr>
          <w:p w14:paraId="383EE43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clear</w:t>
            </w:r>
          </w:p>
        </w:tc>
        <w:tc>
          <w:tcPr>
            <w:tcW w:w="3827" w:type="dxa"/>
            <w:shd w:val="clear" w:color="auto" w:fill="auto"/>
          </w:tcPr>
          <w:p w14:paraId="5FC524E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clear</w:t>
            </w:r>
          </w:p>
        </w:tc>
        <w:tc>
          <w:tcPr>
            <w:tcW w:w="3828" w:type="dxa"/>
            <w:shd w:val="clear" w:color="auto" w:fill="auto"/>
          </w:tcPr>
          <w:p w14:paraId="2924E053"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clear</w:t>
            </w:r>
          </w:p>
        </w:tc>
      </w:tr>
      <w:tr w:rsidR="00645EF4" w:rsidRPr="00645EF4" w14:paraId="5C5FECCB" w14:textId="77777777" w:rsidTr="00D11CC9">
        <w:tc>
          <w:tcPr>
            <w:tcW w:w="1668" w:type="dxa"/>
            <w:shd w:val="clear" w:color="auto" w:fill="auto"/>
          </w:tcPr>
          <w:p w14:paraId="56E91C5B"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Cardia</w:t>
            </w:r>
          </w:p>
        </w:tc>
        <w:tc>
          <w:tcPr>
            <w:tcW w:w="4252" w:type="dxa"/>
            <w:shd w:val="clear" w:color="auto" w:fill="auto"/>
          </w:tcPr>
          <w:p w14:paraId="47F1B676"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 xml:space="preserve">Smooth, open and close. </w:t>
            </w:r>
          </w:p>
        </w:tc>
        <w:tc>
          <w:tcPr>
            <w:tcW w:w="3827" w:type="dxa"/>
            <w:shd w:val="clear" w:color="auto" w:fill="auto"/>
          </w:tcPr>
          <w:p w14:paraId="1EF199D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Smooth, open and close.</w:t>
            </w:r>
          </w:p>
        </w:tc>
        <w:tc>
          <w:tcPr>
            <w:tcW w:w="3828" w:type="dxa"/>
            <w:shd w:val="clear" w:color="auto" w:fill="auto"/>
          </w:tcPr>
          <w:p w14:paraId="35A6D5AC"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Smooth, open and close.</w:t>
            </w:r>
          </w:p>
        </w:tc>
      </w:tr>
      <w:tr w:rsidR="00645EF4" w:rsidRPr="00645EF4" w14:paraId="5F2C867A" w14:textId="77777777" w:rsidTr="00D11CC9">
        <w:tc>
          <w:tcPr>
            <w:tcW w:w="1668" w:type="dxa"/>
            <w:shd w:val="clear" w:color="auto" w:fill="auto"/>
          </w:tcPr>
          <w:p w14:paraId="670C0242"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Oesophagus</w:t>
            </w:r>
          </w:p>
        </w:tc>
        <w:tc>
          <w:tcPr>
            <w:tcW w:w="4252" w:type="dxa"/>
            <w:shd w:val="clear" w:color="auto" w:fill="auto"/>
          </w:tcPr>
          <w:p w14:paraId="52BF8800"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colour, normal; mucosal vascular texture,  regular; and dentate line, clear</w:t>
            </w:r>
          </w:p>
        </w:tc>
        <w:tc>
          <w:tcPr>
            <w:tcW w:w="3827" w:type="dxa"/>
            <w:shd w:val="clear" w:color="auto" w:fill="auto"/>
          </w:tcPr>
          <w:p w14:paraId="18D142AA"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Mucosa colour, normal, mucosal vascular texture, regular; and dentate line,  regular.</w:t>
            </w:r>
          </w:p>
        </w:tc>
        <w:tc>
          <w:tcPr>
            <w:tcW w:w="3828" w:type="dxa"/>
            <w:shd w:val="clear" w:color="auto" w:fill="auto"/>
          </w:tcPr>
          <w:p w14:paraId="2EF7455B"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 xml:space="preserve">Mucosal colur, normal; mucosal vascular texture, regular; and dentate line, regular. </w:t>
            </w:r>
          </w:p>
        </w:tc>
      </w:tr>
      <w:tr w:rsidR="00645EF4" w:rsidRPr="00645EF4" w14:paraId="0A985B33" w14:textId="77777777" w:rsidTr="00D11CC9">
        <w:tc>
          <w:tcPr>
            <w:tcW w:w="1668" w:type="dxa"/>
            <w:shd w:val="clear" w:color="auto" w:fill="auto"/>
          </w:tcPr>
          <w:p w14:paraId="4A2FEF08"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Pylorus</w:t>
            </w:r>
          </w:p>
        </w:tc>
        <w:tc>
          <w:tcPr>
            <w:tcW w:w="4252" w:type="dxa"/>
            <w:shd w:val="clear" w:color="auto" w:fill="auto"/>
          </w:tcPr>
          <w:p w14:paraId="2BF1D149"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Round, open and close</w:t>
            </w:r>
          </w:p>
        </w:tc>
        <w:tc>
          <w:tcPr>
            <w:tcW w:w="3827" w:type="dxa"/>
            <w:shd w:val="clear" w:color="auto" w:fill="auto"/>
          </w:tcPr>
          <w:p w14:paraId="76F6AD04"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Round with normal switch function</w:t>
            </w:r>
          </w:p>
        </w:tc>
        <w:tc>
          <w:tcPr>
            <w:tcW w:w="3828" w:type="dxa"/>
            <w:shd w:val="clear" w:color="auto" w:fill="auto"/>
          </w:tcPr>
          <w:p w14:paraId="705867F0" w14:textId="77777777" w:rsidR="00645EF4" w:rsidRPr="00645EF4" w:rsidRDefault="00645EF4" w:rsidP="00645EF4">
            <w:pPr>
              <w:jc w:val="both"/>
              <w:rPr>
                <w:rFonts w:ascii="Times New Roman" w:eastAsia="宋体" w:hAnsi="Times New Roman" w:cs="Times New Roman"/>
                <w:sz w:val="24"/>
                <w:szCs w:val="24"/>
              </w:rPr>
            </w:pPr>
            <w:r w:rsidRPr="00645EF4">
              <w:rPr>
                <w:rFonts w:ascii="Times New Roman" w:eastAsia="宋体" w:hAnsi="Times New Roman" w:cs="Times New Roman"/>
                <w:sz w:val="24"/>
                <w:szCs w:val="24"/>
              </w:rPr>
              <w:t>Round, open and close</w:t>
            </w:r>
          </w:p>
        </w:tc>
      </w:tr>
    </w:tbl>
    <w:p w14:paraId="5639CD90" w14:textId="77777777" w:rsidR="00645EF4" w:rsidRDefault="00645EF4" w:rsidP="00014217">
      <w:pPr>
        <w:jc w:val="both"/>
        <w:rPr>
          <w:rFonts w:ascii="Times New Roman" w:hAnsi="Times New Roman" w:cs="Times New Roman"/>
          <w:sz w:val="24"/>
          <w:szCs w:val="24"/>
        </w:rPr>
      </w:pPr>
    </w:p>
    <w:p w14:paraId="4F6F6550" w14:textId="77777777" w:rsidR="00014217" w:rsidRDefault="00014217" w:rsidP="00014217">
      <w:pPr>
        <w:jc w:val="both"/>
        <w:rPr>
          <w:rFonts w:ascii="Times New Roman" w:hAnsi="Times New Roman" w:cs="Times New Roman"/>
          <w:sz w:val="24"/>
          <w:szCs w:val="24"/>
        </w:rPr>
      </w:pPr>
    </w:p>
    <w:p w14:paraId="3276BFBF" w14:textId="6AC0211B" w:rsidR="00657D22" w:rsidRPr="00CD67B3" w:rsidRDefault="00657D22" w:rsidP="0013252F">
      <w:pPr>
        <w:rPr>
          <w:rFonts w:ascii="Times New Roman" w:hAnsi="Times New Roman" w:cs="Times New Roman"/>
          <w:b/>
          <w:bCs/>
          <w:sz w:val="24"/>
          <w:szCs w:val="24"/>
        </w:rPr>
      </w:pPr>
      <w:r w:rsidRPr="00CD67B3">
        <w:rPr>
          <w:rFonts w:ascii="Times New Roman" w:hAnsi="Times New Roman" w:cs="Times New Roman"/>
          <w:b/>
          <w:bCs/>
          <w:sz w:val="24"/>
          <w:szCs w:val="24"/>
        </w:rPr>
        <w:t>Referenec</w:t>
      </w:r>
    </w:p>
    <w:p w14:paraId="4C00FD0E" w14:textId="60850FEA" w:rsidR="00645EF4" w:rsidRPr="00645EF4" w:rsidRDefault="00657D22" w:rsidP="00645EF4">
      <w:pPr>
        <w:widowControl w:val="0"/>
        <w:autoSpaceDE w:val="0"/>
        <w:autoSpaceDN w:val="0"/>
        <w:adjustRightInd w:val="0"/>
        <w:ind w:left="640" w:hanging="640"/>
        <w:rPr>
          <w:rFonts w:ascii="Times New Roman" w:hAnsi="Times New Roman" w:cs="Times New Roman"/>
          <w:noProof/>
          <w:sz w:val="24"/>
          <w:szCs w:val="24"/>
        </w:rPr>
      </w:pPr>
      <w:r>
        <w:rPr>
          <w:rFonts w:ascii="Times New Roman" w:hAnsi="Times New Roman" w:cs="Times New Roman"/>
          <w:sz w:val="24"/>
          <w:szCs w:val="24"/>
        </w:rPr>
        <w:fldChar w:fldCharType="begin" w:fldLock="1"/>
      </w:r>
      <w:r>
        <w:rPr>
          <w:rFonts w:ascii="Times New Roman" w:hAnsi="Times New Roman" w:cs="Times New Roman"/>
          <w:sz w:val="24"/>
          <w:szCs w:val="24"/>
        </w:rPr>
        <w:instrText xml:space="preserve">ADDIN Mendeley Bibliography CSL_BIBLIOGRAPHY </w:instrText>
      </w:r>
      <w:r>
        <w:rPr>
          <w:rFonts w:ascii="Times New Roman" w:hAnsi="Times New Roman" w:cs="Times New Roman"/>
          <w:sz w:val="24"/>
          <w:szCs w:val="24"/>
        </w:rPr>
        <w:fldChar w:fldCharType="separate"/>
      </w:r>
      <w:r w:rsidR="00645EF4" w:rsidRPr="00645EF4">
        <w:rPr>
          <w:rFonts w:ascii="Times New Roman" w:hAnsi="Times New Roman" w:cs="Times New Roman"/>
          <w:noProof/>
          <w:sz w:val="24"/>
          <w:szCs w:val="24"/>
        </w:rPr>
        <w:t>1.</w:t>
      </w:r>
      <w:r w:rsidR="00645EF4" w:rsidRPr="00645EF4">
        <w:rPr>
          <w:rFonts w:ascii="Times New Roman" w:hAnsi="Times New Roman" w:cs="Times New Roman"/>
          <w:noProof/>
          <w:sz w:val="24"/>
          <w:szCs w:val="24"/>
        </w:rPr>
        <w:tab/>
        <w:t xml:space="preserve">TYTGAT, G. N. J. The Sydney System: Endoscopic division. Endoscopic </w:t>
      </w:r>
      <w:r w:rsidR="00645EF4" w:rsidRPr="00645EF4">
        <w:rPr>
          <w:rFonts w:ascii="Times New Roman" w:hAnsi="Times New Roman" w:cs="Times New Roman"/>
          <w:noProof/>
          <w:sz w:val="24"/>
          <w:szCs w:val="24"/>
        </w:rPr>
        <w:lastRenderedPageBreak/>
        <w:t xml:space="preserve">appearances in gastritis/duodenitis. </w:t>
      </w:r>
      <w:r w:rsidR="00645EF4" w:rsidRPr="00645EF4">
        <w:rPr>
          <w:rFonts w:ascii="Times New Roman" w:hAnsi="Times New Roman" w:cs="Times New Roman"/>
          <w:i/>
          <w:iCs/>
          <w:noProof/>
          <w:sz w:val="24"/>
          <w:szCs w:val="24"/>
        </w:rPr>
        <w:t>J. Gastroenterol. Hepatol.</w:t>
      </w:r>
      <w:r w:rsidR="00645EF4" w:rsidRPr="00645EF4">
        <w:rPr>
          <w:rFonts w:ascii="Times New Roman" w:hAnsi="Times New Roman" w:cs="Times New Roman"/>
          <w:noProof/>
          <w:sz w:val="24"/>
          <w:szCs w:val="24"/>
        </w:rPr>
        <w:t xml:space="preserve"> </w:t>
      </w:r>
      <w:r w:rsidR="00645EF4" w:rsidRPr="00645EF4">
        <w:rPr>
          <w:rFonts w:ascii="Times New Roman" w:hAnsi="Times New Roman" w:cs="Times New Roman"/>
          <w:b/>
          <w:bCs/>
          <w:noProof/>
          <w:sz w:val="24"/>
          <w:szCs w:val="24"/>
        </w:rPr>
        <w:t>6</w:t>
      </w:r>
      <w:r w:rsidR="00645EF4" w:rsidRPr="00645EF4">
        <w:rPr>
          <w:rFonts w:ascii="Times New Roman" w:hAnsi="Times New Roman" w:cs="Times New Roman"/>
          <w:noProof/>
          <w:sz w:val="24"/>
          <w:szCs w:val="24"/>
        </w:rPr>
        <w:t>, 223–234 (1991).</w:t>
      </w:r>
    </w:p>
    <w:p w14:paraId="5CF8EA4F" w14:textId="77777777" w:rsidR="00645EF4" w:rsidRPr="00645EF4" w:rsidRDefault="00645EF4" w:rsidP="00645EF4">
      <w:pPr>
        <w:widowControl w:val="0"/>
        <w:autoSpaceDE w:val="0"/>
        <w:autoSpaceDN w:val="0"/>
        <w:adjustRightInd w:val="0"/>
        <w:ind w:left="640" w:hanging="640"/>
        <w:rPr>
          <w:rFonts w:ascii="Times New Roman" w:hAnsi="Times New Roman" w:cs="Times New Roman"/>
          <w:noProof/>
          <w:sz w:val="24"/>
          <w:szCs w:val="24"/>
        </w:rPr>
      </w:pPr>
      <w:r w:rsidRPr="00645EF4">
        <w:rPr>
          <w:rFonts w:ascii="Times New Roman" w:hAnsi="Times New Roman" w:cs="Times New Roman"/>
          <w:noProof/>
          <w:sz w:val="24"/>
          <w:szCs w:val="24"/>
        </w:rPr>
        <w:t>2.</w:t>
      </w:r>
      <w:r w:rsidRPr="00645EF4">
        <w:rPr>
          <w:rFonts w:ascii="Times New Roman" w:hAnsi="Times New Roman" w:cs="Times New Roman"/>
          <w:noProof/>
          <w:sz w:val="24"/>
          <w:szCs w:val="24"/>
        </w:rPr>
        <w:tab/>
        <w:t xml:space="preserve">Ebigbo, A., Marienhagen, J. &amp; Messmann, H. Regular arrangement of collecting venules and the Kimura‐Takemoto classification for the endoscopic diagnosis of Helicobacter pylori infection: Evaluation in a Western setting. </w:t>
      </w:r>
      <w:r w:rsidRPr="00645EF4">
        <w:rPr>
          <w:rFonts w:ascii="Times New Roman" w:hAnsi="Times New Roman" w:cs="Times New Roman"/>
          <w:i/>
          <w:iCs/>
          <w:noProof/>
          <w:sz w:val="24"/>
          <w:szCs w:val="24"/>
        </w:rPr>
        <w:t>Dig. Endosc.</w:t>
      </w:r>
      <w:r w:rsidRPr="00645EF4">
        <w:rPr>
          <w:rFonts w:ascii="Times New Roman" w:hAnsi="Times New Roman" w:cs="Times New Roman"/>
          <w:noProof/>
          <w:sz w:val="24"/>
          <w:szCs w:val="24"/>
        </w:rPr>
        <w:t xml:space="preserve"> </w:t>
      </w:r>
      <w:r w:rsidRPr="00645EF4">
        <w:rPr>
          <w:rFonts w:ascii="Times New Roman" w:hAnsi="Times New Roman" w:cs="Times New Roman"/>
          <w:b/>
          <w:bCs/>
          <w:noProof/>
          <w:sz w:val="24"/>
          <w:szCs w:val="24"/>
        </w:rPr>
        <w:t>33</w:t>
      </w:r>
      <w:r w:rsidRPr="00645EF4">
        <w:rPr>
          <w:rFonts w:ascii="Times New Roman" w:hAnsi="Times New Roman" w:cs="Times New Roman"/>
          <w:noProof/>
          <w:sz w:val="24"/>
          <w:szCs w:val="24"/>
        </w:rPr>
        <w:t>, 587–591 (2021).</w:t>
      </w:r>
    </w:p>
    <w:p w14:paraId="5441CBF0" w14:textId="77777777" w:rsidR="00645EF4" w:rsidRPr="00645EF4" w:rsidRDefault="00645EF4" w:rsidP="00645EF4">
      <w:pPr>
        <w:widowControl w:val="0"/>
        <w:autoSpaceDE w:val="0"/>
        <w:autoSpaceDN w:val="0"/>
        <w:adjustRightInd w:val="0"/>
        <w:ind w:left="640" w:hanging="640"/>
        <w:rPr>
          <w:rFonts w:ascii="Times New Roman" w:hAnsi="Times New Roman" w:cs="Times New Roman"/>
          <w:noProof/>
          <w:sz w:val="24"/>
          <w:szCs w:val="24"/>
        </w:rPr>
      </w:pPr>
      <w:r w:rsidRPr="00645EF4">
        <w:rPr>
          <w:rFonts w:ascii="Times New Roman" w:hAnsi="Times New Roman" w:cs="Times New Roman"/>
          <w:noProof/>
          <w:sz w:val="24"/>
          <w:szCs w:val="24"/>
        </w:rPr>
        <w:t>3.</w:t>
      </w:r>
      <w:r w:rsidRPr="00645EF4">
        <w:rPr>
          <w:rFonts w:ascii="Times New Roman" w:hAnsi="Times New Roman" w:cs="Times New Roman"/>
          <w:noProof/>
          <w:sz w:val="24"/>
          <w:szCs w:val="24"/>
        </w:rPr>
        <w:tab/>
        <w:t xml:space="preserve">Zhao, J. </w:t>
      </w:r>
      <w:r w:rsidRPr="00645EF4">
        <w:rPr>
          <w:rFonts w:ascii="Times New Roman" w:hAnsi="Times New Roman" w:cs="Times New Roman"/>
          <w:i/>
          <w:iCs/>
          <w:noProof/>
          <w:sz w:val="24"/>
          <w:szCs w:val="24"/>
        </w:rPr>
        <w:t>et al.</w:t>
      </w:r>
      <w:r w:rsidRPr="00645EF4">
        <w:rPr>
          <w:rFonts w:ascii="Times New Roman" w:hAnsi="Times New Roman" w:cs="Times New Roman"/>
          <w:noProof/>
          <w:sz w:val="24"/>
          <w:szCs w:val="24"/>
        </w:rPr>
        <w:t xml:space="preserve"> Accuracy of Endoscopic Diagnosis of Helicobacter pylori Based on the Kyoto Classification of Gastritis: A Multicenter Study. </w:t>
      </w:r>
      <w:r w:rsidRPr="00645EF4">
        <w:rPr>
          <w:rFonts w:ascii="Times New Roman" w:hAnsi="Times New Roman" w:cs="Times New Roman"/>
          <w:i/>
          <w:iCs/>
          <w:noProof/>
          <w:sz w:val="24"/>
          <w:szCs w:val="24"/>
        </w:rPr>
        <w:t>Front. Oncol.</w:t>
      </w:r>
      <w:r w:rsidRPr="00645EF4">
        <w:rPr>
          <w:rFonts w:ascii="Times New Roman" w:hAnsi="Times New Roman" w:cs="Times New Roman"/>
          <w:noProof/>
          <w:sz w:val="24"/>
          <w:szCs w:val="24"/>
        </w:rPr>
        <w:t xml:space="preserve"> </w:t>
      </w:r>
      <w:r w:rsidRPr="00645EF4">
        <w:rPr>
          <w:rFonts w:ascii="Times New Roman" w:hAnsi="Times New Roman" w:cs="Times New Roman"/>
          <w:b/>
          <w:bCs/>
          <w:noProof/>
          <w:sz w:val="24"/>
          <w:szCs w:val="24"/>
        </w:rPr>
        <w:t>10</w:t>
      </w:r>
      <w:r w:rsidRPr="00645EF4">
        <w:rPr>
          <w:rFonts w:ascii="Times New Roman" w:hAnsi="Times New Roman" w:cs="Times New Roman"/>
          <w:noProof/>
          <w:sz w:val="24"/>
          <w:szCs w:val="24"/>
        </w:rPr>
        <w:t>, 1–9 (2020).</w:t>
      </w:r>
    </w:p>
    <w:p w14:paraId="7B399DF6" w14:textId="77777777" w:rsidR="00645EF4" w:rsidRPr="00645EF4" w:rsidRDefault="00645EF4" w:rsidP="00645EF4">
      <w:pPr>
        <w:widowControl w:val="0"/>
        <w:autoSpaceDE w:val="0"/>
        <w:autoSpaceDN w:val="0"/>
        <w:adjustRightInd w:val="0"/>
        <w:ind w:left="640" w:hanging="640"/>
        <w:rPr>
          <w:rFonts w:ascii="Times New Roman" w:hAnsi="Times New Roman" w:cs="Times New Roman"/>
          <w:noProof/>
          <w:sz w:val="24"/>
          <w:szCs w:val="24"/>
        </w:rPr>
      </w:pPr>
      <w:r w:rsidRPr="00645EF4">
        <w:rPr>
          <w:rFonts w:ascii="Times New Roman" w:hAnsi="Times New Roman" w:cs="Times New Roman"/>
          <w:noProof/>
          <w:sz w:val="24"/>
          <w:szCs w:val="24"/>
        </w:rPr>
        <w:t>4.</w:t>
      </w:r>
      <w:r w:rsidRPr="00645EF4">
        <w:rPr>
          <w:rFonts w:ascii="Times New Roman" w:hAnsi="Times New Roman" w:cs="Times New Roman"/>
          <w:noProof/>
          <w:sz w:val="24"/>
          <w:szCs w:val="24"/>
        </w:rPr>
        <w:tab/>
        <w:t xml:space="preserve">Cho, J.-H. </w:t>
      </w:r>
      <w:r w:rsidRPr="00645EF4">
        <w:rPr>
          <w:rFonts w:ascii="Times New Roman" w:hAnsi="Times New Roman" w:cs="Times New Roman"/>
          <w:i/>
          <w:iCs/>
          <w:noProof/>
          <w:sz w:val="24"/>
          <w:szCs w:val="24"/>
        </w:rPr>
        <w:t>et al.</w:t>
      </w:r>
      <w:r w:rsidRPr="00645EF4">
        <w:rPr>
          <w:rFonts w:ascii="Times New Roman" w:hAnsi="Times New Roman" w:cs="Times New Roman"/>
          <w:noProof/>
          <w:sz w:val="24"/>
          <w:szCs w:val="24"/>
        </w:rPr>
        <w:t xml:space="preserve"> Close observation of gastric mucosal pattern by standard endoscopy can predict Helicobacter pylori infection status. </w:t>
      </w:r>
      <w:r w:rsidRPr="00645EF4">
        <w:rPr>
          <w:rFonts w:ascii="Times New Roman" w:hAnsi="Times New Roman" w:cs="Times New Roman"/>
          <w:i/>
          <w:iCs/>
          <w:noProof/>
          <w:sz w:val="24"/>
          <w:szCs w:val="24"/>
        </w:rPr>
        <w:t>J. Gastroenterol. Hepatol.</w:t>
      </w:r>
      <w:r w:rsidRPr="00645EF4">
        <w:rPr>
          <w:rFonts w:ascii="Times New Roman" w:hAnsi="Times New Roman" w:cs="Times New Roman"/>
          <w:noProof/>
          <w:sz w:val="24"/>
          <w:szCs w:val="24"/>
        </w:rPr>
        <w:t xml:space="preserve"> </w:t>
      </w:r>
      <w:r w:rsidRPr="00645EF4">
        <w:rPr>
          <w:rFonts w:ascii="Times New Roman" w:hAnsi="Times New Roman" w:cs="Times New Roman"/>
          <w:b/>
          <w:bCs/>
          <w:noProof/>
          <w:sz w:val="24"/>
          <w:szCs w:val="24"/>
        </w:rPr>
        <w:t>28</w:t>
      </w:r>
      <w:r w:rsidRPr="00645EF4">
        <w:rPr>
          <w:rFonts w:ascii="Times New Roman" w:hAnsi="Times New Roman" w:cs="Times New Roman"/>
          <w:noProof/>
          <w:sz w:val="24"/>
          <w:szCs w:val="24"/>
        </w:rPr>
        <w:t>, 279–284 (2013).</w:t>
      </w:r>
    </w:p>
    <w:p w14:paraId="6C6DD628" w14:textId="77777777" w:rsidR="00645EF4" w:rsidRPr="00645EF4" w:rsidRDefault="00645EF4" w:rsidP="00645EF4">
      <w:pPr>
        <w:widowControl w:val="0"/>
        <w:autoSpaceDE w:val="0"/>
        <w:autoSpaceDN w:val="0"/>
        <w:adjustRightInd w:val="0"/>
        <w:ind w:left="640" w:hanging="640"/>
        <w:rPr>
          <w:rFonts w:ascii="Times New Roman" w:hAnsi="Times New Roman" w:cs="Times New Roman"/>
          <w:noProof/>
          <w:sz w:val="24"/>
          <w:szCs w:val="24"/>
        </w:rPr>
      </w:pPr>
      <w:r w:rsidRPr="00645EF4">
        <w:rPr>
          <w:rFonts w:ascii="Times New Roman" w:hAnsi="Times New Roman" w:cs="Times New Roman"/>
          <w:noProof/>
          <w:sz w:val="24"/>
          <w:szCs w:val="24"/>
        </w:rPr>
        <w:t>5.</w:t>
      </w:r>
      <w:r w:rsidRPr="00645EF4">
        <w:rPr>
          <w:rFonts w:ascii="Times New Roman" w:hAnsi="Times New Roman" w:cs="Times New Roman"/>
          <w:noProof/>
          <w:sz w:val="24"/>
          <w:szCs w:val="24"/>
        </w:rPr>
        <w:tab/>
        <w:t xml:space="preserve">Nomura, S. </w:t>
      </w:r>
      <w:r w:rsidRPr="00645EF4">
        <w:rPr>
          <w:rFonts w:ascii="Times New Roman" w:hAnsi="Times New Roman" w:cs="Times New Roman"/>
          <w:i/>
          <w:iCs/>
          <w:noProof/>
          <w:sz w:val="24"/>
          <w:szCs w:val="24"/>
        </w:rPr>
        <w:t>et al.</w:t>
      </w:r>
      <w:r w:rsidRPr="00645EF4">
        <w:rPr>
          <w:rFonts w:ascii="Times New Roman" w:hAnsi="Times New Roman" w:cs="Times New Roman"/>
          <w:noProof/>
          <w:sz w:val="24"/>
          <w:szCs w:val="24"/>
        </w:rPr>
        <w:t xml:space="preserve"> Endoscopic diagnosis of gastric mucosal activity and inflammation. </w:t>
      </w:r>
      <w:r w:rsidRPr="00645EF4">
        <w:rPr>
          <w:rFonts w:ascii="Times New Roman" w:hAnsi="Times New Roman" w:cs="Times New Roman"/>
          <w:i/>
          <w:iCs/>
          <w:noProof/>
          <w:sz w:val="24"/>
          <w:szCs w:val="24"/>
        </w:rPr>
        <w:t>Dig. Endosc.</w:t>
      </w:r>
      <w:r w:rsidRPr="00645EF4">
        <w:rPr>
          <w:rFonts w:ascii="Times New Roman" w:hAnsi="Times New Roman" w:cs="Times New Roman"/>
          <w:noProof/>
          <w:sz w:val="24"/>
          <w:szCs w:val="24"/>
        </w:rPr>
        <w:t xml:space="preserve"> </w:t>
      </w:r>
      <w:r w:rsidRPr="00645EF4">
        <w:rPr>
          <w:rFonts w:ascii="Times New Roman" w:hAnsi="Times New Roman" w:cs="Times New Roman"/>
          <w:b/>
          <w:bCs/>
          <w:noProof/>
          <w:sz w:val="24"/>
          <w:szCs w:val="24"/>
        </w:rPr>
        <w:t>25</w:t>
      </w:r>
      <w:r w:rsidRPr="00645EF4">
        <w:rPr>
          <w:rFonts w:ascii="Times New Roman" w:hAnsi="Times New Roman" w:cs="Times New Roman"/>
          <w:noProof/>
          <w:sz w:val="24"/>
          <w:szCs w:val="24"/>
        </w:rPr>
        <w:t>, 136–146 (2013).</w:t>
      </w:r>
    </w:p>
    <w:p w14:paraId="4CBDBD08" w14:textId="77777777" w:rsidR="00645EF4" w:rsidRPr="00645EF4" w:rsidRDefault="00645EF4" w:rsidP="00645EF4">
      <w:pPr>
        <w:widowControl w:val="0"/>
        <w:autoSpaceDE w:val="0"/>
        <w:autoSpaceDN w:val="0"/>
        <w:adjustRightInd w:val="0"/>
        <w:ind w:left="640" w:hanging="640"/>
        <w:rPr>
          <w:rFonts w:ascii="Times New Roman" w:hAnsi="Times New Roman" w:cs="Times New Roman"/>
          <w:noProof/>
          <w:sz w:val="24"/>
        </w:rPr>
      </w:pPr>
      <w:r w:rsidRPr="00645EF4">
        <w:rPr>
          <w:rFonts w:ascii="Times New Roman" w:hAnsi="Times New Roman" w:cs="Times New Roman"/>
          <w:noProof/>
          <w:sz w:val="24"/>
          <w:szCs w:val="24"/>
        </w:rPr>
        <w:t>6.</w:t>
      </w:r>
      <w:r w:rsidRPr="00645EF4">
        <w:rPr>
          <w:rFonts w:ascii="Times New Roman" w:hAnsi="Times New Roman" w:cs="Times New Roman"/>
          <w:noProof/>
          <w:sz w:val="24"/>
          <w:szCs w:val="24"/>
        </w:rPr>
        <w:tab/>
        <w:t xml:space="preserve">Kato, M. </w:t>
      </w:r>
      <w:r w:rsidRPr="00645EF4">
        <w:rPr>
          <w:rFonts w:ascii="Times New Roman" w:hAnsi="Times New Roman" w:cs="Times New Roman"/>
          <w:i/>
          <w:iCs/>
          <w:noProof/>
          <w:sz w:val="24"/>
          <w:szCs w:val="24"/>
        </w:rPr>
        <w:t>et al.</w:t>
      </w:r>
      <w:r w:rsidRPr="00645EF4">
        <w:rPr>
          <w:rFonts w:ascii="Times New Roman" w:hAnsi="Times New Roman" w:cs="Times New Roman"/>
          <w:noProof/>
          <w:sz w:val="24"/>
          <w:szCs w:val="24"/>
        </w:rPr>
        <w:t xml:space="preserve"> Changes in endoscopic findings of gastritis after cure of H. pylori infection: Multicenter prospective trial. </w:t>
      </w:r>
      <w:r w:rsidRPr="00645EF4">
        <w:rPr>
          <w:rFonts w:ascii="Times New Roman" w:hAnsi="Times New Roman" w:cs="Times New Roman"/>
          <w:i/>
          <w:iCs/>
          <w:noProof/>
          <w:sz w:val="24"/>
          <w:szCs w:val="24"/>
        </w:rPr>
        <w:t>Dig. Endosc.</w:t>
      </w:r>
      <w:r w:rsidRPr="00645EF4">
        <w:rPr>
          <w:rFonts w:ascii="Times New Roman" w:hAnsi="Times New Roman" w:cs="Times New Roman"/>
          <w:noProof/>
          <w:sz w:val="24"/>
          <w:szCs w:val="24"/>
        </w:rPr>
        <w:t xml:space="preserve"> </w:t>
      </w:r>
      <w:r w:rsidRPr="00645EF4">
        <w:rPr>
          <w:rFonts w:ascii="Times New Roman" w:hAnsi="Times New Roman" w:cs="Times New Roman"/>
          <w:b/>
          <w:bCs/>
          <w:noProof/>
          <w:sz w:val="24"/>
          <w:szCs w:val="24"/>
        </w:rPr>
        <w:t>25</w:t>
      </w:r>
      <w:r w:rsidRPr="00645EF4">
        <w:rPr>
          <w:rFonts w:ascii="Times New Roman" w:hAnsi="Times New Roman" w:cs="Times New Roman"/>
          <w:noProof/>
          <w:sz w:val="24"/>
          <w:szCs w:val="24"/>
        </w:rPr>
        <w:t>, 264–273 (2013).</w:t>
      </w:r>
    </w:p>
    <w:p w14:paraId="67C2F2FB" w14:textId="3EE134CB" w:rsidR="00657D22" w:rsidRPr="00577E93" w:rsidRDefault="00657D22" w:rsidP="0013252F">
      <w:pPr>
        <w:rPr>
          <w:rFonts w:ascii="Times New Roman" w:hAnsi="Times New Roman" w:cs="Times New Roman"/>
          <w:sz w:val="24"/>
          <w:szCs w:val="24"/>
        </w:rPr>
      </w:pPr>
      <w:r>
        <w:rPr>
          <w:rFonts w:ascii="Times New Roman" w:hAnsi="Times New Roman" w:cs="Times New Roman"/>
          <w:sz w:val="24"/>
          <w:szCs w:val="24"/>
        </w:rPr>
        <w:fldChar w:fldCharType="end"/>
      </w:r>
    </w:p>
    <w:sectPr w:rsidR="00657D22" w:rsidRPr="00577E93" w:rsidSect="002B09EB">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E862B66" w14:textId="77777777" w:rsidR="00E44821" w:rsidRDefault="00E44821" w:rsidP="00154F93">
      <w:pPr>
        <w:spacing w:line="240" w:lineRule="auto"/>
      </w:pPr>
      <w:r>
        <w:separator/>
      </w:r>
    </w:p>
  </w:endnote>
  <w:endnote w:type="continuationSeparator" w:id="0">
    <w:p w14:paraId="3959B915" w14:textId="77777777" w:rsidR="00E44821" w:rsidRDefault="00E44821" w:rsidP="00154F93">
      <w:pPr>
        <w:spacing w:line="240" w:lineRule="auto"/>
      </w:pPr>
      <w:r>
        <w:continuationSeparator/>
      </w:r>
    </w:p>
  </w:endnote>
  <w:endnote w:type="continuationNotice" w:id="1">
    <w:p w14:paraId="1B70D589" w14:textId="77777777" w:rsidR="00E44821" w:rsidRDefault="00E4482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A0B9B4D" w14:textId="77777777" w:rsidR="00E44821" w:rsidRDefault="00E44821" w:rsidP="00154F93">
      <w:pPr>
        <w:spacing w:line="240" w:lineRule="auto"/>
      </w:pPr>
      <w:r>
        <w:separator/>
      </w:r>
    </w:p>
  </w:footnote>
  <w:footnote w:type="continuationSeparator" w:id="0">
    <w:p w14:paraId="7A73D0AC" w14:textId="77777777" w:rsidR="00E44821" w:rsidRDefault="00E44821" w:rsidP="00154F93">
      <w:pPr>
        <w:spacing w:line="240" w:lineRule="auto"/>
      </w:pPr>
      <w:r>
        <w:continuationSeparator/>
      </w:r>
    </w:p>
  </w:footnote>
  <w:footnote w:type="continuationNotice" w:id="1">
    <w:p w14:paraId="0E255ADD" w14:textId="77777777" w:rsidR="00E44821" w:rsidRDefault="00E44821">
      <w:pPr>
        <w:spacing w:line="240" w:lineRule="auto"/>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K0NDQysDSwMDM2NTNS0lEKTi0uzszPAykwrAUA9CF5HCwAAAA="/>
  </w:docVars>
  <w:rsids>
    <w:rsidRoot w:val="002F140C"/>
    <w:rsid w:val="0000043E"/>
    <w:rsid w:val="0000164C"/>
    <w:rsid w:val="00001877"/>
    <w:rsid w:val="000018F8"/>
    <w:rsid w:val="000033D6"/>
    <w:rsid w:val="000033F5"/>
    <w:rsid w:val="00014217"/>
    <w:rsid w:val="00020826"/>
    <w:rsid w:val="00022900"/>
    <w:rsid w:val="00035CCC"/>
    <w:rsid w:val="00036BCE"/>
    <w:rsid w:val="00042CEC"/>
    <w:rsid w:val="000478EF"/>
    <w:rsid w:val="0005355B"/>
    <w:rsid w:val="00053713"/>
    <w:rsid w:val="00053D91"/>
    <w:rsid w:val="00056691"/>
    <w:rsid w:val="0005693A"/>
    <w:rsid w:val="00056B45"/>
    <w:rsid w:val="000661D4"/>
    <w:rsid w:val="00072F32"/>
    <w:rsid w:val="00073C61"/>
    <w:rsid w:val="00076163"/>
    <w:rsid w:val="0007732B"/>
    <w:rsid w:val="00077E1A"/>
    <w:rsid w:val="00084E58"/>
    <w:rsid w:val="000850EE"/>
    <w:rsid w:val="00090D63"/>
    <w:rsid w:val="00091F87"/>
    <w:rsid w:val="00092009"/>
    <w:rsid w:val="00096F67"/>
    <w:rsid w:val="000B093E"/>
    <w:rsid w:val="000B2659"/>
    <w:rsid w:val="000B2E87"/>
    <w:rsid w:val="000C0F5C"/>
    <w:rsid w:val="000C4646"/>
    <w:rsid w:val="000D190A"/>
    <w:rsid w:val="000D5083"/>
    <w:rsid w:val="000E20A4"/>
    <w:rsid w:val="000E372C"/>
    <w:rsid w:val="000E5C67"/>
    <w:rsid w:val="000F0FF0"/>
    <w:rsid w:val="00100448"/>
    <w:rsid w:val="00100F97"/>
    <w:rsid w:val="00107BF2"/>
    <w:rsid w:val="00115681"/>
    <w:rsid w:val="00120754"/>
    <w:rsid w:val="0012094B"/>
    <w:rsid w:val="00120BBE"/>
    <w:rsid w:val="001233B1"/>
    <w:rsid w:val="001255BF"/>
    <w:rsid w:val="0013252F"/>
    <w:rsid w:val="00136CEB"/>
    <w:rsid w:val="0014189F"/>
    <w:rsid w:val="00150FEA"/>
    <w:rsid w:val="00154F93"/>
    <w:rsid w:val="0016335C"/>
    <w:rsid w:val="001654BD"/>
    <w:rsid w:val="001671CA"/>
    <w:rsid w:val="001717F5"/>
    <w:rsid w:val="00181496"/>
    <w:rsid w:val="00181D08"/>
    <w:rsid w:val="001853FB"/>
    <w:rsid w:val="00190605"/>
    <w:rsid w:val="00190E59"/>
    <w:rsid w:val="001918CA"/>
    <w:rsid w:val="00191A5A"/>
    <w:rsid w:val="001A26AD"/>
    <w:rsid w:val="001B130E"/>
    <w:rsid w:val="001B1ED5"/>
    <w:rsid w:val="001C014F"/>
    <w:rsid w:val="001C0388"/>
    <w:rsid w:val="001C2C0D"/>
    <w:rsid w:val="001C7B37"/>
    <w:rsid w:val="001D277A"/>
    <w:rsid w:val="001E0041"/>
    <w:rsid w:val="001E1267"/>
    <w:rsid w:val="001E213B"/>
    <w:rsid w:val="001E3358"/>
    <w:rsid w:val="001E6C92"/>
    <w:rsid w:val="001F73B9"/>
    <w:rsid w:val="00201F9C"/>
    <w:rsid w:val="002073F2"/>
    <w:rsid w:val="002116B0"/>
    <w:rsid w:val="002176B4"/>
    <w:rsid w:val="002209AE"/>
    <w:rsid w:val="00221005"/>
    <w:rsid w:val="0022505B"/>
    <w:rsid w:val="00225B3B"/>
    <w:rsid w:val="00225C69"/>
    <w:rsid w:val="00231952"/>
    <w:rsid w:val="00237DD6"/>
    <w:rsid w:val="0024188D"/>
    <w:rsid w:val="00247FEC"/>
    <w:rsid w:val="00251263"/>
    <w:rsid w:val="002512BA"/>
    <w:rsid w:val="00251655"/>
    <w:rsid w:val="00253353"/>
    <w:rsid w:val="002578A8"/>
    <w:rsid w:val="00261455"/>
    <w:rsid w:val="00261CE6"/>
    <w:rsid w:val="00262776"/>
    <w:rsid w:val="0026417D"/>
    <w:rsid w:val="00265EB6"/>
    <w:rsid w:val="00266018"/>
    <w:rsid w:val="002669F0"/>
    <w:rsid w:val="00267121"/>
    <w:rsid w:val="0026737B"/>
    <w:rsid w:val="00273025"/>
    <w:rsid w:val="0027757A"/>
    <w:rsid w:val="002817A6"/>
    <w:rsid w:val="00282E94"/>
    <w:rsid w:val="00285FBC"/>
    <w:rsid w:val="00286355"/>
    <w:rsid w:val="00290294"/>
    <w:rsid w:val="002920DE"/>
    <w:rsid w:val="00292E20"/>
    <w:rsid w:val="0029445C"/>
    <w:rsid w:val="00295A43"/>
    <w:rsid w:val="002A27F7"/>
    <w:rsid w:val="002A4BD3"/>
    <w:rsid w:val="002A5064"/>
    <w:rsid w:val="002A6C27"/>
    <w:rsid w:val="002B0903"/>
    <w:rsid w:val="002B09EB"/>
    <w:rsid w:val="002B1178"/>
    <w:rsid w:val="002B1E46"/>
    <w:rsid w:val="002B51CE"/>
    <w:rsid w:val="002C4D8D"/>
    <w:rsid w:val="002C6CEE"/>
    <w:rsid w:val="002C7AD7"/>
    <w:rsid w:val="002D0C9F"/>
    <w:rsid w:val="002E0DCA"/>
    <w:rsid w:val="002E66E2"/>
    <w:rsid w:val="002F140C"/>
    <w:rsid w:val="002F3131"/>
    <w:rsid w:val="002F3558"/>
    <w:rsid w:val="002F49A0"/>
    <w:rsid w:val="002F532D"/>
    <w:rsid w:val="002F58CF"/>
    <w:rsid w:val="002F6755"/>
    <w:rsid w:val="002F6BB2"/>
    <w:rsid w:val="003016E0"/>
    <w:rsid w:val="00304809"/>
    <w:rsid w:val="00311196"/>
    <w:rsid w:val="003118DB"/>
    <w:rsid w:val="00313869"/>
    <w:rsid w:val="003223D1"/>
    <w:rsid w:val="00323D16"/>
    <w:rsid w:val="003254AD"/>
    <w:rsid w:val="00331F13"/>
    <w:rsid w:val="00332182"/>
    <w:rsid w:val="003325EC"/>
    <w:rsid w:val="00344755"/>
    <w:rsid w:val="00346A6C"/>
    <w:rsid w:val="00362831"/>
    <w:rsid w:val="00362C09"/>
    <w:rsid w:val="00362D28"/>
    <w:rsid w:val="003712B9"/>
    <w:rsid w:val="00375E69"/>
    <w:rsid w:val="00380578"/>
    <w:rsid w:val="0038366F"/>
    <w:rsid w:val="00387FB4"/>
    <w:rsid w:val="00390418"/>
    <w:rsid w:val="003946D0"/>
    <w:rsid w:val="003A699B"/>
    <w:rsid w:val="003B0D16"/>
    <w:rsid w:val="003B5DD7"/>
    <w:rsid w:val="003B6A44"/>
    <w:rsid w:val="003C0978"/>
    <w:rsid w:val="003C1C62"/>
    <w:rsid w:val="003C3E02"/>
    <w:rsid w:val="003C5DB4"/>
    <w:rsid w:val="003C65F4"/>
    <w:rsid w:val="003C6AC4"/>
    <w:rsid w:val="003C7B42"/>
    <w:rsid w:val="003C7F69"/>
    <w:rsid w:val="003D1A62"/>
    <w:rsid w:val="003D2B3A"/>
    <w:rsid w:val="003D2C88"/>
    <w:rsid w:val="003D340F"/>
    <w:rsid w:val="003E31AF"/>
    <w:rsid w:val="003F095B"/>
    <w:rsid w:val="003F7C75"/>
    <w:rsid w:val="004030AB"/>
    <w:rsid w:val="0040506E"/>
    <w:rsid w:val="00406FAF"/>
    <w:rsid w:val="004079CA"/>
    <w:rsid w:val="00407BC6"/>
    <w:rsid w:val="00407F6B"/>
    <w:rsid w:val="00411B90"/>
    <w:rsid w:val="00413BE7"/>
    <w:rsid w:val="00422625"/>
    <w:rsid w:val="004247D6"/>
    <w:rsid w:val="00430B88"/>
    <w:rsid w:val="004335E6"/>
    <w:rsid w:val="00434E78"/>
    <w:rsid w:val="004411C4"/>
    <w:rsid w:val="00443B77"/>
    <w:rsid w:val="00444CD2"/>
    <w:rsid w:val="0045169E"/>
    <w:rsid w:val="00452DF9"/>
    <w:rsid w:val="00462674"/>
    <w:rsid w:val="00465DDD"/>
    <w:rsid w:val="00470901"/>
    <w:rsid w:val="00470BC6"/>
    <w:rsid w:val="00472750"/>
    <w:rsid w:val="00472D2D"/>
    <w:rsid w:val="00473438"/>
    <w:rsid w:val="004754D4"/>
    <w:rsid w:val="004806A1"/>
    <w:rsid w:val="00481B07"/>
    <w:rsid w:val="004A0940"/>
    <w:rsid w:val="004B23A5"/>
    <w:rsid w:val="004B35A8"/>
    <w:rsid w:val="004B38A4"/>
    <w:rsid w:val="004B3AE5"/>
    <w:rsid w:val="004B46EB"/>
    <w:rsid w:val="004C11F8"/>
    <w:rsid w:val="004C6B6E"/>
    <w:rsid w:val="004D2846"/>
    <w:rsid w:val="004D33FE"/>
    <w:rsid w:val="004D4DF8"/>
    <w:rsid w:val="004D6310"/>
    <w:rsid w:val="004E632C"/>
    <w:rsid w:val="004F19AA"/>
    <w:rsid w:val="004F4A0A"/>
    <w:rsid w:val="004F5FEB"/>
    <w:rsid w:val="004F687F"/>
    <w:rsid w:val="005071F0"/>
    <w:rsid w:val="00511F2F"/>
    <w:rsid w:val="00512AD4"/>
    <w:rsid w:val="0051670C"/>
    <w:rsid w:val="0051759B"/>
    <w:rsid w:val="00517C80"/>
    <w:rsid w:val="005204FF"/>
    <w:rsid w:val="00521F30"/>
    <w:rsid w:val="00524B98"/>
    <w:rsid w:val="00524DB1"/>
    <w:rsid w:val="005252ED"/>
    <w:rsid w:val="0053091F"/>
    <w:rsid w:val="005416DC"/>
    <w:rsid w:val="00544DC9"/>
    <w:rsid w:val="00550D5C"/>
    <w:rsid w:val="005526FA"/>
    <w:rsid w:val="00557EC3"/>
    <w:rsid w:val="005607DF"/>
    <w:rsid w:val="00560928"/>
    <w:rsid w:val="00563CFF"/>
    <w:rsid w:val="00564551"/>
    <w:rsid w:val="00564804"/>
    <w:rsid w:val="005658AB"/>
    <w:rsid w:val="00572EB1"/>
    <w:rsid w:val="0057561C"/>
    <w:rsid w:val="00577E93"/>
    <w:rsid w:val="00580A83"/>
    <w:rsid w:val="00580CE0"/>
    <w:rsid w:val="00584135"/>
    <w:rsid w:val="00585697"/>
    <w:rsid w:val="00587A43"/>
    <w:rsid w:val="00591AC6"/>
    <w:rsid w:val="005950BA"/>
    <w:rsid w:val="005963FC"/>
    <w:rsid w:val="005972FD"/>
    <w:rsid w:val="005A1C7F"/>
    <w:rsid w:val="005A4FC2"/>
    <w:rsid w:val="005B3D68"/>
    <w:rsid w:val="005B5147"/>
    <w:rsid w:val="005B6DF5"/>
    <w:rsid w:val="005B749E"/>
    <w:rsid w:val="005C2B1D"/>
    <w:rsid w:val="005C3727"/>
    <w:rsid w:val="005C38B8"/>
    <w:rsid w:val="005C6801"/>
    <w:rsid w:val="005C71E2"/>
    <w:rsid w:val="005D3F5B"/>
    <w:rsid w:val="005D45D5"/>
    <w:rsid w:val="005E6DC8"/>
    <w:rsid w:val="005E7DCB"/>
    <w:rsid w:val="005F466D"/>
    <w:rsid w:val="005F5393"/>
    <w:rsid w:val="005F6826"/>
    <w:rsid w:val="005F7262"/>
    <w:rsid w:val="00616E19"/>
    <w:rsid w:val="00617931"/>
    <w:rsid w:val="00621782"/>
    <w:rsid w:val="006253F4"/>
    <w:rsid w:val="0062649B"/>
    <w:rsid w:val="00627BDC"/>
    <w:rsid w:val="00631B96"/>
    <w:rsid w:val="00634504"/>
    <w:rsid w:val="006364A3"/>
    <w:rsid w:val="00636C0B"/>
    <w:rsid w:val="00636D20"/>
    <w:rsid w:val="006417DB"/>
    <w:rsid w:val="00645EF4"/>
    <w:rsid w:val="00650599"/>
    <w:rsid w:val="00657176"/>
    <w:rsid w:val="00657D22"/>
    <w:rsid w:val="00666715"/>
    <w:rsid w:val="00676754"/>
    <w:rsid w:val="00676813"/>
    <w:rsid w:val="00680964"/>
    <w:rsid w:val="00683653"/>
    <w:rsid w:val="00684896"/>
    <w:rsid w:val="00697DBC"/>
    <w:rsid w:val="006A1937"/>
    <w:rsid w:val="006B19CF"/>
    <w:rsid w:val="006B293F"/>
    <w:rsid w:val="006B363E"/>
    <w:rsid w:val="006B6BCB"/>
    <w:rsid w:val="006C19FF"/>
    <w:rsid w:val="006C4389"/>
    <w:rsid w:val="006C4E2A"/>
    <w:rsid w:val="006C60E7"/>
    <w:rsid w:val="006C7654"/>
    <w:rsid w:val="006D5BBF"/>
    <w:rsid w:val="006E0D63"/>
    <w:rsid w:val="006E1CBA"/>
    <w:rsid w:val="006E2176"/>
    <w:rsid w:val="006E23BA"/>
    <w:rsid w:val="006E2777"/>
    <w:rsid w:val="006E3BA3"/>
    <w:rsid w:val="006E4803"/>
    <w:rsid w:val="006F173D"/>
    <w:rsid w:val="006F4666"/>
    <w:rsid w:val="006F7C09"/>
    <w:rsid w:val="006F7CA5"/>
    <w:rsid w:val="007013C4"/>
    <w:rsid w:val="00703D86"/>
    <w:rsid w:val="00710C94"/>
    <w:rsid w:val="0071484C"/>
    <w:rsid w:val="0071529F"/>
    <w:rsid w:val="00725A98"/>
    <w:rsid w:val="00725D36"/>
    <w:rsid w:val="0072664C"/>
    <w:rsid w:val="0072695D"/>
    <w:rsid w:val="00732774"/>
    <w:rsid w:val="00733DF1"/>
    <w:rsid w:val="00735DBA"/>
    <w:rsid w:val="00741F9B"/>
    <w:rsid w:val="0074361C"/>
    <w:rsid w:val="00745A79"/>
    <w:rsid w:val="00745BBA"/>
    <w:rsid w:val="00762030"/>
    <w:rsid w:val="0076681B"/>
    <w:rsid w:val="00766DB0"/>
    <w:rsid w:val="00770FD2"/>
    <w:rsid w:val="00771C11"/>
    <w:rsid w:val="00776556"/>
    <w:rsid w:val="00796FF1"/>
    <w:rsid w:val="00797639"/>
    <w:rsid w:val="007A2E54"/>
    <w:rsid w:val="007A3E72"/>
    <w:rsid w:val="007A46C4"/>
    <w:rsid w:val="007B3506"/>
    <w:rsid w:val="007B3B41"/>
    <w:rsid w:val="007C0A59"/>
    <w:rsid w:val="007C0D1E"/>
    <w:rsid w:val="007C3C3A"/>
    <w:rsid w:val="007C6003"/>
    <w:rsid w:val="007C7E23"/>
    <w:rsid w:val="007D4097"/>
    <w:rsid w:val="007F21C6"/>
    <w:rsid w:val="007F5FB6"/>
    <w:rsid w:val="007F6557"/>
    <w:rsid w:val="007F69D1"/>
    <w:rsid w:val="00801873"/>
    <w:rsid w:val="0081130B"/>
    <w:rsid w:val="00812214"/>
    <w:rsid w:val="008176E2"/>
    <w:rsid w:val="008201EA"/>
    <w:rsid w:val="0082117A"/>
    <w:rsid w:val="00823B98"/>
    <w:rsid w:val="0082464D"/>
    <w:rsid w:val="008256F2"/>
    <w:rsid w:val="00825882"/>
    <w:rsid w:val="00827804"/>
    <w:rsid w:val="00827C73"/>
    <w:rsid w:val="008338F2"/>
    <w:rsid w:val="008339B9"/>
    <w:rsid w:val="00870354"/>
    <w:rsid w:val="0087443D"/>
    <w:rsid w:val="0088131A"/>
    <w:rsid w:val="008906FE"/>
    <w:rsid w:val="0089534E"/>
    <w:rsid w:val="008966B9"/>
    <w:rsid w:val="008A228D"/>
    <w:rsid w:val="008A5156"/>
    <w:rsid w:val="008B0032"/>
    <w:rsid w:val="008B49DE"/>
    <w:rsid w:val="008B59A6"/>
    <w:rsid w:val="008B768C"/>
    <w:rsid w:val="008C1FC8"/>
    <w:rsid w:val="008C32EF"/>
    <w:rsid w:val="008C3DB2"/>
    <w:rsid w:val="008C47B1"/>
    <w:rsid w:val="008C61B0"/>
    <w:rsid w:val="008D0107"/>
    <w:rsid w:val="008D2D4B"/>
    <w:rsid w:val="008D756B"/>
    <w:rsid w:val="008E051B"/>
    <w:rsid w:val="008F047E"/>
    <w:rsid w:val="008F0662"/>
    <w:rsid w:val="00903184"/>
    <w:rsid w:val="00904813"/>
    <w:rsid w:val="0090527C"/>
    <w:rsid w:val="009052CB"/>
    <w:rsid w:val="00906B70"/>
    <w:rsid w:val="00907130"/>
    <w:rsid w:val="00911925"/>
    <w:rsid w:val="00920A19"/>
    <w:rsid w:val="00921841"/>
    <w:rsid w:val="00921E1B"/>
    <w:rsid w:val="00921E42"/>
    <w:rsid w:val="00922C51"/>
    <w:rsid w:val="009243C4"/>
    <w:rsid w:val="0092478D"/>
    <w:rsid w:val="009272E5"/>
    <w:rsid w:val="00931FD4"/>
    <w:rsid w:val="00932C16"/>
    <w:rsid w:val="009416DF"/>
    <w:rsid w:val="0094373B"/>
    <w:rsid w:val="00945F2D"/>
    <w:rsid w:val="00952023"/>
    <w:rsid w:val="00952E55"/>
    <w:rsid w:val="00953846"/>
    <w:rsid w:val="00953A6E"/>
    <w:rsid w:val="00960678"/>
    <w:rsid w:val="00960D62"/>
    <w:rsid w:val="0097067C"/>
    <w:rsid w:val="009723FD"/>
    <w:rsid w:val="00972F18"/>
    <w:rsid w:val="0097422B"/>
    <w:rsid w:val="009753AF"/>
    <w:rsid w:val="0097655C"/>
    <w:rsid w:val="009813E1"/>
    <w:rsid w:val="009850B3"/>
    <w:rsid w:val="00986966"/>
    <w:rsid w:val="00990350"/>
    <w:rsid w:val="009925C7"/>
    <w:rsid w:val="0099325A"/>
    <w:rsid w:val="00996B5A"/>
    <w:rsid w:val="009A47F4"/>
    <w:rsid w:val="009A49CF"/>
    <w:rsid w:val="009A7DB0"/>
    <w:rsid w:val="009B3353"/>
    <w:rsid w:val="009B7C88"/>
    <w:rsid w:val="009C40F7"/>
    <w:rsid w:val="009C6980"/>
    <w:rsid w:val="009C7D33"/>
    <w:rsid w:val="009D0118"/>
    <w:rsid w:val="009D3FB0"/>
    <w:rsid w:val="009E002E"/>
    <w:rsid w:val="009E2567"/>
    <w:rsid w:val="009E373C"/>
    <w:rsid w:val="009F1BA1"/>
    <w:rsid w:val="00A02E57"/>
    <w:rsid w:val="00A058DF"/>
    <w:rsid w:val="00A1020C"/>
    <w:rsid w:val="00A1405B"/>
    <w:rsid w:val="00A15243"/>
    <w:rsid w:val="00A167AB"/>
    <w:rsid w:val="00A1712F"/>
    <w:rsid w:val="00A31A70"/>
    <w:rsid w:val="00A324BB"/>
    <w:rsid w:val="00A35263"/>
    <w:rsid w:val="00A3662A"/>
    <w:rsid w:val="00A42E93"/>
    <w:rsid w:val="00A45006"/>
    <w:rsid w:val="00A50B5C"/>
    <w:rsid w:val="00A57C02"/>
    <w:rsid w:val="00A62E62"/>
    <w:rsid w:val="00A6669B"/>
    <w:rsid w:val="00A66B63"/>
    <w:rsid w:val="00A72C5F"/>
    <w:rsid w:val="00A74FAF"/>
    <w:rsid w:val="00A76434"/>
    <w:rsid w:val="00A767B9"/>
    <w:rsid w:val="00A815EF"/>
    <w:rsid w:val="00A84D6D"/>
    <w:rsid w:val="00A853F2"/>
    <w:rsid w:val="00A9053E"/>
    <w:rsid w:val="00A911D9"/>
    <w:rsid w:val="00A969FD"/>
    <w:rsid w:val="00AA2716"/>
    <w:rsid w:val="00AA4147"/>
    <w:rsid w:val="00AA45B6"/>
    <w:rsid w:val="00AA4F48"/>
    <w:rsid w:val="00AB1BD5"/>
    <w:rsid w:val="00AB23F2"/>
    <w:rsid w:val="00AB6A32"/>
    <w:rsid w:val="00AB7C42"/>
    <w:rsid w:val="00AC2FE4"/>
    <w:rsid w:val="00AC637D"/>
    <w:rsid w:val="00AD6B4C"/>
    <w:rsid w:val="00AD6DF4"/>
    <w:rsid w:val="00AE34C8"/>
    <w:rsid w:val="00AE6A26"/>
    <w:rsid w:val="00AF008D"/>
    <w:rsid w:val="00AF0C68"/>
    <w:rsid w:val="00AF542A"/>
    <w:rsid w:val="00AF795B"/>
    <w:rsid w:val="00B105EB"/>
    <w:rsid w:val="00B10885"/>
    <w:rsid w:val="00B12AE7"/>
    <w:rsid w:val="00B22F92"/>
    <w:rsid w:val="00B27630"/>
    <w:rsid w:val="00B401C4"/>
    <w:rsid w:val="00B4600C"/>
    <w:rsid w:val="00B46DA9"/>
    <w:rsid w:val="00B47C6F"/>
    <w:rsid w:val="00B51BFA"/>
    <w:rsid w:val="00B528FC"/>
    <w:rsid w:val="00B53205"/>
    <w:rsid w:val="00B53C6E"/>
    <w:rsid w:val="00B6046D"/>
    <w:rsid w:val="00B629EF"/>
    <w:rsid w:val="00B64BD0"/>
    <w:rsid w:val="00B70BFD"/>
    <w:rsid w:val="00B75D9A"/>
    <w:rsid w:val="00B76958"/>
    <w:rsid w:val="00B76D74"/>
    <w:rsid w:val="00B86111"/>
    <w:rsid w:val="00B91050"/>
    <w:rsid w:val="00B91FA5"/>
    <w:rsid w:val="00B93C37"/>
    <w:rsid w:val="00B96799"/>
    <w:rsid w:val="00BA2901"/>
    <w:rsid w:val="00BA3AEA"/>
    <w:rsid w:val="00BA43EE"/>
    <w:rsid w:val="00BA5C2A"/>
    <w:rsid w:val="00BB0A16"/>
    <w:rsid w:val="00BB66E7"/>
    <w:rsid w:val="00BC078B"/>
    <w:rsid w:val="00BC581F"/>
    <w:rsid w:val="00BC5A38"/>
    <w:rsid w:val="00BC6EF5"/>
    <w:rsid w:val="00BC7C01"/>
    <w:rsid w:val="00BD4C27"/>
    <w:rsid w:val="00BD5502"/>
    <w:rsid w:val="00BD55D9"/>
    <w:rsid w:val="00BD7DDE"/>
    <w:rsid w:val="00BE13B3"/>
    <w:rsid w:val="00BE4769"/>
    <w:rsid w:val="00BE647F"/>
    <w:rsid w:val="00C00F94"/>
    <w:rsid w:val="00C02F9B"/>
    <w:rsid w:val="00C067D2"/>
    <w:rsid w:val="00C06846"/>
    <w:rsid w:val="00C079F4"/>
    <w:rsid w:val="00C07BAC"/>
    <w:rsid w:val="00C100B4"/>
    <w:rsid w:val="00C15D28"/>
    <w:rsid w:val="00C21900"/>
    <w:rsid w:val="00C27D88"/>
    <w:rsid w:val="00C313E0"/>
    <w:rsid w:val="00C32B61"/>
    <w:rsid w:val="00C3654A"/>
    <w:rsid w:val="00C378D7"/>
    <w:rsid w:val="00C40EC8"/>
    <w:rsid w:val="00C45272"/>
    <w:rsid w:val="00C504A7"/>
    <w:rsid w:val="00C505D8"/>
    <w:rsid w:val="00C55436"/>
    <w:rsid w:val="00C554E0"/>
    <w:rsid w:val="00C55A76"/>
    <w:rsid w:val="00C56CC6"/>
    <w:rsid w:val="00C60E00"/>
    <w:rsid w:val="00C60E8C"/>
    <w:rsid w:val="00C60EC3"/>
    <w:rsid w:val="00C831F3"/>
    <w:rsid w:val="00C8539A"/>
    <w:rsid w:val="00C86E30"/>
    <w:rsid w:val="00C9055D"/>
    <w:rsid w:val="00C91781"/>
    <w:rsid w:val="00CA03D5"/>
    <w:rsid w:val="00CA2CEB"/>
    <w:rsid w:val="00CA6511"/>
    <w:rsid w:val="00CA6D9C"/>
    <w:rsid w:val="00CB7123"/>
    <w:rsid w:val="00CB7434"/>
    <w:rsid w:val="00CB79C8"/>
    <w:rsid w:val="00CC0335"/>
    <w:rsid w:val="00CC1A3A"/>
    <w:rsid w:val="00CC4FF9"/>
    <w:rsid w:val="00CC5712"/>
    <w:rsid w:val="00CD29B7"/>
    <w:rsid w:val="00CD5159"/>
    <w:rsid w:val="00CD67B3"/>
    <w:rsid w:val="00CE1F81"/>
    <w:rsid w:val="00CE48D4"/>
    <w:rsid w:val="00CE5E9D"/>
    <w:rsid w:val="00CF3225"/>
    <w:rsid w:val="00CF38BD"/>
    <w:rsid w:val="00D007EC"/>
    <w:rsid w:val="00D01D35"/>
    <w:rsid w:val="00D03F05"/>
    <w:rsid w:val="00D0423B"/>
    <w:rsid w:val="00D06809"/>
    <w:rsid w:val="00D12647"/>
    <w:rsid w:val="00D2010A"/>
    <w:rsid w:val="00D215C9"/>
    <w:rsid w:val="00D227DD"/>
    <w:rsid w:val="00D23FB7"/>
    <w:rsid w:val="00D244A9"/>
    <w:rsid w:val="00D32D82"/>
    <w:rsid w:val="00D34D9F"/>
    <w:rsid w:val="00D4199E"/>
    <w:rsid w:val="00D4311A"/>
    <w:rsid w:val="00D52853"/>
    <w:rsid w:val="00D53360"/>
    <w:rsid w:val="00D54CC5"/>
    <w:rsid w:val="00D556BD"/>
    <w:rsid w:val="00D568E2"/>
    <w:rsid w:val="00D614DA"/>
    <w:rsid w:val="00D624F0"/>
    <w:rsid w:val="00D63C56"/>
    <w:rsid w:val="00D70477"/>
    <w:rsid w:val="00D70C05"/>
    <w:rsid w:val="00D74E12"/>
    <w:rsid w:val="00D843CB"/>
    <w:rsid w:val="00D929D8"/>
    <w:rsid w:val="00D92E58"/>
    <w:rsid w:val="00DA2BCA"/>
    <w:rsid w:val="00DA3525"/>
    <w:rsid w:val="00DA70A1"/>
    <w:rsid w:val="00DB14B5"/>
    <w:rsid w:val="00DB36A2"/>
    <w:rsid w:val="00DB42D4"/>
    <w:rsid w:val="00DC3897"/>
    <w:rsid w:val="00DC54FE"/>
    <w:rsid w:val="00DC6155"/>
    <w:rsid w:val="00DD21F3"/>
    <w:rsid w:val="00DF113D"/>
    <w:rsid w:val="00DF1235"/>
    <w:rsid w:val="00DF62CE"/>
    <w:rsid w:val="00E01906"/>
    <w:rsid w:val="00E07A0A"/>
    <w:rsid w:val="00E105C3"/>
    <w:rsid w:val="00E12634"/>
    <w:rsid w:val="00E14368"/>
    <w:rsid w:val="00E14886"/>
    <w:rsid w:val="00E16BF2"/>
    <w:rsid w:val="00E25585"/>
    <w:rsid w:val="00E44821"/>
    <w:rsid w:val="00E463E8"/>
    <w:rsid w:val="00E51231"/>
    <w:rsid w:val="00E5371B"/>
    <w:rsid w:val="00E5685C"/>
    <w:rsid w:val="00E56C3E"/>
    <w:rsid w:val="00E64C31"/>
    <w:rsid w:val="00E71231"/>
    <w:rsid w:val="00E71261"/>
    <w:rsid w:val="00E7197D"/>
    <w:rsid w:val="00E7293F"/>
    <w:rsid w:val="00E75D2F"/>
    <w:rsid w:val="00E81307"/>
    <w:rsid w:val="00E84DAC"/>
    <w:rsid w:val="00E86FC1"/>
    <w:rsid w:val="00E93D50"/>
    <w:rsid w:val="00EA37CF"/>
    <w:rsid w:val="00EA5619"/>
    <w:rsid w:val="00EB133E"/>
    <w:rsid w:val="00EC0103"/>
    <w:rsid w:val="00EC219C"/>
    <w:rsid w:val="00EC3CF5"/>
    <w:rsid w:val="00EC7321"/>
    <w:rsid w:val="00EC7747"/>
    <w:rsid w:val="00ED77D3"/>
    <w:rsid w:val="00ED7C95"/>
    <w:rsid w:val="00EE04F6"/>
    <w:rsid w:val="00EE0607"/>
    <w:rsid w:val="00EE0F59"/>
    <w:rsid w:val="00EE2C5F"/>
    <w:rsid w:val="00EE4D03"/>
    <w:rsid w:val="00EF6FDA"/>
    <w:rsid w:val="00F01872"/>
    <w:rsid w:val="00F05355"/>
    <w:rsid w:val="00F07CF1"/>
    <w:rsid w:val="00F07FFA"/>
    <w:rsid w:val="00F10088"/>
    <w:rsid w:val="00F15FA9"/>
    <w:rsid w:val="00F20B7B"/>
    <w:rsid w:val="00F21F18"/>
    <w:rsid w:val="00F24226"/>
    <w:rsid w:val="00F24BB4"/>
    <w:rsid w:val="00F2704C"/>
    <w:rsid w:val="00F30AC9"/>
    <w:rsid w:val="00F3454D"/>
    <w:rsid w:val="00F35088"/>
    <w:rsid w:val="00F42C18"/>
    <w:rsid w:val="00F432B7"/>
    <w:rsid w:val="00F70195"/>
    <w:rsid w:val="00F87DC1"/>
    <w:rsid w:val="00F90FA4"/>
    <w:rsid w:val="00F92CDD"/>
    <w:rsid w:val="00F96BFA"/>
    <w:rsid w:val="00FA3722"/>
    <w:rsid w:val="00FA7556"/>
    <w:rsid w:val="00FA7F17"/>
    <w:rsid w:val="00FB29B0"/>
    <w:rsid w:val="00FB46A8"/>
    <w:rsid w:val="00FC6A44"/>
    <w:rsid w:val="00FC7D66"/>
    <w:rsid w:val="00FD0EBE"/>
    <w:rsid w:val="00FD1D4D"/>
    <w:rsid w:val="00FD2A1F"/>
    <w:rsid w:val="00FD3F6B"/>
    <w:rsid w:val="00FD4ADA"/>
    <w:rsid w:val="00FD5438"/>
    <w:rsid w:val="00FE2021"/>
    <w:rsid w:val="00FE3879"/>
    <w:rsid w:val="00FF37BE"/>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47F4AD6"/>
  <w14:defaultImageDpi w14:val="32767"/>
  <w15:chartTrackingRefBased/>
  <w15:docId w15:val="{4AE3BB01-E9E5-401C-AA7C-ED17027EA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zh-CN" w:bidi="ar-SA"/>
      </w:rPr>
    </w:rPrDefault>
    <w:pPrDefault>
      <w:pPr>
        <w:spacing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54F93"/>
    <w:pPr>
      <w:tabs>
        <w:tab w:val="center" w:pos="4320"/>
        <w:tab w:val="right" w:pos="8640"/>
      </w:tabs>
      <w:spacing w:line="240" w:lineRule="auto"/>
    </w:pPr>
  </w:style>
  <w:style w:type="character" w:customStyle="1" w:styleId="a4">
    <w:name w:val="页眉 字符"/>
    <w:basedOn w:val="a0"/>
    <w:link w:val="a3"/>
    <w:uiPriority w:val="99"/>
    <w:rsid w:val="00154F93"/>
  </w:style>
  <w:style w:type="paragraph" w:styleId="a5">
    <w:name w:val="footer"/>
    <w:basedOn w:val="a"/>
    <w:link w:val="a6"/>
    <w:uiPriority w:val="99"/>
    <w:unhideWhenUsed/>
    <w:rsid w:val="00154F93"/>
    <w:pPr>
      <w:tabs>
        <w:tab w:val="center" w:pos="4320"/>
        <w:tab w:val="right" w:pos="8640"/>
      </w:tabs>
      <w:spacing w:line="240" w:lineRule="auto"/>
    </w:pPr>
  </w:style>
  <w:style w:type="character" w:customStyle="1" w:styleId="a6">
    <w:name w:val="页脚 字符"/>
    <w:basedOn w:val="a0"/>
    <w:link w:val="a5"/>
    <w:uiPriority w:val="99"/>
    <w:rsid w:val="00154F93"/>
  </w:style>
  <w:style w:type="table" w:styleId="a7">
    <w:name w:val="Table Grid"/>
    <w:basedOn w:val="a1"/>
    <w:uiPriority w:val="39"/>
    <w:rsid w:val="00BA5C2A"/>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2122081">
      <w:bodyDiv w:val="1"/>
      <w:marLeft w:val="0"/>
      <w:marRight w:val="0"/>
      <w:marTop w:val="0"/>
      <w:marBottom w:val="0"/>
      <w:divBdr>
        <w:top w:val="none" w:sz="0" w:space="0" w:color="auto"/>
        <w:left w:val="none" w:sz="0" w:space="0" w:color="auto"/>
        <w:bottom w:val="none" w:sz="0" w:space="0" w:color="auto"/>
        <w:right w:val="none" w:sz="0" w:space="0" w:color="auto"/>
      </w:divBdr>
    </w:div>
    <w:div w:id="1473406205">
      <w:bodyDiv w:val="1"/>
      <w:marLeft w:val="0"/>
      <w:marRight w:val="0"/>
      <w:marTop w:val="0"/>
      <w:marBottom w:val="0"/>
      <w:divBdr>
        <w:top w:val="none" w:sz="0" w:space="0" w:color="auto"/>
        <w:left w:val="none" w:sz="0" w:space="0" w:color="auto"/>
        <w:bottom w:val="none" w:sz="0" w:space="0" w:color="auto"/>
        <w:right w:val="none" w:sz="0" w:space="0" w:color="auto"/>
      </w:divBdr>
    </w:div>
    <w:div w:id="1689285818">
      <w:bodyDiv w:val="1"/>
      <w:marLeft w:val="0"/>
      <w:marRight w:val="0"/>
      <w:marTop w:val="0"/>
      <w:marBottom w:val="0"/>
      <w:divBdr>
        <w:top w:val="none" w:sz="0" w:space="0" w:color="auto"/>
        <w:left w:val="none" w:sz="0" w:space="0" w:color="auto"/>
        <w:bottom w:val="none" w:sz="0" w:space="0" w:color="auto"/>
        <w:right w:val="none" w:sz="0" w:space="0" w:color="auto"/>
      </w:divBdr>
    </w:div>
    <w:div w:id="19447298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tiff"/><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8F303-ADBC-4FD1-B5BA-1B1B9FFF7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109</TotalTime>
  <Pages>6</Pages>
  <Words>3652</Words>
  <Characters>20819</Characters>
  <Application>Microsoft Office Word</Application>
  <DocSecurity>0</DocSecurity>
  <Lines>173</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 shiming</dc:creator>
  <cp:keywords/>
  <dc:description/>
  <cp:lastModifiedBy> </cp:lastModifiedBy>
  <cp:revision>13</cp:revision>
  <dcterms:created xsi:type="dcterms:W3CDTF">2023-03-02T03:52:00Z</dcterms:created>
  <dcterms:modified xsi:type="dcterms:W3CDTF">2023-03-27T08:36:00Z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29ac7871-aed2-40a5-8ed9-b1703aa45ab5</vt:lpwstr>
  </property>
  <property fmtid="{D5CDD505-2E9C-101B-9397-08002B2CF9AE}" pid="3" name="Mendeley Document_1">
    <vt:lpwstr>True</vt:lpwstr>
  </property>
  <property fmtid="{D5CDD505-2E9C-101B-9397-08002B2CF9AE}" pid="4" name="Mendeley Unique User Id_1">
    <vt:lpwstr>eebd7a53-5f0f-3866-982a-17ca3d534847</vt:lpwstr>
  </property>
  <property fmtid="{D5CDD505-2E9C-101B-9397-08002B2CF9AE}" pid="5" name="Mendeley Citation Style_1">
    <vt:lpwstr>http://www.zotero.org/styles/scientific-reports</vt:lpwstr>
  </property>
  <property fmtid="{D5CDD505-2E9C-101B-9397-08002B2CF9AE}" pid="6" name="Mendeley Recent Style Id 0_1">
    <vt:lpwstr>http://www.zotero.org/styles/frontiers-in-pharmacology</vt:lpwstr>
  </property>
  <property fmtid="{D5CDD505-2E9C-101B-9397-08002B2CF9AE}" pid="7" name="Mendeley Recent Style Name 0_1">
    <vt:lpwstr>Frontiers in Pharmacology</vt:lpwstr>
  </property>
  <property fmtid="{D5CDD505-2E9C-101B-9397-08002B2CF9AE}" pid="8" name="Mendeley Recent Style Id 1_1">
    <vt:lpwstr>http://www.zotero.org/styles/ieee</vt:lpwstr>
  </property>
  <property fmtid="{D5CDD505-2E9C-101B-9397-08002B2CF9AE}" pid="9" name="Mendeley Recent Style Name 1_1">
    <vt:lpwstr>IEEE</vt:lpwstr>
  </property>
  <property fmtid="{D5CDD505-2E9C-101B-9397-08002B2CF9AE}" pid="10" name="Mendeley Recent Style Id 2_1">
    <vt:lpwstr>http://www.zotero.org/styles/international-journal-of-molecular-medicine</vt:lpwstr>
  </property>
  <property fmtid="{D5CDD505-2E9C-101B-9397-08002B2CF9AE}" pid="11" name="Mendeley Recent Style Name 2_1">
    <vt:lpwstr>International Journal of Molecular Medicine</vt:lpwstr>
  </property>
  <property fmtid="{D5CDD505-2E9C-101B-9397-08002B2CF9AE}" pid="12" name="Mendeley Recent Style Id 3_1">
    <vt:lpwstr>http://www.zotero.org/styles/international-journal-of-pediatric-otorhinolaryngology</vt:lpwstr>
  </property>
  <property fmtid="{D5CDD505-2E9C-101B-9397-08002B2CF9AE}" pid="13" name="Mendeley Recent Style Name 3_1">
    <vt:lpwstr>International Journal of Pediatric Otorhinolaryngology</vt:lpwstr>
  </property>
  <property fmtid="{D5CDD505-2E9C-101B-9397-08002B2CF9AE}" pid="14" name="Mendeley Recent Style Id 4_1">
    <vt:lpwstr>http://www.zotero.org/styles/modern-humanities-research-association</vt:lpwstr>
  </property>
  <property fmtid="{D5CDD505-2E9C-101B-9397-08002B2CF9AE}" pid="15" name="Mendeley Recent Style Name 4_1">
    <vt:lpwstr>Modern Humanities Research Association 3rd edition (note with bibliography)</vt:lpwstr>
  </property>
  <property fmtid="{D5CDD505-2E9C-101B-9397-08002B2CF9AE}" pid="16" name="Mendeley Recent Style Id 5_1">
    <vt:lpwstr>http://www.zotero.org/styles/molecules</vt:lpwstr>
  </property>
  <property fmtid="{D5CDD505-2E9C-101B-9397-08002B2CF9AE}" pid="17" name="Mendeley Recent Style Name 5_1">
    <vt:lpwstr>Molecules</vt:lpwstr>
  </property>
  <property fmtid="{D5CDD505-2E9C-101B-9397-08002B2CF9AE}" pid="18" name="Mendeley Recent Style Id 6_1">
    <vt:lpwstr>http://www.zotero.org/styles/plos-genetics</vt:lpwstr>
  </property>
  <property fmtid="{D5CDD505-2E9C-101B-9397-08002B2CF9AE}" pid="19" name="Mendeley Recent Style Name 6_1">
    <vt:lpwstr>PLOS Genetics</vt:lpwstr>
  </property>
  <property fmtid="{D5CDD505-2E9C-101B-9397-08002B2CF9AE}" pid="20" name="Mendeley Recent Style Id 7_1">
    <vt:lpwstr>http://www.zotero.org/styles/plos-one</vt:lpwstr>
  </property>
  <property fmtid="{D5CDD505-2E9C-101B-9397-08002B2CF9AE}" pid="21" name="Mendeley Recent Style Name 7_1">
    <vt:lpwstr>PLOS ONE</vt:lpwstr>
  </property>
  <property fmtid="{D5CDD505-2E9C-101B-9397-08002B2CF9AE}" pid="22" name="Mendeley Recent Style Id 8_1">
    <vt:lpwstr>http://www.zotero.org/styles/rsc-advances</vt:lpwstr>
  </property>
  <property fmtid="{D5CDD505-2E9C-101B-9397-08002B2CF9AE}" pid="23" name="Mendeley Recent Style Name 8_1">
    <vt:lpwstr>RSC Advances</vt:lpwstr>
  </property>
  <property fmtid="{D5CDD505-2E9C-101B-9397-08002B2CF9AE}" pid="24" name="Mendeley Recent Style Id 9_1">
    <vt:lpwstr>http://www.zotero.org/styles/scientific-reports</vt:lpwstr>
  </property>
  <property fmtid="{D5CDD505-2E9C-101B-9397-08002B2CF9AE}" pid="25" name="Mendeley Recent Style Name 9_1">
    <vt:lpwstr>Scientific Reports</vt:lpwstr>
  </property>
</Properties>
</file>