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3899" w14:textId="77777777" w:rsidR="00371489" w:rsidRPr="00FD1813" w:rsidRDefault="00371489" w:rsidP="00371489">
      <w:pPr>
        <w:adjustRightInd w:val="0"/>
        <w:snapToGrid w:val="0"/>
        <w:spacing w:before="240" w:after="60" w:line="228" w:lineRule="auto"/>
        <w:ind w:firstLineChars="500" w:firstLine="1050"/>
        <w:rPr>
          <w:rFonts w:ascii="Palatino Linotype" w:hAnsi="Palatino Linotype"/>
          <w:szCs w:val="18"/>
          <w:lang w:bidi="en-US"/>
        </w:rPr>
      </w:pPr>
      <w:r w:rsidRPr="00FD1813">
        <w:rPr>
          <w:rFonts w:ascii="Palatino Linotype" w:hAnsi="Palatino Linotype"/>
          <w:b/>
          <w:bCs/>
          <w:szCs w:val="18"/>
          <w:lang w:bidi="en-US"/>
        </w:rPr>
        <w:t xml:space="preserve">Table S1. </w:t>
      </w:r>
      <w:r w:rsidRPr="00FD1813">
        <w:rPr>
          <w:rFonts w:ascii="Palatino Linotype" w:hAnsi="Palatino Linotype"/>
          <w:szCs w:val="18"/>
          <w:lang w:bidi="en-US"/>
        </w:rPr>
        <w:t>Microbial functional analysis based on KEGG.</w:t>
      </w:r>
    </w:p>
    <w:tbl>
      <w:tblPr>
        <w:tblStyle w:val="1"/>
        <w:tblW w:w="659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417"/>
        <w:gridCol w:w="2488"/>
      </w:tblGrid>
      <w:tr w:rsidR="00371489" w:rsidRPr="00FD1813" w14:paraId="1B77B7FE" w14:textId="77777777" w:rsidTr="00C436E2">
        <w:trPr>
          <w:trHeight w:val="276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6F3CB9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Feature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793158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Z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66AFEC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proofErr w:type="spellStart"/>
            <w:r w:rsidRPr="00FD1813">
              <w:rPr>
                <w:rFonts w:ascii="Palatino Linotype" w:hAnsi="Palatino Linotype"/>
                <w:szCs w:val="21"/>
              </w:rPr>
              <w:t>PValueAdjusted</w:t>
            </w:r>
            <w:proofErr w:type="spellEnd"/>
          </w:p>
        </w:tc>
      </w:tr>
      <w:tr w:rsidR="00371489" w:rsidRPr="00FD1813" w14:paraId="37B13233" w14:textId="77777777" w:rsidTr="00C436E2">
        <w:trPr>
          <w:trHeight w:val="276"/>
          <w:jc w:val="center"/>
        </w:trPr>
        <w:tc>
          <w:tcPr>
            <w:tcW w:w="26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DA5B25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Translation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E78C69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-2.552796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025630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0.005343102</w:t>
            </w:r>
          </w:p>
        </w:tc>
      </w:tr>
      <w:tr w:rsidR="00371489" w:rsidRPr="00FD1813" w14:paraId="67699503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23DFA24D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Cell growth and death</w:t>
            </w:r>
          </w:p>
        </w:tc>
        <w:tc>
          <w:tcPr>
            <w:tcW w:w="1417" w:type="dxa"/>
            <w:noWrap/>
            <w:vAlign w:val="center"/>
            <w:hideMark/>
          </w:tcPr>
          <w:p w14:paraId="55621A4B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-2.532695</w:t>
            </w:r>
          </w:p>
        </w:tc>
        <w:tc>
          <w:tcPr>
            <w:tcW w:w="2488" w:type="dxa"/>
            <w:noWrap/>
            <w:vAlign w:val="center"/>
            <w:hideMark/>
          </w:tcPr>
          <w:p w14:paraId="2F97A389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0.005659465</w:t>
            </w:r>
          </w:p>
        </w:tc>
      </w:tr>
      <w:tr w:rsidR="00371489" w:rsidRPr="00FD1813" w14:paraId="4D484858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5886708D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Infectious disease: viral</w:t>
            </w:r>
          </w:p>
        </w:tc>
        <w:tc>
          <w:tcPr>
            <w:tcW w:w="1417" w:type="dxa"/>
            <w:noWrap/>
            <w:vAlign w:val="center"/>
            <w:hideMark/>
          </w:tcPr>
          <w:p w14:paraId="3898B09B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-2.39199</w:t>
            </w:r>
          </w:p>
        </w:tc>
        <w:tc>
          <w:tcPr>
            <w:tcW w:w="2488" w:type="dxa"/>
            <w:noWrap/>
            <w:vAlign w:val="center"/>
            <w:hideMark/>
          </w:tcPr>
          <w:p w14:paraId="54BC0CEA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0.008378649</w:t>
            </w:r>
          </w:p>
        </w:tc>
      </w:tr>
      <w:tr w:rsidR="00371489" w:rsidRPr="00FD1813" w14:paraId="7108483C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690C41EA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Replication and repair</w:t>
            </w:r>
          </w:p>
        </w:tc>
        <w:tc>
          <w:tcPr>
            <w:tcW w:w="1417" w:type="dxa"/>
            <w:noWrap/>
            <w:vAlign w:val="center"/>
            <w:hideMark/>
          </w:tcPr>
          <w:p w14:paraId="1649A812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-2.351788</w:t>
            </w:r>
          </w:p>
        </w:tc>
        <w:tc>
          <w:tcPr>
            <w:tcW w:w="2488" w:type="dxa"/>
            <w:noWrap/>
            <w:vAlign w:val="center"/>
            <w:hideMark/>
          </w:tcPr>
          <w:p w14:paraId="22C169E5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0.009341698</w:t>
            </w:r>
          </w:p>
        </w:tc>
      </w:tr>
      <w:tr w:rsidR="00371489" w:rsidRPr="00FD1813" w14:paraId="308632A3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65C82207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Sensory system</w:t>
            </w:r>
          </w:p>
        </w:tc>
        <w:tc>
          <w:tcPr>
            <w:tcW w:w="1417" w:type="dxa"/>
            <w:noWrap/>
            <w:vAlign w:val="center"/>
            <w:hideMark/>
          </w:tcPr>
          <w:p w14:paraId="49CE46AD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-2.28572</w:t>
            </w:r>
          </w:p>
        </w:tc>
        <w:tc>
          <w:tcPr>
            <w:tcW w:w="2488" w:type="dxa"/>
            <w:noWrap/>
            <w:vAlign w:val="center"/>
            <w:hideMark/>
          </w:tcPr>
          <w:p w14:paraId="097A366A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0.01113532</w:t>
            </w:r>
          </w:p>
        </w:tc>
      </w:tr>
      <w:tr w:rsidR="00371489" w:rsidRPr="00FD1813" w14:paraId="62FFFEF0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27515E8C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Nucleotide metabolism</w:t>
            </w:r>
          </w:p>
        </w:tc>
        <w:tc>
          <w:tcPr>
            <w:tcW w:w="1417" w:type="dxa"/>
            <w:noWrap/>
            <w:vAlign w:val="center"/>
            <w:hideMark/>
          </w:tcPr>
          <w:p w14:paraId="77A4F7B3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-2.090479</w:t>
            </w:r>
          </w:p>
        </w:tc>
        <w:tc>
          <w:tcPr>
            <w:tcW w:w="2488" w:type="dxa"/>
            <w:noWrap/>
            <w:vAlign w:val="center"/>
            <w:hideMark/>
          </w:tcPr>
          <w:p w14:paraId="0EBF7BE0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0.01828741</w:t>
            </w:r>
          </w:p>
        </w:tc>
      </w:tr>
      <w:tr w:rsidR="00371489" w:rsidRPr="00FD1813" w14:paraId="1BA39C4A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11E430BB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Global and overview maps</w:t>
            </w:r>
          </w:p>
        </w:tc>
        <w:tc>
          <w:tcPr>
            <w:tcW w:w="1417" w:type="dxa"/>
            <w:noWrap/>
            <w:vAlign w:val="center"/>
            <w:hideMark/>
          </w:tcPr>
          <w:p w14:paraId="7A2E2CDA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-2.070378</w:t>
            </w:r>
          </w:p>
        </w:tc>
        <w:tc>
          <w:tcPr>
            <w:tcW w:w="2488" w:type="dxa"/>
            <w:noWrap/>
            <w:vAlign w:val="center"/>
            <w:hideMark/>
          </w:tcPr>
          <w:p w14:paraId="587BACD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0.01920848</w:t>
            </w:r>
          </w:p>
        </w:tc>
      </w:tr>
      <w:tr w:rsidR="00371489" w:rsidRPr="00FD1813" w14:paraId="6944CA79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6EAF7BFA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Infectious disease: bacterial</w:t>
            </w:r>
          </w:p>
        </w:tc>
        <w:tc>
          <w:tcPr>
            <w:tcW w:w="1417" w:type="dxa"/>
            <w:noWrap/>
            <w:vAlign w:val="center"/>
            <w:hideMark/>
          </w:tcPr>
          <w:p w14:paraId="5D340F65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1.829169</w:t>
            </w:r>
          </w:p>
        </w:tc>
        <w:tc>
          <w:tcPr>
            <w:tcW w:w="2488" w:type="dxa"/>
            <w:noWrap/>
            <w:vAlign w:val="center"/>
            <w:hideMark/>
          </w:tcPr>
          <w:p w14:paraId="313F6CFC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0.03368716</w:t>
            </w:r>
          </w:p>
        </w:tc>
      </w:tr>
      <w:tr w:rsidR="00371489" w:rsidRPr="00FD1813" w14:paraId="43D93318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0F187660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Neurodegenerative disease</w:t>
            </w:r>
          </w:p>
        </w:tc>
        <w:tc>
          <w:tcPr>
            <w:tcW w:w="1417" w:type="dxa"/>
            <w:noWrap/>
            <w:vAlign w:val="center"/>
            <w:hideMark/>
          </w:tcPr>
          <w:p w14:paraId="3882025D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1.829169</w:t>
            </w:r>
          </w:p>
        </w:tc>
        <w:tc>
          <w:tcPr>
            <w:tcW w:w="2488" w:type="dxa"/>
            <w:noWrap/>
            <w:vAlign w:val="center"/>
            <w:hideMark/>
          </w:tcPr>
          <w:p w14:paraId="6EA17A2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0.03368716</w:t>
            </w:r>
          </w:p>
        </w:tc>
      </w:tr>
      <w:tr w:rsidR="00371489" w:rsidRPr="00FD1813" w14:paraId="59FD21A9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7E89E746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Excretory system</w:t>
            </w:r>
          </w:p>
        </w:tc>
        <w:tc>
          <w:tcPr>
            <w:tcW w:w="1417" w:type="dxa"/>
            <w:noWrap/>
            <w:vAlign w:val="center"/>
            <w:hideMark/>
          </w:tcPr>
          <w:p w14:paraId="0B7A542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1.829169</w:t>
            </w:r>
          </w:p>
        </w:tc>
        <w:tc>
          <w:tcPr>
            <w:tcW w:w="2488" w:type="dxa"/>
            <w:noWrap/>
            <w:vAlign w:val="center"/>
            <w:hideMark/>
          </w:tcPr>
          <w:p w14:paraId="6EFC23FA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0.03368716</w:t>
            </w:r>
          </w:p>
        </w:tc>
      </w:tr>
      <w:tr w:rsidR="00371489" w:rsidRPr="00FD1813" w14:paraId="0A391C1F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5F012357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Amino acid metabolism</w:t>
            </w:r>
          </w:p>
        </w:tc>
        <w:tc>
          <w:tcPr>
            <w:tcW w:w="1417" w:type="dxa"/>
            <w:noWrap/>
            <w:vAlign w:val="center"/>
            <w:hideMark/>
          </w:tcPr>
          <w:p w14:paraId="49B59D5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-1.809068</w:t>
            </w:r>
          </w:p>
        </w:tc>
        <w:tc>
          <w:tcPr>
            <w:tcW w:w="2488" w:type="dxa"/>
            <w:noWrap/>
            <w:vAlign w:val="center"/>
            <w:hideMark/>
          </w:tcPr>
          <w:p w14:paraId="5762F40B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0.03522021</w:t>
            </w:r>
          </w:p>
        </w:tc>
      </w:tr>
      <w:tr w:rsidR="00371489" w:rsidRPr="00FD1813" w14:paraId="416F0367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4BF887BC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Infectious disease: parasitic</w:t>
            </w:r>
          </w:p>
        </w:tc>
        <w:tc>
          <w:tcPr>
            <w:tcW w:w="1417" w:type="dxa"/>
            <w:noWrap/>
            <w:vAlign w:val="center"/>
            <w:hideMark/>
          </w:tcPr>
          <w:p w14:paraId="187C1329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1.708564</w:t>
            </w:r>
          </w:p>
        </w:tc>
        <w:tc>
          <w:tcPr>
            <w:tcW w:w="2488" w:type="dxa"/>
            <w:noWrap/>
            <w:vAlign w:val="center"/>
            <w:hideMark/>
          </w:tcPr>
          <w:p w14:paraId="6AF7D9E5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0.04376584</w:t>
            </w:r>
          </w:p>
        </w:tc>
      </w:tr>
      <w:tr w:rsidR="00371489" w:rsidRPr="00FD1813" w14:paraId="243C68D6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5AE25EC2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Endocrine system</w:t>
            </w:r>
          </w:p>
        </w:tc>
        <w:tc>
          <w:tcPr>
            <w:tcW w:w="1417" w:type="dxa"/>
            <w:noWrap/>
            <w:vAlign w:val="center"/>
            <w:hideMark/>
          </w:tcPr>
          <w:p w14:paraId="395A183C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-1.608061</w:t>
            </w:r>
          </w:p>
        </w:tc>
        <w:tc>
          <w:tcPr>
            <w:tcW w:w="2488" w:type="dxa"/>
            <w:noWrap/>
            <w:vAlign w:val="center"/>
            <w:hideMark/>
          </w:tcPr>
          <w:p w14:paraId="506094E1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0.05391096</w:t>
            </w:r>
          </w:p>
        </w:tc>
      </w:tr>
      <w:tr w:rsidR="00371489" w:rsidRPr="00FD1813" w14:paraId="7FFCEE5B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3C8E9F34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Endocrine and metabolic disease</w:t>
            </w:r>
          </w:p>
        </w:tc>
        <w:tc>
          <w:tcPr>
            <w:tcW w:w="1417" w:type="dxa"/>
            <w:noWrap/>
            <w:vAlign w:val="center"/>
            <w:hideMark/>
          </w:tcPr>
          <w:p w14:paraId="467E4FFA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-1.58796</w:t>
            </w:r>
          </w:p>
        </w:tc>
        <w:tc>
          <w:tcPr>
            <w:tcW w:w="2488" w:type="dxa"/>
            <w:noWrap/>
            <w:vAlign w:val="center"/>
            <w:hideMark/>
          </w:tcPr>
          <w:p w14:paraId="76CF0B99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0.05614772</w:t>
            </w:r>
          </w:p>
        </w:tc>
      </w:tr>
      <w:tr w:rsidR="00371489" w:rsidRPr="00FD1813" w14:paraId="302E9270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255109FA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Lipid metabolism</w:t>
            </w:r>
          </w:p>
        </w:tc>
        <w:tc>
          <w:tcPr>
            <w:tcW w:w="1417" w:type="dxa"/>
            <w:noWrap/>
            <w:vAlign w:val="center"/>
            <w:hideMark/>
          </w:tcPr>
          <w:p w14:paraId="30F88B78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1.58796</w:t>
            </w:r>
          </w:p>
        </w:tc>
        <w:tc>
          <w:tcPr>
            <w:tcW w:w="2488" w:type="dxa"/>
            <w:noWrap/>
            <w:vAlign w:val="center"/>
            <w:hideMark/>
          </w:tcPr>
          <w:p w14:paraId="4A0B57A8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0.05614772</w:t>
            </w:r>
          </w:p>
        </w:tc>
      </w:tr>
      <w:tr w:rsidR="00371489" w:rsidRPr="00FD1813" w14:paraId="7779E0E4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05B49454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Cellular community - eukaryotes</w:t>
            </w:r>
          </w:p>
        </w:tc>
        <w:tc>
          <w:tcPr>
            <w:tcW w:w="1417" w:type="dxa"/>
            <w:noWrap/>
            <w:vAlign w:val="center"/>
            <w:hideMark/>
          </w:tcPr>
          <w:p w14:paraId="7BAB127C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-1.548814</w:t>
            </w:r>
          </w:p>
        </w:tc>
        <w:tc>
          <w:tcPr>
            <w:tcW w:w="2488" w:type="dxa"/>
            <w:noWrap/>
            <w:vAlign w:val="center"/>
            <w:hideMark/>
          </w:tcPr>
          <w:p w14:paraId="6CF1132F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0.06071318</w:t>
            </w:r>
          </w:p>
        </w:tc>
      </w:tr>
      <w:tr w:rsidR="00371489" w:rsidRPr="00FD1813" w14:paraId="3F8D3826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19B57D8C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Transcription</w:t>
            </w:r>
          </w:p>
        </w:tc>
        <w:tc>
          <w:tcPr>
            <w:tcW w:w="1417" w:type="dxa"/>
            <w:noWrap/>
            <w:vAlign w:val="center"/>
            <w:hideMark/>
          </w:tcPr>
          <w:p w14:paraId="629E1AE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-1.547758</w:t>
            </w:r>
          </w:p>
        </w:tc>
        <w:tc>
          <w:tcPr>
            <w:tcW w:w="2488" w:type="dxa"/>
            <w:noWrap/>
            <w:vAlign w:val="center"/>
            <w:hideMark/>
          </w:tcPr>
          <w:p w14:paraId="667C09B4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0.06084026</w:t>
            </w:r>
          </w:p>
        </w:tc>
      </w:tr>
      <w:tr w:rsidR="00371489" w:rsidRPr="00FD1813" w14:paraId="7BCB370E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27AFEA04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Cardiovascular disease</w:t>
            </w:r>
          </w:p>
        </w:tc>
        <w:tc>
          <w:tcPr>
            <w:tcW w:w="1417" w:type="dxa"/>
            <w:noWrap/>
            <w:vAlign w:val="center"/>
            <w:hideMark/>
          </w:tcPr>
          <w:p w14:paraId="22B1579F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-1.527657</w:t>
            </w:r>
          </w:p>
        </w:tc>
        <w:tc>
          <w:tcPr>
            <w:tcW w:w="2488" w:type="dxa"/>
            <w:noWrap/>
            <w:vAlign w:val="center"/>
            <w:hideMark/>
          </w:tcPr>
          <w:p w14:paraId="087B4322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0.0632988</w:t>
            </w:r>
          </w:p>
        </w:tc>
      </w:tr>
      <w:tr w:rsidR="00371489" w:rsidRPr="00FD1813" w14:paraId="0E522F8F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3E0C0DC5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Folding, sorting and degradation</w:t>
            </w:r>
          </w:p>
        </w:tc>
        <w:tc>
          <w:tcPr>
            <w:tcW w:w="1417" w:type="dxa"/>
            <w:noWrap/>
            <w:vAlign w:val="center"/>
            <w:hideMark/>
          </w:tcPr>
          <w:p w14:paraId="6F7917C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-1.487456</w:t>
            </w:r>
          </w:p>
        </w:tc>
        <w:tc>
          <w:tcPr>
            <w:tcW w:w="2488" w:type="dxa"/>
            <w:noWrap/>
            <w:vAlign w:val="center"/>
            <w:hideMark/>
          </w:tcPr>
          <w:p w14:paraId="1393207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0.06844721</w:t>
            </w:r>
          </w:p>
        </w:tc>
      </w:tr>
      <w:tr w:rsidR="00371489" w:rsidRPr="00FD1813" w14:paraId="351EAEE6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01F733C1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Metabolism of cofactors and vitamins</w:t>
            </w:r>
          </w:p>
        </w:tc>
        <w:tc>
          <w:tcPr>
            <w:tcW w:w="1417" w:type="dxa"/>
            <w:noWrap/>
            <w:vAlign w:val="center"/>
            <w:hideMark/>
          </w:tcPr>
          <w:p w14:paraId="03892C70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1.447254</w:t>
            </w:r>
          </w:p>
        </w:tc>
        <w:tc>
          <w:tcPr>
            <w:tcW w:w="2488" w:type="dxa"/>
            <w:noWrap/>
            <w:vAlign w:val="center"/>
            <w:hideMark/>
          </w:tcPr>
          <w:p w14:paraId="407A7671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0.07391284</w:t>
            </w:r>
          </w:p>
        </w:tc>
      </w:tr>
      <w:tr w:rsidR="00371489" w:rsidRPr="00FD1813" w14:paraId="75299652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752880A6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Cancer: overview</w:t>
            </w:r>
          </w:p>
        </w:tc>
        <w:tc>
          <w:tcPr>
            <w:tcW w:w="1417" w:type="dxa"/>
            <w:noWrap/>
            <w:vAlign w:val="center"/>
            <w:hideMark/>
          </w:tcPr>
          <w:p w14:paraId="2DDC4B01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1.407053</w:t>
            </w:r>
          </w:p>
        </w:tc>
        <w:tc>
          <w:tcPr>
            <w:tcW w:w="2488" w:type="dxa"/>
            <w:noWrap/>
            <w:vAlign w:val="center"/>
            <w:hideMark/>
          </w:tcPr>
          <w:p w14:paraId="77363203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0.07970585</w:t>
            </w:r>
          </w:p>
        </w:tc>
      </w:tr>
      <w:tr w:rsidR="00371489" w:rsidRPr="00FD1813" w14:paraId="68E7B2E8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5778C418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Signal transduction</w:t>
            </w:r>
          </w:p>
        </w:tc>
        <w:tc>
          <w:tcPr>
            <w:tcW w:w="1417" w:type="dxa"/>
            <w:noWrap/>
            <w:vAlign w:val="center"/>
            <w:hideMark/>
          </w:tcPr>
          <w:p w14:paraId="4F07B3BF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1.386952</w:t>
            </w:r>
          </w:p>
        </w:tc>
        <w:tc>
          <w:tcPr>
            <w:tcW w:w="2488" w:type="dxa"/>
            <w:noWrap/>
            <w:vAlign w:val="center"/>
            <w:hideMark/>
          </w:tcPr>
          <w:p w14:paraId="758776DB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0.08272817</w:t>
            </w:r>
          </w:p>
        </w:tc>
      </w:tr>
      <w:tr w:rsidR="00371489" w:rsidRPr="00FD1813" w14:paraId="38C1E799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1BC75828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Circulatory system</w:t>
            </w:r>
          </w:p>
        </w:tc>
        <w:tc>
          <w:tcPr>
            <w:tcW w:w="1417" w:type="dxa"/>
            <w:noWrap/>
            <w:vAlign w:val="center"/>
            <w:hideMark/>
          </w:tcPr>
          <w:p w14:paraId="498DC342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-1.366851</w:t>
            </w:r>
          </w:p>
        </w:tc>
        <w:tc>
          <w:tcPr>
            <w:tcW w:w="2488" w:type="dxa"/>
            <w:noWrap/>
            <w:vAlign w:val="center"/>
            <w:hideMark/>
          </w:tcPr>
          <w:p w14:paraId="5E8894D0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0.08583594</w:t>
            </w:r>
          </w:p>
        </w:tc>
      </w:tr>
      <w:tr w:rsidR="00371489" w:rsidRPr="00FD1813" w14:paraId="66254D7E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01DEB1FA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Drug resistance: antineoplastic</w:t>
            </w:r>
          </w:p>
        </w:tc>
        <w:tc>
          <w:tcPr>
            <w:tcW w:w="1417" w:type="dxa"/>
            <w:noWrap/>
            <w:vAlign w:val="center"/>
            <w:hideMark/>
          </w:tcPr>
          <w:p w14:paraId="575E6BA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-1.226146</w:t>
            </w:r>
          </w:p>
        </w:tc>
        <w:tc>
          <w:tcPr>
            <w:tcW w:w="2488" w:type="dxa"/>
            <w:noWrap/>
            <w:vAlign w:val="center"/>
            <w:hideMark/>
          </w:tcPr>
          <w:p w14:paraId="5C55E454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0.1100718</w:t>
            </w:r>
          </w:p>
        </w:tc>
      </w:tr>
      <w:tr w:rsidR="00371489" w:rsidRPr="00FD1813" w14:paraId="6CC85D01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401AD8F4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Carbohydrate metabolism</w:t>
            </w:r>
          </w:p>
        </w:tc>
        <w:tc>
          <w:tcPr>
            <w:tcW w:w="1417" w:type="dxa"/>
            <w:noWrap/>
            <w:vAlign w:val="center"/>
            <w:hideMark/>
          </w:tcPr>
          <w:p w14:paraId="6101DDFB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1.125642</w:t>
            </w:r>
          </w:p>
        </w:tc>
        <w:tc>
          <w:tcPr>
            <w:tcW w:w="2488" w:type="dxa"/>
            <w:noWrap/>
            <w:vAlign w:val="center"/>
            <w:hideMark/>
          </w:tcPr>
          <w:p w14:paraId="1FADE21E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0.1301585</w:t>
            </w:r>
          </w:p>
        </w:tc>
      </w:tr>
      <w:tr w:rsidR="00371489" w:rsidRPr="00FD1813" w14:paraId="02100CFE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5DA4F3D6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Metabolism of other amino acids</w:t>
            </w:r>
          </w:p>
        </w:tc>
        <w:tc>
          <w:tcPr>
            <w:tcW w:w="1417" w:type="dxa"/>
            <w:noWrap/>
            <w:vAlign w:val="center"/>
            <w:hideMark/>
          </w:tcPr>
          <w:p w14:paraId="1C2B37FB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-1.125642</w:t>
            </w:r>
          </w:p>
        </w:tc>
        <w:tc>
          <w:tcPr>
            <w:tcW w:w="2488" w:type="dxa"/>
            <w:noWrap/>
            <w:vAlign w:val="center"/>
            <w:hideMark/>
          </w:tcPr>
          <w:p w14:paraId="410F467D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0.1301585</w:t>
            </w:r>
          </w:p>
        </w:tc>
      </w:tr>
      <w:tr w:rsidR="00371489" w:rsidRPr="00FD1813" w14:paraId="29D58C4A" w14:textId="77777777" w:rsidTr="00C436E2">
        <w:trPr>
          <w:trHeight w:val="276"/>
          <w:jc w:val="center"/>
        </w:trPr>
        <w:tc>
          <w:tcPr>
            <w:tcW w:w="2689" w:type="dxa"/>
            <w:noWrap/>
            <w:vAlign w:val="center"/>
            <w:hideMark/>
          </w:tcPr>
          <w:p w14:paraId="3CCF2F1C" w14:textId="77777777" w:rsidR="00371489" w:rsidRPr="00FD1813" w:rsidRDefault="00371489" w:rsidP="00C436E2">
            <w:pPr>
              <w:jc w:val="left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Transport and catabolism</w:t>
            </w:r>
          </w:p>
        </w:tc>
        <w:tc>
          <w:tcPr>
            <w:tcW w:w="1417" w:type="dxa"/>
            <w:noWrap/>
            <w:vAlign w:val="center"/>
            <w:hideMark/>
          </w:tcPr>
          <w:p w14:paraId="734F1FE9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1.105542</w:t>
            </w:r>
          </w:p>
        </w:tc>
        <w:tc>
          <w:tcPr>
            <w:tcW w:w="2488" w:type="dxa"/>
            <w:noWrap/>
            <w:vAlign w:val="center"/>
            <w:hideMark/>
          </w:tcPr>
          <w:p w14:paraId="3D881D37" w14:textId="77777777" w:rsidR="00371489" w:rsidRPr="00FD1813" w:rsidRDefault="00371489" w:rsidP="00C436E2">
            <w:pPr>
              <w:jc w:val="center"/>
              <w:rPr>
                <w:rFonts w:ascii="Palatino Linotype" w:hAnsi="Palatino Linotype"/>
                <w:szCs w:val="21"/>
              </w:rPr>
            </w:pPr>
            <w:r w:rsidRPr="00FD1813">
              <w:rPr>
                <w:rFonts w:ascii="Palatino Linotype" w:hAnsi="Palatino Linotype"/>
                <w:szCs w:val="21"/>
              </w:rPr>
              <w:t>0.1344625</w:t>
            </w:r>
          </w:p>
        </w:tc>
      </w:tr>
    </w:tbl>
    <w:p w14:paraId="0073CD67" w14:textId="77777777" w:rsidR="00371489" w:rsidRPr="00022C18" w:rsidRDefault="00371489" w:rsidP="00371489">
      <w:pPr>
        <w:jc w:val="center"/>
      </w:pPr>
    </w:p>
    <w:p w14:paraId="759B85B6" w14:textId="77777777" w:rsidR="00371489" w:rsidRDefault="00371489" w:rsidP="00371489">
      <w:pPr>
        <w:widowControl/>
        <w:jc w:val="center"/>
        <w:rPr>
          <w:rFonts w:ascii="Palatino Linotype" w:hAnsi="Palatino Linotype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1F3F1F24" wp14:editId="539A6598">
            <wp:extent cx="5274310" cy="31546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59825" w14:textId="2C1D4A3F" w:rsidR="00371489" w:rsidRPr="00C30C84" w:rsidRDefault="00371489" w:rsidP="00371489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Palatino Linotype" w:hAnsi="Palatino Linotype" w:cs="Times New Roman"/>
          <w:b/>
          <w:bCs/>
          <w:szCs w:val="21"/>
        </w:rPr>
        <w:t>Figure S1.</w:t>
      </w:r>
      <w:r>
        <w:rPr>
          <w:rFonts w:ascii="Palatino Linotype" w:hAnsi="Palatino Linotype" w:cs="Times New Roman"/>
          <w:b/>
          <w:bCs/>
          <w:szCs w:val="21"/>
        </w:rPr>
        <w:t xml:space="preserve"> </w:t>
      </w:r>
      <w:r w:rsidRPr="009A772A">
        <w:rPr>
          <w:rFonts w:ascii="Palatino Linotype" w:hAnsi="Palatino Linotype"/>
          <w:szCs w:val="21"/>
          <w:lang w:bidi="en-US"/>
        </w:rPr>
        <w:t xml:space="preserve">Changes in the gut microbiota in the </w:t>
      </w:r>
      <w:r w:rsidRPr="004837BF">
        <w:rPr>
          <w:rFonts w:ascii="Palatino Linotype" w:hAnsi="Palatino Linotype" w:cs="Times New Roman"/>
          <w:i/>
          <w:szCs w:val="21"/>
          <w:lang w:eastAsia="de-DE" w:bidi="en-US"/>
        </w:rPr>
        <w:t>H. pylori</w:t>
      </w:r>
      <w:r>
        <w:rPr>
          <w:rFonts w:ascii="Palatino Linotype" w:hAnsi="Palatino Linotype" w:cs="Times New Roman"/>
          <w:i/>
          <w:szCs w:val="21"/>
          <w:lang w:eastAsia="de-DE" w:bidi="en-US"/>
        </w:rPr>
        <w:t xml:space="preserve"> </w:t>
      </w:r>
      <w:r w:rsidRPr="009B65C2">
        <w:rPr>
          <w:rFonts w:ascii="Palatino Linotype" w:hAnsi="Palatino Linotype" w:cs="Times New Roman"/>
          <w:iCs/>
          <w:szCs w:val="21"/>
          <w:lang w:eastAsia="de-DE" w:bidi="en-US"/>
        </w:rPr>
        <w:t>(+)</w:t>
      </w:r>
      <w:r w:rsidRPr="009A772A">
        <w:rPr>
          <w:rFonts w:ascii="Palatino Linotype" w:hAnsi="Palatino Linotype"/>
          <w:szCs w:val="21"/>
          <w:lang w:bidi="en-US"/>
        </w:rPr>
        <w:t xml:space="preserve"> and </w:t>
      </w:r>
      <w:r w:rsidRPr="004837BF">
        <w:rPr>
          <w:rFonts w:ascii="Palatino Linotype" w:hAnsi="Palatino Linotype" w:cs="Times New Roman"/>
          <w:i/>
          <w:szCs w:val="21"/>
          <w:lang w:eastAsia="de-DE" w:bidi="en-US"/>
        </w:rPr>
        <w:t>H. pylori</w:t>
      </w:r>
      <w:r>
        <w:rPr>
          <w:rFonts w:ascii="Palatino Linotype" w:hAnsi="Palatino Linotype" w:cs="Times New Roman"/>
          <w:i/>
          <w:szCs w:val="21"/>
          <w:lang w:eastAsia="de-DE" w:bidi="en-US"/>
        </w:rPr>
        <w:t xml:space="preserve"> </w:t>
      </w:r>
      <w:r w:rsidRPr="009B65C2">
        <w:rPr>
          <w:rFonts w:ascii="Palatino Linotype" w:hAnsi="Palatino Linotype" w:cs="Times New Roman"/>
          <w:iCs/>
          <w:szCs w:val="21"/>
          <w:lang w:eastAsia="de-DE" w:bidi="en-US"/>
        </w:rPr>
        <w:t>(</w:t>
      </w:r>
      <w:r>
        <w:rPr>
          <w:rFonts w:ascii="Palatino Linotype" w:hAnsi="Palatino Linotype" w:cs="Times New Roman"/>
          <w:iCs/>
          <w:szCs w:val="21"/>
          <w:lang w:eastAsia="de-DE" w:bidi="en-US"/>
        </w:rPr>
        <w:t>-</w:t>
      </w:r>
      <w:r w:rsidRPr="009B65C2">
        <w:rPr>
          <w:rFonts w:ascii="Palatino Linotype" w:hAnsi="Palatino Linotype" w:cs="Times New Roman"/>
          <w:iCs/>
          <w:szCs w:val="21"/>
          <w:lang w:eastAsia="de-DE" w:bidi="en-US"/>
        </w:rPr>
        <w:t>)</w:t>
      </w:r>
      <w:r w:rsidRPr="009A772A">
        <w:rPr>
          <w:rFonts w:ascii="Palatino Linotype" w:hAnsi="Palatino Linotype"/>
          <w:szCs w:val="21"/>
          <w:lang w:bidi="en-US"/>
        </w:rPr>
        <w:t xml:space="preserve"> groups based on 16S rRNA data.</w:t>
      </w:r>
      <w:r>
        <w:rPr>
          <w:rFonts w:ascii="Palatino Linotype" w:hAnsi="Palatino Linotype"/>
          <w:szCs w:val="21"/>
          <w:lang w:bidi="en-US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(A) α-rarefaction curves, the sample sequencing depth was reasonable. α-diversity analysis showing that (B) the Simpson and (C) the Observed features index were increased in the </w:t>
      </w:r>
      <w:proofErr w:type="gramStart"/>
      <w:r>
        <w:rPr>
          <w:rFonts w:ascii="Times New Roman" w:hAnsi="Times New Roman" w:cs="Times New Roman"/>
          <w:szCs w:val="21"/>
        </w:rPr>
        <w:t>HP(</w:t>
      </w:r>
      <w:proofErr w:type="gramEnd"/>
      <w:r>
        <w:rPr>
          <w:rFonts w:ascii="Times New Roman" w:hAnsi="Times New Roman" w:cs="Times New Roman"/>
          <w:szCs w:val="21"/>
        </w:rPr>
        <w:t xml:space="preserve">+) group. Bray Curtis (D) and weighted </w:t>
      </w:r>
      <w:proofErr w:type="spellStart"/>
      <w:r>
        <w:rPr>
          <w:rFonts w:ascii="Times New Roman" w:hAnsi="Times New Roman" w:cs="Times New Roman"/>
          <w:szCs w:val="21"/>
        </w:rPr>
        <w:t>Unifrac</w:t>
      </w:r>
      <w:proofErr w:type="spellEnd"/>
      <w:r>
        <w:rPr>
          <w:rFonts w:ascii="Times New Roman" w:hAnsi="Times New Roman" w:cs="Times New Roman"/>
          <w:szCs w:val="21"/>
        </w:rPr>
        <w:t xml:space="preserve"> (E) showing that the microbiota composition of the </w:t>
      </w:r>
      <w:proofErr w:type="gramStart"/>
      <w:r>
        <w:rPr>
          <w:rFonts w:ascii="Times New Roman" w:hAnsi="Times New Roman" w:cs="Times New Roman"/>
          <w:szCs w:val="21"/>
        </w:rPr>
        <w:t>HP(</w:t>
      </w:r>
      <w:proofErr w:type="gramEnd"/>
      <w:r>
        <w:rPr>
          <w:rFonts w:ascii="Times New Roman" w:hAnsi="Times New Roman" w:cs="Times New Roman"/>
          <w:szCs w:val="21"/>
        </w:rPr>
        <w:t>+) group was different from that of the HP(-) group.</w:t>
      </w:r>
    </w:p>
    <w:p w14:paraId="568AA094" w14:textId="77777777" w:rsidR="00371489" w:rsidRPr="00D30264" w:rsidRDefault="00371489" w:rsidP="00371489">
      <w:pPr>
        <w:widowControl/>
        <w:rPr>
          <w:rFonts w:ascii="Palatino Linotype" w:hAnsi="Palatino Linotype" w:cs="Times New Roman"/>
          <w:szCs w:val="21"/>
        </w:rPr>
      </w:pPr>
    </w:p>
    <w:p w14:paraId="0076E8D2" w14:textId="77777777" w:rsidR="00CD44CE" w:rsidRPr="00371489" w:rsidRDefault="00CD44CE"/>
    <w:sectPr w:rsidR="00CD44CE" w:rsidRPr="00371489" w:rsidSect="00A45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BD13" w14:textId="77777777" w:rsidR="008A075D" w:rsidRDefault="008A075D" w:rsidP="00371489">
      <w:r>
        <w:separator/>
      </w:r>
    </w:p>
  </w:endnote>
  <w:endnote w:type="continuationSeparator" w:id="0">
    <w:p w14:paraId="29ABB6DE" w14:textId="77777777" w:rsidR="008A075D" w:rsidRDefault="008A075D" w:rsidP="0037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81D2" w14:textId="77777777" w:rsidR="008A075D" w:rsidRDefault="008A075D" w:rsidP="00371489">
      <w:r>
        <w:separator/>
      </w:r>
    </w:p>
  </w:footnote>
  <w:footnote w:type="continuationSeparator" w:id="0">
    <w:p w14:paraId="7331224C" w14:textId="77777777" w:rsidR="008A075D" w:rsidRDefault="008A075D" w:rsidP="00371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CE"/>
    <w:rsid w:val="00371489"/>
    <w:rsid w:val="008A075D"/>
    <w:rsid w:val="00CD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A04EE"/>
  <w15:chartTrackingRefBased/>
  <w15:docId w15:val="{30C6A329-78CA-48B5-84DF-9ED764B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14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1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1489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37148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37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思语</dc:creator>
  <cp:keywords/>
  <dc:description/>
  <cp:lastModifiedBy>董 思语</cp:lastModifiedBy>
  <cp:revision>2</cp:revision>
  <dcterms:created xsi:type="dcterms:W3CDTF">2023-03-26T11:15:00Z</dcterms:created>
  <dcterms:modified xsi:type="dcterms:W3CDTF">2023-03-26T11:17:00Z</dcterms:modified>
</cp:coreProperties>
</file>