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AAC" w:rsidRPr="00E803F5" w:rsidRDefault="00021AAC" w:rsidP="00021AAC">
      <w:pPr>
        <w:rPr>
          <w:rFonts w:ascii="Times New Roman" w:hAnsi="Times New Roman" w:cs="Times New Roman"/>
          <w:b/>
          <w:sz w:val="20"/>
          <w:szCs w:val="20"/>
        </w:rPr>
      </w:pPr>
      <w:r w:rsidRPr="00E803F5">
        <w:rPr>
          <w:rFonts w:ascii="Times New Roman" w:hAnsi="Times New Roman" w:cs="Times New Roman"/>
          <w:b/>
          <w:sz w:val="20"/>
          <w:szCs w:val="20"/>
        </w:rPr>
        <w:t xml:space="preserve">Additional </w:t>
      </w:r>
      <w:r w:rsidR="008E2C90">
        <w:rPr>
          <w:rFonts w:ascii="Times New Roman" w:hAnsi="Times New Roman" w:cs="Times New Roman"/>
          <w:b/>
          <w:sz w:val="20"/>
          <w:szCs w:val="20"/>
        </w:rPr>
        <w:t>F</w:t>
      </w:r>
      <w:r w:rsidRPr="00E803F5">
        <w:rPr>
          <w:rFonts w:ascii="Times New Roman" w:hAnsi="Times New Roman" w:cs="Times New Roman"/>
          <w:b/>
          <w:sz w:val="20"/>
          <w:szCs w:val="20"/>
        </w:rPr>
        <w:t xml:space="preserve">ile </w:t>
      </w:r>
      <w:r w:rsidR="001610CD" w:rsidRPr="00E803F5">
        <w:rPr>
          <w:rFonts w:ascii="Times New Roman" w:hAnsi="Times New Roman" w:cs="Times New Roman"/>
          <w:b/>
          <w:sz w:val="20"/>
          <w:szCs w:val="20"/>
        </w:rPr>
        <w:t>2</w:t>
      </w:r>
      <w:r w:rsidRPr="00E803F5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2C2CD9" w:rsidRPr="00E803F5">
        <w:rPr>
          <w:rFonts w:ascii="Times New Roman" w:hAnsi="Times New Roman" w:cs="Times New Roman"/>
          <w:b/>
          <w:sz w:val="20"/>
          <w:szCs w:val="20"/>
        </w:rPr>
        <w:t>Absolute gravity measurements at Honjo station</w:t>
      </w:r>
    </w:p>
    <w:p w:rsidR="001610CD" w:rsidRPr="00E803F5" w:rsidRDefault="001610CD" w:rsidP="001610CD">
      <w:pPr>
        <w:rPr>
          <w:rFonts w:ascii="Times New Roman" w:hAnsi="Times New Roman" w:cs="Times New Roman"/>
          <w:sz w:val="20"/>
          <w:szCs w:val="20"/>
        </w:rPr>
      </w:pPr>
    </w:p>
    <w:p w:rsidR="001610CD" w:rsidRPr="00E803F5" w:rsidRDefault="001610CD" w:rsidP="001610CD">
      <w:pPr>
        <w:rPr>
          <w:rFonts w:ascii="Times New Roman" w:hAnsi="Times New Roman" w:cs="Times New Roman"/>
          <w:sz w:val="20"/>
          <w:szCs w:val="20"/>
        </w:rPr>
      </w:pPr>
      <w:r w:rsidRPr="00E803F5">
        <w:rPr>
          <w:rFonts w:ascii="Times New Roman" w:hAnsi="Times New Roman" w:cs="Times New Roman"/>
          <w:sz w:val="20"/>
          <w:szCs w:val="20"/>
        </w:rPr>
        <w:t xml:space="preserve">Earthquake Research Institute, The University of Tokyo, made absolute gravity measurements at </w:t>
      </w:r>
      <w:r w:rsidR="002F571C" w:rsidRPr="00E803F5">
        <w:rPr>
          <w:rFonts w:ascii="Times New Roman" w:hAnsi="Times New Roman" w:cs="Times New Roman"/>
          <w:sz w:val="20"/>
          <w:szCs w:val="20"/>
        </w:rPr>
        <w:t xml:space="preserve">the </w:t>
      </w:r>
      <w:r w:rsidRPr="00E803F5">
        <w:rPr>
          <w:rFonts w:ascii="Times New Roman" w:hAnsi="Times New Roman" w:cs="Times New Roman"/>
          <w:sz w:val="20"/>
          <w:szCs w:val="20"/>
        </w:rPr>
        <w:t>Honjo station of Tohoku University</w:t>
      </w:r>
      <w:r w:rsidR="002C2CD9" w:rsidRPr="00E803F5">
        <w:rPr>
          <w:rFonts w:ascii="Times New Roman" w:hAnsi="Times New Roman" w:cs="Times New Roman"/>
          <w:sz w:val="20"/>
          <w:szCs w:val="20"/>
        </w:rPr>
        <w:t xml:space="preserve"> once a year</w:t>
      </w:r>
      <w:r w:rsidRPr="00E803F5">
        <w:rPr>
          <w:rFonts w:ascii="Times New Roman" w:hAnsi="Times New Roman" w:cs="Times New Roman"/>
          <w:sz w:val="20"/>
          <w:szCs w:val="20"/>
        </w:rPr>
        <w:t xml:space="preserve"> from 2013 to 2018. The Honjo station is located near the west coast of Tohoku </w:t>
      </w:r>
      <w:r w:rsidR="002C2CD9" w:rsidRPr="00E803F5">
        <w:rPr>
          <w:rFonts w:ascii="Times New Roman" w:hAnsi="Times New Roman" w:cs="Times New Roman"/>
          <w:sz w:val="20"/>
          <w:szCs w:val="20"/>
        </w:rPr>
        <w:t>area</w:t>
      </w:r>
      <w:r w:rsidRPr="00E803F5">
        <w:rPr>
          <w:rFonts w:ascii="Times New Roman" w:hAnsi="Times New Roman" w:cs="Times New Roman"/>
          <w:sz w:val="20"/>
          <w:szCs w:val="20"/>
        </w:rPr>
        <w:t xml:space="preserve"> of Honshu island, about</w:t>
      </w:r>
      <w:r w:rsidR="00E803F5" w:rsidRPr="00E803F5">
        <w:rPr>
          <w:rFonts w:ascii="Times New Roman" w:hAnsi="Times New Roman" w:cs="Times New Roman"/>
          <w:sz w:val="20"/>
          <w:szCs w:val="20"/>
        </w:rPr>
        <w:t xml:space="preserve"> 86</w:t>
      </w:r>
      <w:r w:rsidRPr="00E803F5">
        <w:rPr>
          <w:rFonts w:ascii="Times New Roman" w:hAnsi="Times New Roman" w:cs="Times New Roman"/>
          <w:sz w:val="20"/>
          <w:szCs w:val="20"/>
        </w:rPr>
        <w:t xml:space="preserve"> km west of Mizusawa. The gravity measurements were conducted in the same campaign as those for Mizusawa, using the same </w:t>
      </w:r>
      <w:r w:rsidR="00537075" w:rsidRPr="00E803F5">
        <w:rPr>
          <w:rFonts w:ascii="Times New Roman" w:hAnsi="Times New Roman" w:cs="Times New Roman"/>
          <w:sz w:val="20"/>
          <w:szCs w:val="20"/>
        </w:rPr>
        <w:t>instruments</w:t>
      </w:r>
      <w:r w:rsidRPr="00E803F5">
        <w:rPr>
          <w:rFonts w:ascii="Times New Roman" w:hAnsi="Times New Roman" w:cs="Times New Roman"/>
          <w:sz w:val="20"/>
          <w:szCs w:val="20"/>
        </w:rPr>
        <w:t>. The measurement results are listed in Table A</w:t>
      </w:r>
      <w:r w:rsidR="002C2CD9" w:rsidRPr="00E803F5">
        <w:rPr>
          <w:rFonts w:ascii="Times New Roman" w:hAnsi="Times New Roman" w:cs="Times New Roman"/>
          <w:sz w:val="20"/>
          <w:szCs w:val="20"/>
        </w:rPr>
        <w:t>2-</w:t>
      </w:r>
      <w:r w:rsidRPr="00E803F5">
        <w:rPr>
          <w:rFonts w:ascii="Times New Roman" w:hAnsi="Times New Roman" w:cs="Times New Roman"/>
          <w:sz w:val="20"/>
          <w:szCs w:val="20"/>
        </w:rPr>
        <w:t>1.</w:t>
      </w:r>
    </w:p>
    <w:p w:rsidR="001610CD" w:rsidRPr="00E803F5" w:rsidRDefault="001610CD" w:rsidP="001610CD">
      <w:pPr>
        <w:rPr>
          <w:rFonts w:ascii="Times New Roman" w:hAnsi="Times New Roman" w:cs="Times New Roman"/>
          <w:sz w:val="20"/>
          <w:szCs w:val="20"/>
        </w:rPr>
      </w:pPr>
    </w:p>
    <w:p w:rsidR="00A426A1" w:rsidRPr="00E803F5" w:rsidRDefault="001610CD" w:rsidP="001610CD">
      <w:pPr>
        <w:rPr>
          <w:rFonts w:ascii="Times New Roman" w:hAnsi="Times New Roman" w:cs="Times New Roman"/>
          <w:sz w:val="20"/>
          <w:szCs w:val="20"/>
        </w:rPr>
      </w:pPr>
      <w:r w:rsidRPr="00E803F5">
        <w:rPr>
          <w:rFonts w:ascii="Times New Roman" w:hAnsi="Times New Roman" w:cs="Times New Roman"/>
          <w:sz w:val="20"/>
          <w:szCs w:val="20"/>
        </w:rPr>
        <w:t xml:space="preserve">The </w:t>
      </w:r>
      <w:r w:rsidR="00B274F8" w:rsidRPr="00E803F5">
        <w:rPr>
          <w:rFonts w:ascii="Times New Roman" w:hAnsi="Times New Roman" w:cs="Times New Roman"/>
          <w:sz w:val="20"/>
          <w:szCs w:val="20"/>
        </w:rPr>
        <w:t xml:space="preserve">temporal changes in the </w:t>
      </w:r>
      <w:r w:rsidRPr="00E803F5">
        <w:rPr>
          <w:rFonts w:ascii="Times New Roman" w:hAnsi="Times New Roman" w:cs="Times New Roman"/>
          <w:sz w:val="20"/>
          <w:szCs w:val="20"/>
        </w:rPr>
        <w:t xml:space="preserve">gravity acceleration at Honjo </w:t>
      </w:r>
      <w:r w:rsidR="003F43F6" w:rsidRPr="00E803F5">
        <w:rPr>
          <w:rFonts w:ascii="Times New Roman" w:hAnsi="Times New Roman" w:cs="Times New Roman"/>
          <w:sz w:val="20"/>
          <w:szCs w:val="20"/>
        </w:rPr>
        <w:t>indicate</w:t>
      </w:r>
      <w:r w:rsidRPr="00E803F5">
        <w:rPr>
          <w:rFonts w:ascii="Times New Roman" w:hAnsi="Times New Roman" w:cs="Times New Roman"/>
          <w:sz w:val="20"/>
          <w:szCs w:val="20"/>
        </w:rPr>
        <w:t xml:space="preserve"> different</w:t>
      </w:r>
      <w:r w:rsidR="003F43F6" w:rsidRPr="00E803F5">
        <w:rPr>
          <w:rFonts w:ascii="Times New Roman" w:hAnsi="Times New Roman" w:cs="Times New Roman"/>
          <w:sz w:val="20"/>
          <w:szCs w:val="20"/>
        </w:rPr>
        <w:t xml:space="preserve"> characteristics</w:t>
      </w:r>
      <w:r w:rsidRPr="00E803F5">
        <w:rPr>
          <w:rFonts w:ascii="Times New Roman" w:hAnsi="Times New Roman" w:cs="Times New Roman"/>
          <w:sz w:val="20"/>
          <w:szCs w:val="20"/>
        </w:rPr>
        <w:t xml:space="preserve"> </w:t>
      </w:r>
      <w:r w:rsidR="00B274F8" w:rsidRPr="00E803F5">
        <w:rPr>
          <w:rFonts w:ascii="Times New Roman" w:hAnsi="Times New Roman" w:cs="Times New Roman"/>
          <w:sz w:val="20"/>
          <w:szCs w:val="20"/>
        </w:rPr>
        <w:t xml:space="preserve">from those </w:t>
      </w:r>
      <w:r w:rsidRPr="00E803F5">
        <w:rPr>
          <w:rFonts w:ascii="Times New Roman" w:hAnsi="Times New Roman" w:cs="Times New Roman"/>
          <w:sz w:val="20"/>
          <w:szCs w:val="20"/>
        </w:rPr>
        <w:t xml:space="preserve">at Mizusawa. </w:t>
      </w:r>
      <w:r w:rsidR="003F43F6" w:rsidRPr="00E803F5">
        <w:rPr>
          <w:rFonts w:ascii="Times New Roman" w:hAnsi="Times New Roman" w:cs="Times New Roman"/>
          <w:sz w:val="20"/>
          <w:szCs w:val="20"/>
        </w:rPr>
        <w:t>T</w:t>
      </w:r>
      <w:r w:rsidRPr="00E803F5">
        <w:rPr>
          <w:rFonts w:ascii="Times New Roman" w:hAnsi="Times New Roman" w:cs="Times New Roman"/>
          <w:sz w:val="20"/>
          <w:szCs w:val="20"/>
        </w:rPr>
        <w:t>here was a rapid decrease in gravity</w:t>
      </w:r>
      <w:r w:rsidR="00DF1001" w:rsidRPr="00E803F5">
        <w:rPr>
          <w:rFonts w:ascii="Times New Roman" w:hAnsi="Times New Roman" w:cs="Times New Roman"/>
          <w:sz w:val="20"/>
          <w:szCs w:val="20"/>
        </w:rPr>
        <w:t xml:space="preserve"> from 2013 to 2014</w:t>
      </w:r>
      <w:r w:rsidR="003F43F6" w:rsidRPr="00E803F5">
        <w:rPr>
          <w:rFonts w:ascii="Times New Roman" w:hAnsi="Times New Roman" w:cs="Times New Roman"/>
          <w:sz w:val="20"/>
          <w:szCs w:val="20"/>
        </w:rPr>
        <w:t xml:space="preserve">, and a rapid increase from 2014 to 2015. This suggests a possibility that the measurement result in 2014 was underestimated. Put aside the data prior to 2015, </w:t>
      </w:r>
      <w:r w:rsidRPr="00E803F5">
        <w:rPr>
          <w:rFonts w:ascii="Times New Roman" w:hAnsi="Times New Roman" w:cs="Times New Roman"/>
          <w:sz w:val="20"/>
          <w:szCs w:val="20"/>
        </w:rPr>
        <w:t>gravity indicate</w:t>
      </w:r>
      <w:r w:rsidR="00DF1001" w:rsidRPr="00E803F5">
        <w:rPr>
          <w:rFonts w:ascii="Times New Roman" w:hAnsi="Times New Roman" w:cs="Times New Roman"/>
          <w:sz w:val="20"/>
          <w:szCs w:val="20"/>
        </w:rPr>
        <w:t>d</w:t>
      </w:r>
      <w:r w:rsidRPr="00E803F5">
        <w:rPr>
          <w:rFonts w:ascii="Times New Roman" w:hAnsi="Times New Roman" w:cs="Times New Roman"/>
          <w:sz w:val="20"/>
          <w:szCs w:val="20"/>
        </w:rPr>
        <w:t xml:space="preserve"> a</w:t>
      </w:r>
      <w:r w:rsidR="003F43F6" w:rsidRPr="00E803F5">
        <w:rPr>
          <w:rFonts w:ascii="Times New Roman" w:hAnsi="Times New Roman" w:cs="Times New Roman"/>
          <w:sz w:val="20"/>
          <w:szCs w:val="20"/>
        </w:rPr>
        <w:t>n almost</w:t>
      </w:r>
      <w:r w:rsidRPr="00E803F5">
        <w:rPr>
          <w:rFonts w:ascii="Times New Roman" w:hAnsi="Times New Roman" w:cs="Times New Roman"/>
          <w:sz w:val="20"/>
          <w:szCs w:val="20"/>
        </w:rPr>
        <w:t xml:space="preserve"> steady increase </w:t>
      </w:r>
      <w:r w:rsidR="003F43F6" w:rsidRPr="00E803F5">
        <w:rPr>
          <w:rFonts w:ascii="Times New Roman" w:hAnsi="Times New Roman" w:cs="Times New Roman"/>
          <w:sz w:val="20"/>
          <w:szCs w:val="20"/>
        </w:rPr>
        <w:t xml:space="preserve">in the period </w:t>
      </w:r>
      <w:r w:rsidRPr="00E803F5">
        <w:rPr>
          <w:rFonts w:ascii="Times New Roman" w:hAnsi="Times New Roman" w:cs="Times New Roman"/>
          <w:sz w:val="20"/>
          <w:szCs w:val="20"/>
        </w:rPr>
        <w:t>from 201</w:t>
      </w:r>
      <w:r w:rsidR="003F43F6" w:rsidRPr="00E803F5">
        <w:rPr>
          <w:rFonts w:ascii="Times New Roman" w:hAnsi="Times New Roman" w:cs="Times New Roman"/>
          <w:sz w:val="20"/>
          <w:szCs w:val="20"/>
        </w:rPr>
        <w:t>5</w:t>
      </w:r>
      <w:r w:rsidRPr="00E803F5">
        <w:rPr>
          <w:rFonts w:ascii="Times New Roman" w:hAnsi="Times New Roman" w:cs="Times New Roman"/>
          <w:sz w:val="20"/>
          <w:szCs w:val="20"/>
        </w:rPr>
        <w:t xml:space="preserve"> through 2018. </w:t>
      </w:r>
      <w:r w:rsidR="004558E5" w:rsidRPr="00E803F5">
        <w:rPr>
          <w:rFonts w:ascii="Times New Roman" w:hAnsi="Times New Roman" w:cs="Times New Roman"/>
          <w:sz w:val="20"/>
          <w:szCs w:val="20"/>
        </w:rPr>
        <w:t xml:space="preserve">The average rate of gravity </w:t>
      </w:r>
      <w:r w:rsidR="00037E79" w:rsidRPr="00E803F5">
        <w:rPr>
          <w:rFonts w:ascii="Times New Roman" w:hAnsi="Times New Roman" w:cs="Times New Roman"/>
          <w:sz w:val="20"/>
          <w:szCs w:val="20"/>
        </w:rPr>
        <w:t>changes</w:t>
      </w:r>
      <w:r w:rsidR="004558E5" w:rsidRPr="00E803F5">
        <w:rPr>
          <w:rFonts w:ascii="Times New Roman" w:hAnsi="Times New Roman" w:cs="Times New Roman"/>
          <w:sz w:val="20"/>
          <w:szCs w:val="20"/>
        </w:rPr>
        <w:t xml:space="preserve"> from 201</w:t>
      </w:r>
      <w:r w:rsidR="003F43F6" w:rsidRPr="00E803F5">
        <w:rPr>
          <w:rFonts w:ascii="Times New Roman" w:hAnsi="Times New Roman" w:cs="Times New Roman"/>
          <w:sz w:val="20"/>
          <w:szCs w:val="20"/>
        </w:rPr>
        <w:t>5</w:t>
      </w:r>
      <w:r w:rsidR="004558E5" w:rsidRPr="00E803F5">
        <w:rPr>
          <w:rFonts w:ascii="Times New Roman" w:hAnsi="Times New Roman" w:cs="Times New Roman"/>
          <w:sz w:val="20"/>
          <w:szCs w:val="20"/>
        </w:rPr>
        <w:t xml:space="preserve"> to 2018 is approximately </w:t>
      </w:r>
      <w:r w:rsidR="00D90205" w:rsidRPr="00E803F5">
        <w:rPr>
          <w:rFonts w:ascii="Times New Roman" w:hAnsi="Times New Roman" w:cs="Times New Roman"/>
          <w:sz w:val="20"/>
          <w:szCs w:val="20"/>
        </w:rPr>
        <w:t>+</w:t>
      </w:r>
      <w:r w:rsidR="004558E5" w:rsidRPr="00E803F5">
        <w:rPr>
          <w:rFonts w:ascii="Times New Roman" w:hAnsi="Times New Roman" w:cs="Times New Roman"/>
          <w:sz w:val="20"/>
          <w:szCs w:val="20"/>
        </w:rPr>
        <w:t>1.1 µGal/year.</w:t>
      </w:r>
      <w:r w:rsidR="004C2E29" w:rsidRPr="00E803F5">
        <w:rPr>
          <w:rFonts w:ascii="Times New Roman" w:hAnsi="Times New Roman" w:cs="Times New Roman"/>
          <w:sz w:val="20"/>
          <w:szCs w:val="20"/>
        </w:rPr>
        <w:t xml:space="preserve"> This can be compared with the total subsidence </w:t>
      </w:r>
      <w:r w:rsidR="003F43F6" w:rsidRPr="00E803F5">
        <w:rPr>
          <w:rFonts w:ascii="Times New Roman" w:hAnsi="Times New Roman" w:cs="Times New Roman"/>
          <w:sz w:val="20"/>
          <w:szCs w:val="20"/>
        </w:rPr>
        <w:t xml:space="preserve">of the Honjo station </w:t>
      </w:r>
      <w:r w:rsidR="004C2E29" w:rsidRPr="00E803F5">
        <w:rPr>
          <w:rFonts w:ascii="Times New Roman" w:hAnsi="Times New Roman" w:cs="Times New Roman"/>
          <w:sz w:val="20"/>
          <w:szCs w:val="20"/>
        </w:rPr>
        <w:t xml:space="preserve">of about </w:t>
      </w:r>
      <w:r w:rsidR="00E803F5" w:rsidRPr="00E803F5">
        <w:rPr>
          <w:rFonts w:ascii="Times New Roman" w:hAnsi="Times New Roman" w:cs="Times New Roman"/>
          <w:sz w:val="20"/>
          <w:szCs w:val="20"/>
        </w:rPr>
        <w:t>10</w:t>
      </w:r>
      <w:r w:rsidR="004C2E29" w:rsidRPr="00E803F5">
        <w:rPr>
          <w:rFonts w:ascii="Times New Roman" w:hAnsi="Times New Roman" w:cs="Times New Roman"/>
          <w:sz w:val="20"/>
          <w:szCs w:val="20"/>
        </w:rPr>
        <w:t>0</w:t>
      </w:r>
      <w:r w:rsidR="00E9339B" w:rsidRPr="00E803F5">
        <w:rPr>
          <w:rFonts w:ascii="Times New Roman" w:hAnsi="Times New Roman" w:cs="Times New Roman"/>
          <w:sz w:val="20"/>
          <w:szCs w:val="20"/>
        </w:rPr>
        <w:t xml:space="preserve"> </w:t>
      </w:r>
      <w:r w:rsidR="004C2E29" w:rsidRPr="00E803F5">
        <w:rPr>
          <w:rFonts w:ascii="Times New Roman" w:hAnsi="Times New Roman" w:cs="Times New Roman"/>
          <w:sz w:val="20"/>
          <w:szCs w:val="20"/>
        </w:rPr>
        <w:t>mm</w:t>
      </w:r>
      <w:r w:rsidR="00E9339B" w:rsidRPr="00E803F5">
        <w:rPr>
          <w:rFonts w:ascii="Times New Roman" w:hAnsi="Times New Roman" w:cs="Times New Roman"/>
          <w:sz w:val="20"/>
          <w:szCs w:val="20"/>
        </w:rPr>
        <w:t xml:space="preserve"> </w:t>
      </w:r>
      <w:r w:rsidR="004C2E29" w:rsidRPr="00E803F5">
        <w:rPr>
          <w:rFonts w:ascii="Times New Roman" w:hAnsi="Times New Roman" w:cs="Times New Roman"/>
          <w:sz w:val="20"/>
          <w:szCs w:val="20"/>
        </w:rPr>
        <w:t xml:space="preserve">in the period from 2014 to 2021 shown in Figure </w:t>
      </w:r>
      <w:r w:rsidR="006C64F4" w:rsidRPr="00E803F5">
        <w:rPr>
          <w:rFonts w:ascii="Times New Roman" w:hAnsi="Times New Roman" w:cs="Times New Roman"/>
          <w:sz w:val="20"/>
          <w:szCs w:val="20"/>
        </w:rPr>
        <w:t>6</w:t>
      </w:r>
      <w:r w:rsidR="004C2E29" w:rsidRPr="00E803F5">
        <w:rPr>
          <w:rFonts w:ascii="Times New Roman" w:hAnsi="Times New Roman" w:cs="Times New Roman"/>
          <w:sz w:val="20"/>
          <w:szCs w:val="20"/>
        </w:rPr>
        <w:t>(b)</w:t>
      </w:r>
      <w:r w:rsidR="003F43F6" w:rsidRPr="00E803F5">
        <w:rPr>
          <w:rFonts w:ascii="Times New Roman" w:hAnsi="Times New Roman" w:cs="Times New Roman"/>
          <w:sz w:val="20"/>
          <w:szCs w:val="20"/>
        </w:rPr>
        <w:t>.</w:t>
      </w:r>
      <w:r w:rsidR="002C0AAA" w:rsidRPr="00E803F5">
        <w:rPr>
          <w:rFonts w:ascii="Times New Roman" w:hAnsi="Times New Roman" w:cs="Times New Roman"/>
          <w:sz w:val="20"/>
          <w:szCs w:val="20"/>
        </w:rPr>
        <w:t xml:space="preserve"> </w:t>
      </w:r>
      <w:r w:rsidR="003F43F6" w:rsidRPr="00E803F5">
        <w:rPr>
          <w:rFonts w:ascii="Times New Roman" w:hAnsi="Times New Roman" w:cs="Times New Roman"/>
          <w:sz w:val="20"/>
          <w:szCs w:val="20"/>
        </w:rPr>
        <w:t>This</w:t>
      </w:r>
      <w:r w:rsidR="002C0AAA" w:rsidRPr="00E803F5">
        <w:rPr>
          <w:rFonts w:ascii="Times New Roman" w:hAnsi="Times New Roman" w:cs="Times New Roman"/>
          <w:sz w:val="20"/>
          <w:szCs w:val="20"/>
        </w:rPr>
        <w:t xml:space="preserve"> corresponds to a </w:t>
      </w:r>
      <w:r w:rsidR="003F43F6" w:rsidRPr="00E803F5">
        <w:rPr>
          <w:rFonts w:ascii="Times New Roman" w:hAnsi="Times New Roman" w:cs="Times New Roman"/>
          <w:sz w:val="20"/>
          <w:szCs w:val="20"/>
        </w:rPr>
        <w:t xml:space="preserve">free-air </w:t>
      </w:r>
      <w:r w:rsidR="002C0AAA" w:rsidRPr="00E803F5">
        <w:rPr>
          <w:rFonts w:ascii="Times New Roman" w:hAnsi="Times New Roman" w:cs="Times New Roman"/>
          <w:sz w:val="20"/>
          <w:szCs w:val="20"/>
        </w:rPr>
        <w:t xml:space="preserve">gravity rate of about </w:t>
      </w:r>
      <w:r w:rsidR="00D90205" w:rsidRPr="00E803F5">
        <w:rPr>
          <w:rFonts w:ascii="Times New Roman" w:hAnsi="Times New Roman" w:cs="Times New Roman"/>
          <w:sz w:val="20"/>
          <w:szCs w:val="20"/>
        </w:rPr>
        <w:t>–</w:t>
      </w:r>
      <w:r w:rsidR="002C0AAA" w:rsidRPr="00E803F5">
        <w:rPr>
          <w:rFonts w:ascii="Times New Roman" w:hAnsi="Times New Roman" w:cs="Times New Roman"/>
          <w:sz w:val="20"/>
          <w:szCs w:val="20"/>
        </w:rPr>
        <w:t>3.5</w:t>
      </w:r>
      <w:r w:rsidR="004C2E29" w:rsidRPr="00E803F5">
        <w:rPr>
          <w:rFonts w:ascii="Times New Roman" w:hAnsi="Times New Roman" w:cs="Times New Roman"/>
          <w:sz w:val="20"/>
          <w:szCs w:val="20"/>
        </w:rPr>
        <w:t xml:space="preserve"> </w:t>
      </w:r>
      <w:r w:rsidR="002C0AAA" w:rsidRPr="00E803F5">
        <w:rPr>
          <w:rFonts w:ascii="Times New Roman" w:hAnsi="Times New Roman" w:cs="Times New Roman"/>
          <w:sz w:val="20"/>
          <w:szCs w:val="20"/>
        </w:rPr>
        <w:t>µGal/year</w:t>
      </w:r>
      <w:r w:rsidR="003D1213" w:rsidRPr="00E803F5">
        <w:rPr>
          <w:rFonts w:ascii="Times New Roman" w:hAnsi="Times New Roman" w:cs="Times New Roman"/>
          <w:sz w:val="20"/>
          <w:szCs w:val="20"/>
        </w:rPr>
        <w:t xml:space="preserve"> if we assume </w:t>
      </w:r>
      <w:r w:rsidR="003F43F6" w:rsidRPr="00E803F5">
        <w:rPr>
          <w:rFonts w:ascii="Times New Roman" w:hAnsi="Times New Roman" w:cs="Times New Roman"/>
          <w:sz w:val="20"/>
          <w:szCs w:val="20"/>
        </w:rPr>
        <w:t>a</w:t>
      </w:r>
      <w:r w:rsidR="003D1213" w:rsidRPr="00E803F5">
        <w:rPr>
          <w:rFonts w:ascii="Times New Roman" w:hAnsi="Times New Roman" w:cs="Times New Roman"/>
          <w:sz w:val="20"/>
          <w:szCs w:val="20"/>
        </w:rPr>
        <w:t xml:space="preserve"> factor of 3.08 µGal/cm.</w:t>
      </w:r>
      <w:r w:rsidR="00E9339B" w:rsidRPr="00E803F5">
        <w:rPr>
          <w:rFonts w:ascii="Times New Roman" w:hAnsi="Times New Roman" w:cs="Times New Roman"/>
          <w:sz w:val="20"/>
          <w:szCs w:val="20"/>
        </w:rPr>
        <w:t xml:space="preserve"> Th</w:t>
      </w:r>
      <w:r w:rsidR="003F43F6" w:rsidRPr="00E803F5">
        <w:rPr>
          <w:rFonts w:ascii="Times New Roman" w:hAnsi="Times New Roman" w:cs="Times New Roman"/>
          <w:sz w:val="20"/>
          <w:szCs w:val="20"/>
        </w:rPr>
        <w:t>erefore,</w:t>
      </w:r>
      <w:r w:rsidR="00D90205" w:rsidRPr="00E803F5">
        <w:rPr>
          <w:rFonts w:ascii="Times New Roman" w:hAnsi="Times New Roman" w:cs="Times New Roman"/>
          <w:sz w:val="20"/>
          <w:szCs w:val="20"/>
        </w:rPr>
        <w:t xml:space="preserve"> the </w:t>
      </w:r>
      <w:r w:rsidR="003F43F6" w:rsidRPr="00E803F5">
        <w:rPr>
          <w:rFonts w:ascii="Times New Roman" w:hAnsi="Times New Roman" w:cs="Times New Roman"/>
          <w:sz w:val="20"/>
          <w:szCs w:val="20"/>
        </w:rPr>
        <w:t xml:space="preserve">observed </w:t>
      </w:r>
      <w:r w:rsidR="00D90205" w:rsidRPr="00E803F5">
        <w:rPr>
          <w:rFonts w:ascii="Times New Roman" w:hAnsi="Times New Roman" w:cs="Times New Roman"/>
          <w:sz w:val="20"/>
          <w:szCs w:val="20"/>
        </w:rPr>
        <w:t xml:space="preserve">gravity </w:t>
      </w:r>
      <w:r w:rsidR="002954E6" w:rsidRPr="00E803F5">
        <w:rPr>
          <w:rFonts w:ascii="Times New Roman" w:hAnsi="Times New Roman" w:cs="Times New Roman"/>
          <w:sz w:val="20"/>
          <w:szCs w:val="20"/>
        </w:rPr>
        <w:t xml:space="preserve">rate </w:t>
      </w:r>
      <w:r w:rsidR="00D90205" w:rsidRPr="00E803F5">
        <w:rPr>
          <w:rFonts w:ascii="Times New Roman" w:hAnsi="Times New Roman" w:cs="Times New Roman"/>
          <w:sz w:val="20"/>
          <w:szCs w:val="20"/>
        </w:rPr>
        <w:t xml:space="preserve">at Honjo </w:t>
      </w:r>
      <w:r w:rsidR="003F43F6" w:rsidRPr="00E803F5">
        <w:rPr>
          <w:rFonts w:ascii="Times New Roman" w:hAnsi="Times New Roman" w:cs="Times New Roman"/>
          <w:sz w:val="20"/>
          <w:szCs w:val="20"/>
        </w:rPr>
        <w:t xml:space="preserve">after free-air corrections </w:t>
      </w:r>
      <w:r w:rsidR="002954E6" w:rsidRPr="00E803F5">
        <w:rPr>
          <w:rFonts w:ascii="Times New Roman" w:hAnsi="Times New Roman" w:cs="Times New Roman"/>
          <w:sz w:val="20"/>
          <w:szCs w:val="20"/>
        </w:rPr>
        <w:t>was</w:t>
      </w:r>
      <w:r w:rsidR="00D90205" w:rsidRPr="00E803F5">
        <w:rPr>
          <w:rFonts w:ascii="Times New Roman" w:hAnsi="Times New Roman" w:cs="Times New Roman"/>
          <w:sz w:val="20"/>
          <w:szCs w:val="20"/>
        </w:rPr>
        <w:t xml:space="preserve"> about –2.4 µGal/year.</w:t>
      </w:r>
      <w:r w:rsidR="002954E6" w:rsidRPr="00E803F5">
        <w:rPr>
          <w:rFonts w:ascii="Times New Roman" w:hAnsi="Times New Roman" w:cs="Times New Roman"/>
          <w:sz w:val="20"/>
          <w:szCs w:val="20"/>
        </w:rPr>
        <w:t xml:space="preserve"> This </w:t>
      </w:r>
      <w:r w:rsidR="003F43F6" w:rsidRPr="00E803F5">
        <w:rPr>
          <w:rFonts w:ascii="Times New Roman" w:hAnsi="Times New Roman" w:cs="Times New Roman"/>
          <w:sz w:val="20"/>
          <w:szCs w:val="20"/>
        </w:rPr>
        <w:t xml:space="preserve">negative </w:t>
      </w:r>
      <w:r w:rsidR="002954E6" w:rsidRPr="00E803F5">
        <w:rPr>
          <w:rFonts w:ascii="Times New Roman" w:hAnsi="Times New Roman" w:cs="Times New Roman"/>
          <w:sz w:val="20"/>
          <w:szCs w:val="20"/>
        </w:rPr>
        <w:t>r</w:t>
      </w:r>
      <w:r w:rsidR="003F43F6" w:rsidRPr="00E803F5">
        <w:rPr>
          <w:rFonts w:ascii="Times New Roman" w:hAnsi="Times New Roman" w:cs="Times New Roman"/>
          <w:sz w:val="20"/>
          <w:szCs w:val="20"/>
        </w:rPr>
        <w:t>ate</w:t>
      </w:r>
      <w:r w:rsidR="002954E6" w:rsidRPr="00E803F5">
        <w:rPr>
          <w:rFonts w:ascii="Times New Roman" w:hAnsi="Times New Roman" w:cs="Times New Roman"/>
          <w:sz w:val="20"/>
          <w:szCs w:val="20"/>
        </w:rPr>
        <w:t xml:space="preserve"> is in contrast to the </w:t>
      </w:r>
      <w:r w:rsidRPr="00E803F5">
        <w:rPr>
          <w:rFonts w:ascii="Times New Roman" w:hAnsi="Times New Roman" w:cs="Times New Roman"/>
          <w:sz w:val="20"/>
          <w:szCs w:val="20"/>
        </w:rPr>
        <w:t xml:space="preserve">overall trend of gravity </w:t>
      </w:r>
      <w:r w:rsidR="006C64F4" w:rsidRPr="00E803F5">
        <w:rPr>
          <w:rFonts w:ascii="Times New Roman" w:hAnsi="Times New Roman" w:cs="Times New Roman"/>
          <w:sz w:val="20"/>
          <w:szCs w:val="20"/>
        </w:rPr>
        <w:t>in</w:t>
      </w:r>
      <w:r w:rsidRPr="00E803F5">
        <w:rPr>
          <w:rFonts w:ascii="Times New Roman" w:hAnsi="Times New Roman" w:cs="Times New Roman"/>
          <w:sz w:val="20"/>
          <w:szCs w:val="20"/>
        </w:rPr>
        <w:t>crease found at Mizusawa from 201</w:t>
      </w:r>
      <w:r w:rsidR="002954E6" w:rsidRPr="00E803F5">
        <w:rPr>
          <w:rFonts w:ascii="Times New Roman" w:hAnsi="Times New Roman" w:cs="Times New Roman"/>
          <w:sz w:val="20"/>
          <w:szCs w:val="20"/>
        </w:rPr>
        <w:t>4</w:t>
      </w:r>
      <w:r w:rsidRPr="00E803F5">
        <w:rPr>
          <w:rFonts w:ascii="Times New Roman" w:hAnsi="Times New Roman" w:cs="Times New Roman"/>
          <w:sz w:val="20"/>
          <w:szCs w:val="20"/>
        </w:rPr>
        <w:t xml:space="preserve"> to 2021</w:t>
      </w:r>
      <w:r w:rsidR="006C64F4" w:rsidRPr="00E803F5">
        <w:rPr>
          <w:rFonts w:ascii="Times New Roman" w:hAnsi="Times New Roman" w:cs="Times New Roman"/>
          <w:sz w:val="20"/>
          <w:szCs w:val="20"/>
        </w:rPr>
        <w:t xml:space="preserve"> (Figure 4(b))</w:t>
      </w:r>
      <w:r w:rsidRPr="00E803F5">
        <w:rPr>
          <w:rFonts w:ascii="Times New Roman" w:hAnsi="Times New Roman" w:cs="Times New Roman"/>
          <w:sz w:val="20"/>
          <w:szCs w:val="20"/>
        </w:rPr>
        <w:t xml:space="preserve">. It is also different from the gravity trend </w:t>
      </w:r>
      <w:r w:rsidR="003F43F6" w:rsidRPr="00E803F5">
        <w:rPr>
          <w:rFonts w:ascii="Times New Roman" w:hAnsi="Times New Roman" w:cs="Times New Roman"/>
          <w:sz w:val="20"/>
          <w:szCs w:val="20"/>
        </w:rPr>
        <w:t xml:space="preserve">at Honjo </w:t>
      </w:r>
      <w:r w:rsidR="002954E6" w:rsidRPr="00E803F5">
        <w:rPr>
          <w:rFonts w:ascii="Times New Roman" w:hAnsi="Times New Roman" w:cs="Times New Roman"/>
          <w:sz w:val="20"/>
          <w:szCs w:val="20"/>
        </w:rPr>
        <w:t>obtained</w:t>
      </w:r>
      <w:r w:rsidRPr="00E803F5">
        <w:rPr>
          <w:rFonts w:ascii="Times New Roman" w:hAnsi="Times New Roman" w:cs="Times New Roman"/>
          <w:sz w:val="20"/>
          <w:szCs w:val="20"/>
        </w:rPr>
        <w:t xml:space="preserve"> by the GRACE</w:t>
      </w:r>
      <w:r w:rsidR="002954E6" w:rsidRPr="00E803F5">
        <w:rPr>
          <w:rFonts w:ascii="Times New Roman" w:hAnsi="Times New Roman" w:cs="Times New Roman"/>
          <w:sz w:val="20"/>
          <w:szCs w:val="20"/>
        </w:rPr>
        <w:t>/GRACE-FO</w:t>
      </w:r>
      <w:r w:rsidRPr="00E803F5">
        <w:rPr>
          <w:rFonts w:ascii="Times New Roman" w:hAnsi="Times New Roman" w:cs="Times New Roman"/>
          <w:sz w:val="20"/>
          <w:szCs w:val="20"/>
        </w:rPr>
        <w:t xml:space="preserve"> measurements</w:t>
      </w:r>
      <w:r w:rsidR="002954E6" w:rsidRPr="00E803F5">
        <w:rPr>
          <w:rFonts w:ascii="Times New Roman" w:hAnsi="Times New Roman" w:cs="Times New Roman"/>
          <w:sz w:val="20"/>
          <w:szCs w:val="20"/>
        </w:rPr>
        <w:t xml:space="preserve"> (Figure 7</w:t>
      </w:r>
      <w:r w:rsidR="00A426A1" w:rsidRPr="00E803F5">
        <w:rPr>
          <w:rFonts w:ascii="Times New Roman" w:hAnsi="Times New Roman" w:cs="Times New Roman"/>
          <w:sz w:val="20"/>
          <w:szCs w:val="20"/>
        </w:rPr>
        <w:t>(b)</w:t>
      </w:r>
      <w:r w:rsidR="002954E6" w:rsidRPr="00E803F5">
        <w:rPr>
          <w:rFonts w:ascii="Times New Roman" w:hAnsi="Times New Roman" w:cs="Times New Roman"/>
          <w:sz w:val="20"/>
          <w:szCs w:val="20"/>
        </w:rPr>
        <w:t>)</w:t>
      </w:r>
      <w:r w:rsidRPr="00E803F5">
        <w:rPr>
          <w:rFonts w:ascii="Times New Roman" w:hAnsi="Times New Roman" w:cs="Times New Roman"/>
          <w:sz w:val="20"/>
          <w:szCs w:val="20"/>
        </w:rPr>
        <w:t>.</w:t>
      </w:r>
    </w:p>
    <w:p w:rsidR="001610CD" w:rsidRPr="00E803F5" w:rsidRDefault="001610CD" w:rsidP="001610CD">
      <w:pPr>
        <w:rPr>
          <w:rFonts w:ascii="Times New Roman" w:hAnsi="Times New Roman" w:cs="Times New Roman"/>
          <w:sz w:val="20"/>
          <w:szCs w:val="20"/>
        </w:rPr>
      </w:pPr>
    </w:p>
    <w:p w:rsidR="00AC2F3D" w:rsidRPr="00AC2F3D" w:rsidRDefault="00AC2F3D" w:rsidP="00AC2F3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Pr="00AC2F3D"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lastRenderedPageBreak/>
        <w:t>T</w:t>
      </w:r>
      <w:r w:rsidRPr="00AC2F3D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able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A2-</w:t>
      </w:r>
      <w:r w:rsidRPr="00AC2F3D">
        <w:rPr>
          <w:rFonts w:ascii="Times New Roman" w:hAnsi="Times New Roman" w:cs="Times New Roman"/>
          <w:color w:val="000000"/>
          <w:kern w:val="0"/>
          <w:sz w:val="20"/>
          <w:szCs w:val="20"/>
        </w:rPr>
        <w:t>1: Results of absolute gravity measurements with FG5 absolute gravimeters at Honjo. Gravity accelerations are shown in terms of the values at 1.30 m above the floor. The mean gravity for the Jun 2018 experiment is 980,151,706.0 µGal if the instrumental offset is corrected. 1 µGal = 10</w:t>
      </w:r>
      <w:r w:rsidRPr="00AC2F3D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</w:rPr>
        <w:t>–8</w:t>
      </w:r>
      <w:r w:rsidRPr="00AC2F3D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ms</w:t>
      </w:r>
      <w:r w:rsidRPr="00AC2F3D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</w:rPr>
        <w:t>–2</w:t>
      </w:r>
      <w:r w:rsidRPr="00AC2F3D">
        <w:rPr>
          <w:rFonts w:ascii="Times New Roman" w:hAnsi="Times New Roman" w:cs="Times New Roman"/>
          <w:color w:val="000000"/>
          <w:kern w:val="0"/>
          <w:sz w:val="20"/>
          <w:szCs w:val="20"/>
        </w:rPr>
        <w:t>.</w:t>
      </w:r>
    </w:p>
    <w:p w:rsidR="00AC2F3D" w:rsidRPr="00AC2F3D" w:rsidRDefault="00AC2F3D" w:rsidP="00AC2F3D">
      <w:pPr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tbl>
      <w:tblPr>
        <w:tblStyle w:val="a3"/>
        <w:tblW w:w="8755" w:type="dxa"/>
        <w:tblLayout w:type="fixed"/>
        <w:tblLook w:val="04A0" w:firstRow="1" w:lastRow="0" w:firstColumn="1" w:lastColumn="0" w:noHBand="0" w:noVBand="1"/>
      </w:tblPr>
      <w:tblGrid>
        <w:gridCol w:w="595"/>
        <w:gridCol w:w="1080"/>
        <w:gridCol w:w="1440"/>
        <w:gridCol w:w="960"/>
        <w:gridCol w:w="1440"/>
        <w:gridCol w:w="1080"/>
        <w:gridCol w:w="1080"/>
        <w:gridCol w:w="1080"/>
      </w:tblGrid>
      <w:tr w:rsidR="00AC2F3D" w:rsidRPr="00AC2F3D" w:rsidTr="00AC2F3D">
        <w:tc>
          <w:tcPr>
            <w:tcW w:w="595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Year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D</w:t>
            </w: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ate</w:t>
            </w:r>
          </w:p>
        </w:tc>
        <w:tc>
          <w:tcPr>
            <w:tcW w:w="1440" w:type="dxa"/>
            <w:vAlign w:val="center"/>
          </w:tcPr>
          <w:p w:rsidR="00AC2F3D" w:rsidRPr="00AC2F3D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erial numbers of</w:t>
            </w:r>
          </w:p>
          <w:p w:rsidR="00AC2F3D" w:rsidRPr="00AC2F3D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FG5 / dropping</w:t>
            </w:r>
          </w:p>
          <w:p w:rsidR="00AC2F3D" w:rsidRPr="00AC2F3D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chamber</w:t>
            </w:r>
          </w:p>
        </w:tc>
        <w:tc>
          <w:tcPr>
            <w:tcW w:w="960" w:type="dxa"/>
            <w:vAlign w:val="center"/>
          </w:tcPr>
          <w:p w:rsidR="00AC2F3D" w:rsidRPr="00AC2F3D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Effective number of drops</w:t>
            </w:r>
          </w:p>
        </w:tc>
        <w:tc>
          <w:tcPr>
            <w:tcW w:w="1440" w:type="dxa"/>
            <w:vAlign w:val="center"/>
          </w:tcPr>
          <w:p w:rsidR="00AC2F3D" w:rsidRPr="00AC2F3D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Mean gravity acceleration,</w:t>
            </w:r>
          </w:p>
          <w:p w:rsidR="00AC2F3D" w:rsidRPr="00AC2F3D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µGal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Standard deviation,</w:t>
            </w:r>
          </w:p>
          <w:p w:rsidR="00AC2F3D" w:rsidRPr="00AC2F3D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µGal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Uncertainty</w:t>
            </w:r>
          </w:p>
          <w:p w:rsidR="00AC2F3D" w:rsidRPr="00AC2F3D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of</w:t>
            </w: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mean gravity,</w:t>
            </w: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µGal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Instrumental offset,</w:t>
            </w: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µGal</w:t>
            </w:r>
          </w:p>
        </w:tc>
      </w:tr>
      <w:tr w:rsidR="00AC2F3D" w:rsidRPr="00AC2F3D" w:rsidTr="00A31317">
        <w:trPr>
          <w:trHeight w:hRule="exact" w:val="400"/>
        </w:trPr>
        <w:tc>
          <w:tcPr>
            <w:tcW w:w="595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J</w:t>
            </w: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une 24–26</w:t>
            </w:r>
          </w:p>
        </w:tc>
        <w:tc>
          <w:tcPr>
            <w:tcW w:w="1440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212 / 109</w:t>
            </w:r>
          </w:p>
        </w:tc>
        <w:tc>
          <w:tcPr>
            <w:tcW w:w="960" w:type="dxa"/>
            <w:vAlign w:val="center"/>
          </w:tcPr>
          <w:p w:rsidR="00AC2F3D" w:rsidRPr="00AC2F3D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9,100</w:t>
            </w:r>
          </w:p>
        </w:tc>
        <w:tc>
          <w:tcPr>
            <w:tcW w:w="1440" w:type="dxa"/>
            <w:vAlign w:val="center"/>
          </w:tcPr>
          <w:p w:rsidR="00AC2F3D" w:rsidRPr="00AC2F3D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80,151,703.7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7.0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0.07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9B6284">
            <w:pPr>
              <w:ind w:rightChars="10" w:right="2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–</w:t>
            </w:r>
          </w:p>
        </w:tc>
      </w:tr>
      <w:tr w:rsidR="00AC2F3D" w:rsidRPr="00AC2F3D" w:rsidTr="00A31317">
        <w:trPr>
          <w:trHeight w:val="400"/>
        </w:trPr>
        <w:tc>
          <w:tcPr>
            <w:tcW w:w="595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J</w:t>
            </w: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une 24–26</w:t>
            </w:r>
          </w:p>
        </w:tc>
        <w:tc>
          <w:tcPr>
            <w:tcW w:w="1440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212 / 109</w:t>
            </w:r>
          </w:p>
        </w:tc>
        <w:tc>
          <w:tcPr>
            <w:tcW w:w="960" w:type="dxa"/>
            <w:vAlign w:val="center"/>
          </w:tcPr>
          <w:p w:rsidR="00AC2F3D" w:rsidRPr="00AC2F3D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9,293</w:t>
            </w:r>
          </w:p>
        </w:tc>
        <w:tc>
          <w:tcPr>
            <w:tcW w:w="1440" w:type="dxa"/>
            <w:vAlign w:val="center"/>
          </w:tcPr>
          <w:p w:rsidR="00AC2F3D" w:rsidRPr="00AC2F3D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80,151,695.5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7.4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0.08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9B6284">
            <w:pPr>
              <w:ind w:rightChars="10" w:right="2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–</w:t>
            </w:r>
          </w:p>
        </w:tc>
      </w:tr>
      <w:tr w:rsidR="00AC2F3D" w:rsidRPr="00AC2F3D" w:rsidTr="00A31317">
        <w:trPr>
          <w:trHeight w:val="400"/>
        </w:trPr>
        <w:tc>
          <w:tcPr>
            <w:tcW w:w="595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J</w:t>
            </w: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une 9–11</w:t>
            </w:r>
          </w:p>
        </w:tc>
        <w:tc>
          <w:tcPr>
            <w:tcW w:w="1440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212 / 212</w:t>
            </w:r>
          </w:p>
        </w:tc>
        <w:tc>
          <w:tcPr>
            <w:tcW w:w="960" w:type="dxa"/>
            <w:vAlign w:val="center"/>
          </w:tcPr>
          <w:p w:rsidR="00AC2F3D" w:rsidRPr="00AC2F3D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11,837</w:t>
            </w:r>
          </w:p>
        </w:tc>
        <w:tc>
          <w:tcPr>
            <w:tcW w:w="1440" w:type="dxa"/>
            <w:vAlign w:val="center"/>
          </w:tcPr>
          <w:p w:rsidR="00AC2F3D" w:rsidRPr="00AC2F3D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80,151,702.5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10.1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9B6284">
            <w:pPr>
              <w:ind w:rightChars="10" w:right="2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–</w:t>
            </w:r>
          </w:p>
        </w:tc>
      </w:tr>
      <w:tr w:rsidR="00AC2F3D" w:rsidRPr="00AC2F3D" w:rsidTr="00A31317">
        <w:trPr>
          <w:trHeight w:val="400"/>
        </w:trPr>
        <w:tc>
          <w:tcPr>
            <w:tcW w:w="595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J</w:t>
            </w: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une 28–30</w:t>
            </w:r>
          </w:p>
        </w:tc>
        <w:tc>
          <w:tcPr>
            <w:tcW w:w="1440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241 / 212</w:t>
            </w:r>
          </w:p>
        </w:tc>
        <w:tc>
          <w:tcPr>
            <w:tcW w:w="960" w:type="dxa"/>
            <w:vAlign w:val="center"/>
          </w:tcPr>
          <w:p w:rsidR="00AC2F3D" w:rsidRPr="00AC2F3D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8,744</w:t>
            </w:r>
          </w:p>
        </w:tc>
        <w:tc>
          <w:tcPr>
            <w:tcW w:w="1440" w:type="dxa"/>
            <w:vAlign w:val="center"/>
          </w:tcPr>
          <w:p w:rsidR="00AC2F3D" w:rsidRPr="00AC2F3D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80,151,703.8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9.6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9B6284">
            <w:pPr>
              <w:ind w:rightChars="10" w:right="2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–</w:t>
            </w:r>
          </w:p>
        </w:tc>
      </w:tr>
      <w:tr w:rsidR="00AC2F3D" w:rsidRPr="00AC2F3D" w:rsidTr="00A31317">
        <w:trPr>
          <w:trHeight w:val="400"/>
        </w:trPr>
        <w:tc>
          <w:tcPr>
            <w:tcW w:w="595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J</w:t>
            </w: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une 27–29</w:t>
            </w:r>
          </w:p>
        </w:tc>
        <w:tc>
          <w:tcPr>
            <w:tcW w:w="1440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212 / 109</w:t>
            </w:r>
          </w:p>
        </w:tc>
        <w:tc>
          <w:tcPr>
            <w:tcW w:w="960" w:type="dxa"/>
            <w:vAlign w:val="center"/>
          </w:tcPr>
          <w:p w:rsidR="00AC2F3D" w:rsidRPr="00AC2F3D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12,932</w:t>
            </w:r>
          </w:p>
        </w:tc>
        <w:tc>
          <w:tcPr>
            <w:tcW w:w="1440" w:type="dxa"/>
            <w:vAlign w:val="center"/>
          </w:tcPr>
          <w:p w:rsidR="00AC2F3D" w:rsidRPr="00AC2F3D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80,151,704.2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6.3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9B6284">
            <w:pPr>
              <w:ind w:rightChars="10" w:right="2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–</w:t>
            </w:r>
          </w:p>
        </w:tc>
      </w:tr>
      <w:tr w:rsidR="00AC2F3D" w:rsidRPr="00AC2F3D" w:rsidTr="00A31317">
        <w:trPr>
          <w:trHeight w:val="400"/>
        </w:trPr>
        <w:tc>
          <w:tcPr>
            <w:tcW w:w="595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2018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June 27–29</w:t>
            </w:r>
          </w:p>
        </w:tc>
        <w:tc>
          <w:tcPr>
            <w:tcW w:w="1440" w:type="dxa"/>
            <w:vAlign w:val="center"/>
          </w:tcPr>
          <w:p w:rsidR="00AC2F3D" w:rsidRPr="00AC2F3D" w:rsidRDefault="00AC2F3D" w:rsidP="009B628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109 / 241B</w:t>
            </w:r>
          </w:p>
        </w:tc>
        <w:tc>
          <w:tcPr>
            <w:tcW w:w="960" w:type="dxa"/>
            <w:vAlign w:val="center"/>
          </w:tcPr>
          <w:p w:rsidR="00AC2F3D" w:rsidRPr="00AC2F3D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7,615</w:t>
            </w:r>
          </w:p>
        </w:tc>
        <w:tc>
          <w:tcPr>
            <w:tcW w:w="1440" w:type="dxa"/>
            <w:vAlign w:val="center"/>
          </w:tcPr>
          <w:p w:rsidR="00AC2F3D" w:rsidRPr="00AC2F3D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80,151,714.6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14.5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0.16</w:t>
            </w:r>
          </w:p>
        </w:tc>
        <w:tc>
          <w:tcPr>
            <w:tcW w:w="1080" w:type="dxa"/>
            <w:vAlign w:val="center"/>
          </w:tcPr>
          <w:p w:rsidR="00AC2F3D" w:rsidRPr="00AC2F3D" w:rsidRDefault="00AC2F3D" w:rsidP="009B6284">
            <w:pPr>
              <w:ind w:rightChars="10" w:right="21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C2F3D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+</w:t>
            </w:r>
            <w:r w:rsidRPr="00AC2F3D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8.6</w:t>
            </w:r>
          </w:p>
        </w:tc>
      </w:tr>
    </w:tbl>
    <w:p w:rsidR="00AC2F3D" w:rsidRDefault="00AC2F3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C2F3D" w:rsidSect="004C14B7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6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AAC"/>
    <w:rsid w:val="00021AAC"/>
    <w:rsid w:val="00037E79"/>
    <w:rsid w:val="00081306"/>
    <w:rsid w:val="00085337"/>
    <w:rsid w:val="001610CD"/>
    <w:rsid w:val="00264FFD"/>
    <w:rsid w:val="00266FE0"/>
    <w:rsid w:val="002954E6"/>
    <w:rsid w:val="002C0AAA"/>
    <w:rsid w:val="002C2CD9"/>
    <w:rsid w:val="002F571C"/>
    <w:rsid w:val="003D1213"/>
    <w:rsid w:val="003F43F6"/>
    <w:rsid w:val="004558E5"/>
    <w:rsid w:val="004C14B7"/>
    <w:rsid w:val="004C2E29"/>
    <w:rsid w:val="004D7CCA"/>
    <w:rsid w:val="00523BA1"/>
    <w:rsid w:val="00537075"/>
    <w:rsid w:val="005558A6"/>
    <w:rsid w:val="006B409E"/>
    <w:rsid w:val="006C64F4"/>
    <w:rsid w:val="007F206D"/>
    <w:rsid w:val="008E2C90"/>
    <w:rsid w:val="00917F0F"/>
    <w:rsid w:val="00A31317"/>
    <w:rsid w:val="00A426A1"/>
    <w:rsid w:val="00A45630"/>
    <w:rsid w:val="00AC2F3D"/>
    <w:rsid w:val="00AC6000"/>
    <w:rsid w:val="00B14EC8"/>
    <w:rsid w:val="00B274F8"/>
    <w:rsid w:val="00CE2DCC"/>
    <w:rsid w:val="00D12ECA"/>
    <w:rsid w:val="00D90205"/>
    <w:rsid w:val="00DF1001"/>
    <w:rsid w:val="00E803F5"/>
    <w:rsid w:val="00E9339B"/>
    <w:rsid w:val="00F82FEA"/>
    <w:rsid w:val="00F94130"/>
    <w:rsid w:val="00FB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F5C18A1-32E2-7E46-9886-A0D35283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0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今西　祐一</dc:creator>
  <cp:keywords/>
  <dc:description/>
  <cp:lastModifiedBy>今西　祐一</cp:lastModifiedBy>
  <cp:revision>3</cp:revision>
  <dcterms:created xsi:type="dcterms:W3CDTF">2023-03-27T03:21:00Z</dcterms:created>
  <dcterms:modified xsi:type="dcterms:W3CDTF">2023-03-27T06:01:00Z</dcterms:modified>
</cp:coreProperties>
</file>