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AB8C3" w14:textId="77777777" w:rsidR="00FE6E34" w:rsidRPr="00F85402" w:rsidRDefault="00FE6E34" w:rsidP="00FE6E34">
      <w:pPr>
        <w:jc w:val="both"/>
        <w:rPr>
          <w:rFonts w:ascii="Arial" w:hAnsi="Arial" w:cs="Arial"/>
          <w:b/>
          <w:color w:val="222222"/>
          <w:u w:val="single"/>
          <w:shd w:val="clear" w:color="auto" w:fill="FFFFFF"/>
        </w:rPr>
      </w:pPr>
      <w:r w:rsidRPr="00F85402">
        <w:rPr>
          <w:rFonts w:ascii="Arial" w:hAnsi="Arial" w:cs="Arial"/>
          <w:b/>
          <w:color w:val="222222"/>
          <w:u w:val="single"/>
          <w:shd w:val="clear" w:color="auto" w:fill="FFFFFF"/>
        </w:rPr>
        <w:t xml:space="preserve">Supplemental figures: </w:t>
      </w:r>
    </w:p>
    <w:p w14:paraId="580ECA9C" w14:textId="77777777" w:rsidR="00FE6E34" w:rsidRPr="00F85402" w:rsidRDefault="00FE6E34" w:rsidP="00FE6E34">
      <w:pPr>
        <w:jc w:val="both"/>
        <w:rPr>
          <w:rFonts w:ascii="Arial" w:hAnsi="Arial" w:cs="Arial"/>
          <w:b/>
          <w:color w:val="222222"/>
          <w:u w:val="single"/>
          <w:shd w:val="clear" w:color="auto" w:fill="FFFFFF"/>
        </w:rPr>
      </w:pPr>
    </w:p>
    <w:p w14:paraId="4A7F9E3C" w14:textId="77777777" w:rsidR="00FE6E34" w:rsidRPr="00F85402" w:rsidRDefault="00FE6E34" w:rsidP="00FE6E34">
      <w:pPr>
        <w:jc w:val="both"/>
        <w:rPr>
          <w:rFonts w:ascii="Arial" w:hAnsi="Arial" w:cs="Arial"/>
        </w:rPr>
      </w:pPr>
      <w:r w:rsidRPr="00F85402">
        <w:rPr>
          <w:rFonts w:ascii="Arial" w:hAnsi="Arial" w:cs="Arial"/>
          <w:b/>
          <w:color w:val="222222"/>
          <w:shd w:val="clear" w:color="auto" w:fill="FFFFFF"/>
        </w:rPr>
        <w:t xml:space="preserve">Supplemental figure 1: Genetic dynamics in EAC. (A) </w:t>
      </w:r>
      <w:r w:rsidRPr="00F85402">
        <w:rPr>
          <w:rFonts w:ascii="Arial" w:hAnsi="Arial" w:cs="Arial"/>
          <w:bCs/>
          <w:color w:val="222222"/>
          <w:shd w:val="clear" w:color="auto" w:fill="FFFFFF"/>
        </w:rPr>
        <w:t>Tumour cellularity of samples from different timepoints.</w:t>
      </w:r>
      <w:r w:rsidRPr="00F85402">
        <w:rPr>
          <w:rFonts w:ascii="Arial" w:hAnsi="Arial" w:cs="Arial"/>
          <w:b/>
          <w:color w:val="222222"/>
          <w:shd w:val="clear" w:color="auto" w:fill="FFFFFF"/>
        </w:rPr>
        <w:t xml:space="preserve"> </w:t>
      </w:r>
      <w:r w:rsidRPr="00F85402">
        <w:rPr>
          <w:rFonts w:ascii="Arial" w:hAnsi="Arial" w:cs="Arial"/>
          <w:bCs/>
          <w:color w:val="222222"/>
          <w:shd w:val="clear" w:color="auto" w:fill="FFFFFF"/>
        </w:rPr>
        <w:t xml:space="preserve">Tumour cellularity was estimated from whole exome sequencing data using </w:t>
      </w:r>
      <w:proofErr w:type="spellStart"/>
      <w:r w:rsidRPr="00F85402">
        <w:rPr>
          <w:rFonts w:ascii="Arial" w:hAnsi="Arial" w:cs="Arial"/>
          <w:bCs/>
          <w:color w:val="222222"/>
          <w:shd w:val="clear" w:color="auto" w:fill="FFFFFF"/>
        </w:rPr>
        <w:t>Sequenza</w:t>
      </w:r>
      <w:proofErr w:type="spellEnd"/>
      <w:r w:rsidRPr="00F85402">
        <w:rPr>
          <w:rFonts w:ascii="Arial" w:hAnsi="Arial" w:cs="Arial"/>
          <w:bCs/>
          <w:color w:val="222222"/>
          <w:shd w:val="clear" w:color="auto" w:fill="FFFFFF"/>
        </w:rPr>
        <w:t>.</w:t>
      </w:r>
      <w:r w:rsidRPr="00F85402">
        <w:rPr>
          <w:rFonts w:ascii="Arial" w:hAnsi="Arial" w:cs="Arial"/>
          <w:b/>
          <w:color w:val="222222"/>
          <w:shd w:val="clear" w:color="auto" w:fill="FFFFFF"/>
        </w:rPr>
        <w:t xml:space="preserve"> </w:t>
      </w:r>
      <w:r w:rsidRPr="04B025F0">
        <w:rPr>
          <w:rFonts w:ascii="Arial" w:hAnsi="Arial" w:cs="Arial"/>
        </w:rPr>
        <w:t>P values in panels are calculated by the Wilcoxon test.</w:t>
      </w:r>
      <w:r w:rsidRPr="00F85402">
        <w:rPr>
          <w:rFonts w:ascii="Arial" w:hAnsi="Arial" w:cs="Arial"/>
          <w:b/>
          <w:color w:val="222222"/>
          <w:shd w:val="clear" w:color="auto" w:fill="FFFFFF"/>
        </w:rPr>
        <w:t xml:space="preserve"> (B) </w:t>
      </w:r>
      <w:r>
        <w:rPr>
          <w:rFonts w:ascii="Arial" w:hAnsi="Arial" w:cs="Arial"/>
        </w:rPr>
        <w:t>Selected</w:t>
      </w:r>
      <w:r w:rsidRPr="00F85402">
        <w:rPr>
          <w:rFonts w:ascii="Arial" w:hAnsi="Arial" w:cs="Arial"/>
        </w:rPr>
        <w:t xml:space="preserve"> phylogenetic trees with clade length indicating the number of shared mutations between samples from the same patient. Timepoint of samples are annotated at the tip of the clades with the letters A-C. Number</w:t>
      </w:r>
      <w:r>
        <w:rPr>
          <w:rFonts w:ascii="Arial" w:hAnsi="Arial" w:cs="Arial"/>
        </w:rPr>
        <w:t>s</w:t>
      </w:r>
      <w:r w:rsidRPr="00F85402">
        <w:rPr>
          <w:rFonts w:ascii="Arial" w:hAnsi="Arial" w:cs="Arial"/>
        </w:rPr>
        <w:t xml:space="preserve"> at the nodes indicate</w:t>
      </w:r>
      <w:r w:rsidRPr="00F85402">
        <w:rPr>
          <w:rFonts w:ascii="Arial" w:hAnsi="Arial" w:cs="Arial"/>
          <w:color w:val="202124"/>
          <w:shd w:val="clear" w:color="auto" w:fill="FFFFFF"/>
        </w:rPr>
        <w:t> bootstrap value</w:t>
      </w:r>
      <w:r w:rsidRPr="00F85402">
        <w:rPr>
          <w:rFonts w:ascii="Arial" w:hAnsi="Arial" w:cs="Arial"/>
        </w:rPr>
        <w:t xml:space="preserve">s. EAC drivers harbouring mutations (without brackets) or indels (in squared brackets) and number of </w:t>
      </w:r>
      <w:proofErr w:type="spellStart"/>
      <w:r w:rsidRPr="00F85402">
        <w:rPr>
          <w:rFonts w:ascii="Arial" w:hAnsi="Arial" w:cs="Arial"/>
        </w:rPr>
        <w:t>neoantigenic</w:t>
      </w:r>
      <w:proofErr w:type="spellEnd"/>
      <w:r w:rsidRPr="00F85402">
        <w:rPr>
          <w:rFonts w:ascii="Arial" w:hAnsi="Arial" w:cs="Arial"/>
        </w:rPr>
        <w:t xml:space="preserve"> SNVs are annotated on the clades of the trees. RE: Responder, NR: Non-Responder, HI: homoplasy index, </w:t>
      </w:r>
      <w:proofErr w:type="spellStart"/>
      <w:r w:rsidRPr="00F85402">
        <w:rPr>
          <w:rFonts w:ascii="Arial" w:hAnsi="Arial" w:cs="Arial"/>
        </w:rPr>
        <w:t>NeoSNVs</w:t>
      </w:r>
      <w:proofErr w:type="spellEnd"/>
      <w:r w:rsidRPr="00F85402">
        <w:rPr>
          <w:rFonts w:ascii="Arial" w:hAnsi="Arial" w:cs="Arial"/>
        </w:rPr>
        <w:t xml:space="preserve">: </w:t>
      </w:r>
      <w:proofErr w:type="spellStart"/>
      <w:r w:rsidRPr="00F85402">
        <w:rPr>
          <w:rFonts w:ascii="Arial" w:hAnsi="Arial" w:cs="Arial"/>
        </w:rPr>
        <w:t>Neoantigenic</w:t>
      </w:r>
      <w:proofErr w:type="spellEnd"/>
      <w:r w:rsidRPr="00F85402">
        <w:rPr>
          <w:rFonts w:ascii="Arial" w:hAnsi="Arial" w:cs="Arial"/>
        </w:rPr>
        <w:t xml:space="preserve"> single-</w:t>
      </w:r>
      <w:proofErr w:type="spellStart"/>
      <w:r w:rsidRPr="00F85402">
        <w:rPr>
          <w:rFonts w:ascii="Arial" w:hAnsi="Arial" w:cs="Arial"/>
        </w:rPr>
        <w:t>nuceleotide</w:t>
      </w:r>
      <w:proofErr w:type="spellEnd"/>
      <w:r w:rsidRPr="00F85402">
        <w:rPr>
          <w:rFonts w:ascii="Arial" w:hAnsi="Arial" w:cs="Arial"/>
        </w:rPr>
        <w:t xml:space="preserve"> variant. </w:t>
      </w:r>
      <w:r w:rsidRPr="00F85402">
        <w:rPr>
          <w:rFonts w:ascii="Arial" w:hAnsi="Arial" w:cs="Arial"/>
          <w:b/>
          <w:bCs/>
        </w:rPr>
        <w:t>(C)</w:t>
      </w:r>
      <w:r w:rsidRPr="00F85402">
        <w:rPr>
          <w:rFonts w:ascii="Arial" w:hAnsi="Arial" w:cs="Arial"/>
        </w:rPr>
        <w:t xml:space="preserve"> </w:t>
      </w:r>
      <w:r w:rsidRPr="00F85402">
        <w:rPr>
          <w:rFonts w:ascii="Arial" w:hAnsi="Arial" w:cs="Arial"/>
          <w:bCs/>
          <w:color w:val="222222"/>
          <w:shd w:val="clear" w:color="auto" w:fill="FFFFFF"/>
        </w:rPr>
        <w:t xml:space="preserve">Plot shows COSMIC signature weights of individual samples from NR (left) and RE (right). </w:t>
      </w:r>
    </w:p>
    <w:p w14:paraId="1CE63C4A" w14:textId="77777777" w:rsidR="00FE6E34" w:rsidRPr="00F85402" w:rsidRDefault="00FE6E34" w:rsidP="00FE6E34">
      <w:pPr>
        <w:jc w:val="both"/>
        <w:rPr>
          <w:rFonts w:ascii="Arial" w:hAnsi="Arial" w:cs="Arial"/>
        </w:rPr>
      </w:pPr>
    </w:p>
    <w:p w14:paraId="47A3AA37" w14:textId="77777777" w:rsidR="00FE6E34" w:rsidRPr="00F85402" w:rsidRDefault="00FE6E34" w:rsidP="00FE6E34">
      <w:pPr>
        <w:jc w:val="both"/>
        <w:rPr>
          <w:rFonts w:ascii="Arial" w:hAnsi="Arial" w:cs="Arial"/>
        </w:rPr>
      </w:pPr>
      <w:r w:rsidRPr="00F85402">
        <w:rPr>
          <w:rFonts w:ascii="Arial" w:hAnsi="Arial" w:cs="Arial"/>
          <w:b/>
          <w:color w:val="222222"/>
          <w:shd w:val="clear" w:color="auto" w:fill="FFFFFF"/>
        </w:rPr>
        <w:t xml:space="preserve">Supplemental figure 2: Genetic alterations in 108 EAC driver genes in Responder. </w:t>
      </w:r>
      <w:r w:rsidRPr="00F85402">
        <w:rPr>
          <w:rFonts w:ascii="Arial" w:hAnsi="Arial" w:cs="Arial"/>
          <w:color w:val="222222"/>
          <w:shd w:val="clear" w:color="auto" w:fill="FFFFFF"/>
        </w:rPr>
        <w:t>Plot shows genetic alterations, including copy number alterations, SNVs and indels for 108 p</w:t>
      </w:r>
      <w:r w:rsidRPr="00F85402">
        <w:rPr>
          <w:rFonts w:ascii="Arial" w:hAnsi="Arial" w:cs="Arial"/>
        </w:rPr>
        <w:t xml:space="preserve">utative cancer driver genes identified by </w:t>
      </w:r>
      <w:proofErr w:type="spellStart"/>
      <w:r w:rsidRPr="00F85402">
        <w:rPr>
          <w:rFonts w:ascii="Arial" w:hAnsi="Arial" w:cs="Arial"/>
        </w:rPr>
        <w:t>IntOGen</w:t>
      </w:r>
      <w:proofErr w:type="spellEnd"/>
      <w:r w:rsidRPr="00F85402">
        <w:rPr>
          <w:rFonts w:ascii="Arial" w:hAnsi="Arial" w:cs="Arial"/>
        </w:rPr>
        <w:t xml:space="preserve">© in Responder patients. Each </w:t>
      </w:r>
      <w:r>
        <w:rPr>
          <w:rFonts w:ascii="Arial" w:hAnsi="Arial" w:cs="Arial"/>
        </w:rPr>
        <w:t xml:space="preserve">vertical </w:t>
      </w:r>
      <w:r w:rsidRPr="00F85402">
        <w:rPr>
          <w:rFonts w:ascii="Arial" w:hAnsi="Arial" w:cs="Arial"/>
        </w:rPr>
        <w:t xml:space="preserve">column represents a sample. Samples from the same patients are grouped together and patient ID is annotated at the top. Information on timepoint, cancer cellularity and the patient’s pathological regression grade treatment are found in the top three rows. The following rows show information on genetic alterations in EAC driver genes. Cellularity was defined as low (15-30%), medium (31-60%), or high (61-100%). Regression grades were evaluated by a pathologist according to Becker regression classification. </w:t>
      </w:r>
      <w:proofErr w:type="spellStart"/>
      <w:r w:rsidRPr="00F85402">
        <w:rPr>
          <w:rFonts w:ascii="Arial" w:hAnsi="Arial" w:cs="Arial"/>
        </w:rPr>
        <w:t>CNt</w:t>
      </w:r>
      <w:proofErr w:type="spellEnd"/>
      <w:r w:rsidRPr="00F85402">
        <w:rPr>
          <w:rFonts w:ascii="Arial" w:hAnsi="Arial" w:cs="Arial"/>
        </w:rPr>
        <w:t>: copy numbers, SNV: single nucleotide variant</w:t>
      </w:r>
      <w:r>
        <w:rPr>
          <w:rFonts w:ascii="Arial" w:hAnsi="Arial" w:cs="Arial"/>
        </w:rPr>
        <w:t xml:space="preserve">. </w:t>
      </w:r>
    </w:p>
    <w:p w14:paraId="6CC5D6D2" w14:textId="77777777" w:rsidR="00FE6E34" w:rsidRPr="00F85402" w:rsidRDefault="00FE6E34" w:rsidP="00FE6E34">
      <w:pPr>
        <w:jc w:val="both"/>
        <w:rPr>
          <w:rFonts w:ascii="Arial" w:hAnsi="Arial" w:cs="Arial"/>
          <w:b/>
          <w:color w:val="222222"/>
          <w:shd w:val="clear" w:color="auto" w:fill="FFFFFF"/>
        </w:rPr>
      </w:pPr>
    </w:p>
    <w:p w14:paraId="7CCF2421" w14:textId="77777777" w:rsidR="00FE6E34" w:rsidRPr="00F85402" w:rsidRDefault="00FE6E34" w:rsidP="00FE6E34">
      <w:pPr>
        <w:jc w:val="both"/>
        <w:rPr>
          <w:rFonts w:ascii="Arial" w:hAnsi="Arial" w:cs="Arial"/>
          <w:b/>
          <w:color w:val="222222"/>
          <w:shd w:val="clear" w:color="auto" w:fill="FFFFFF"/>
        </w:rPr>
      </w:pPr>
    </w:p>
    <w:p w14:paraId="31AA1148" w14:textId="77777777" w:rsidR="00FE6E34" w:rsidRPr="00F85402" w:rsidRDefault="00FE6E34" w:rsidP="00FE6E34">
      <w:pPr>
        <w:jc w:val="both"/>
        <w:rPr>
          <w:rFonts w:ascii="Arial" w:hAnsi="Arial" w:cs="Arial"/>
        </w:rPr>
      </w:pPr>
      <w:r w:rsidRPr="00F85402">
        <w:rPr>
          <w:rFonts w:ascii="Arial" w:hAnsi="Arial" w:cs="Arial"/>
          <w:b/>
          <w:color w:val="222222"/>
          <w:shd w:val="clear" w:color="auto" w:fill="FFFFFF"/>
        </w:rPr>
        <w:t xml:space="preserve">Supplemental figure 3: Genetic alterations in 108 EAC driver genes in </w:t>
      </w:r>
      <w:proofErr w:type="gramStart"/>
      <w:r w:rsidRPr="00F85402">
        <w:rPr>
          <w:rFonts w:ascii="Arial" w:hAnsi="Arial" w:cs="Arial"/>
          <w:b/>
          <w:color w:val="222222"/>
          <w:shd w:val="clear" w:color="auto" w:fill="FFFFFF"/>
        </w:rPr>
        <w:t>Non-Responder</w:t>
      </w:r>
      <w:proofErr w:type="gramEnd"/>
      <w:r w:rsidRPr="00F85402">
        <w:rPr>
          <w:rFonts w:ascii="Arial" w:hAnsi="Arial" w:cs="Arial"/>
          <w:b/>
          <w:color w:val="222222"/>
          <w:shd w:val="clear" w:color="auto" w:fill="FFFFFF"/>
        </w:rPr>
        <w:t xml:space="preserve">. </w:t>
      </w:r>
      <w:r w:rsidRPr="00F85402">
        <w:rPr>
          <w:rFonts w:ascii="Arial" w:hAnsi="Arial" w:cs="Arial"/>
          <w:color w:val="222222"/>
          <w:shd w:val="clear" w:color="auto" w:fill="FFFFFF"/>
        </w:rPr>
        <w:t>Plot shows genetic alterations, including copy number alterations, SNVs and indels for 108 p</w:t>
      </w:r>
      <w:r w:rsidRPr="00F85402">
        <w:rPr>
          <w:rFonts w:ascii="Arial" w:hAnsi="Arial" w:cs="Arial"/>
        </w:rPr>
        <w:t xml:space="preserve">utative cancer driver genes identified by </w:t>
      </w:r>
      <w:proofErr w:type="spellStart"/>
      <w:r w:rsidRPr="00F85402">
        <w:rPr>
          <w:rFonts w:ascii="Arial" w:hAnsi="Arial" w:cs="Arial"/>
        </w:rPr>
        <w:t>IntOGen</w:t>
      </w:r>
      <w:proofErr w:type="spellEnd"/>
      <w:r w:rsidRPr="00F85402">
        <w:rPr>
          <w:rFonts w:ascii="Arial" w:hAnsi="Arial" w:cs="Arial"/>
        </w:rPr>
        <w:t>©</w:t>
      </w:r>
      <w:r>
        <w:rPr>
          <w:rFonts w:ascii="Arial" w:hAnsi="Arial" w:cs="Arial"/>
        </w:rPr>
        <w:t xml:space="preserve"> </w:t>
      </w:r>
      <w:r w:rsidRPr="00F85402">
        <w:rPr>
          <w:rFonts w:ascii="Arial" w:hAnsi="Arial" w:cs="Arial"/>
        </w:rPr>
        <w:t xml:space="preserve">in </w:t>
      </w:r>
      <w:proofErr w:type="gramStart"/>
      <w:r w:rsidRPr="00F85402">
        <w:rPr>
          <w:rFonts w:ascii="Arial" w:hAnsi="Arial" w:cs="Arial"/>
        </w:rPr>
        <w:t>Non-Responder</w:t>
      </w:r>
      <w:proofErr w:type="gramEnd"/>
      <w:r w:rsidRPr="00F85402">
        <w:rPr>
          <w:rFonts w:ascii="Arial" w:hAnsi="Arial" w:cs="Arial"/>
        </w:rPr>
        <w:t xml:space="preserve"> patients. Each </w:t>
      </w:r>
      <w:r>
        <w:rPr>
          <w:rFonts w:ascii="Arial" w:hAnsi="Arial" w:cs="Arial"/>
        </w:rPr>
        <w:t xml:space="preserve">vertical </w:t>
      </w:r>
      <w:r w:rsidRPr="00F85402">
        <w:rPr>
          <w:rFonts w:ascii="Arial" w:hAnsi="Arial" w:cs="Arial"/>
        </w:rPr>
        <w:t>column represents a sample. Samples from the same patients are grouped together and patient ID is annotated at the top. Information on timepoint, cancer cellularity and the patient’s pathological regression grade treatment are found in the top three rows. The following rows show information on genetic alterations in EAC driver genes. Cellularity was defined as low (15-30%), medium (31-60%), or high (61-100%).</w:t>
      </w:r>
      <w:r>
        <w:rPr>
          <w:rFonts w:ascii="Arial" w:hAnsi="Arial" w:cs="Arial"/>
        </w:rPr>
        <w:t xml:space="preserve"> </w:t>
      </w:r>
      <w:r w:rsidRPr="00F85402">
        <w:rPr>
          <w:rFonts w:ascii="Arial" w:hAnsi="Arial" w:cs="Arial"/>
        </w:rPr>
        <w:t xml:space="preserve">Regression grades were evaluated by a pathologist according to Becker regression classification. </w:t>
      </w:r>
      <w:proofErr w:type="spellStart"/>
      <w:r w:rsidRPr="00F85402">
        <w:rPr>
          <w:rFonts w:ascii="Arial" w:hAnsi="Arial" w:cs="Arial"/>
        </w:rPr>
        <w:t>CNt</w:t>
      </w:r>
      <w:proofErr w:type="spellEnd"/>
      <w:r w:rsidRPr="00F85402">
        <w:rPr>
          <w:rFonts w:ascii="Arial" w:hAnsi="Arial" w:cs="Arial"/>
        </w:rPr>
        <w:t>: copy numbers, SNV: single nucleotide variant</w:t>
      </w:r>
    </w:p>
    <w:p w14:paraId="6465C468" w14:textId="77777777" w:rsidR="00FE6E34" w:rsidRPr="00F85402" w:rsidRDefault="00FE6E34" w:rsidP="00FE6E34">
      <w:pPr>
        <w:jc w:val="both"/>
        <w:rPr>
          <w:rFonts w:ascii="Arial" w:hAnsi="Arial" w:cs="Arial"/>
          <w:b/>
          <w:color w:val="222222"/>
          <w:shd w:val="clear" w:color="auto" w:fill="FFFFFF"/>
        </w:rPr>
      </w:pPr>
    </w:p>
    <w:p w14:paraId="2F2CAE09" w14:textId="77777777" w:rsidR="00FE6E34" w:rsidRPr="00F85402" w:rsidRDefault="00FE6E34" w:rsidP="00FE6E34">
      <w:pPr>
        <w:jc w:val="both"/>
        <w:rPr>
          <w:rFonts w:ascii="Arial" w:hAnsi="Arial" w:cs="Arial"/>
          <w:b/>
          <w:color w:val="222222"/>
          <w:shd w:val="clear" w:color="auto" w:fill="FFFFFF"/>
        </w:rPr>
      </w:pPr>
    </w:p>
    <w:p w14:paraId="601D6A75" w14:textId="77777777" w:rsidR="00FE6E34" w:rsidRPr="00F85402" w:rsidRDefault="00FE6E34" w:rsidP="00FE6E34">
      <w:pPr>
        <w:jc w:val="both"/>
        <w:rPr>
          <w:rFonts w:ascii="Arial" w:hAnsi="Arial" w:cs="Arial"/>
          <w:b/>
          <w:color w:val="222222"/>
          <w:shd w:val="clear" w:color="auto" w:fill="FFFFFF"/>
        </w:rPr>
      </w:pPr>
    </w:p>
    <w:p w14:paraId="6389E684" w14:textId="77777777" w:rsidR="00FE6E34" w:rsidRPr="00F85402" w:rsidRDefault="00FE6E34" w:rsidP="00FE6E34">
      <w:pPr>
        <w:jc w:val="both"/>
        <w:rPr>
          <w:rFonts w:ascii="Arial" w:hAnsi="Arial" w:cs="Arial"/>
          <w:color w:val="222222"/>
          <w:shd w:val="clear" w:color="auto" w:fill="FFFFFF"/>
        </w:rPr>
      </w:pPr>
      <w:r w:rsidRPr="00F85402">
        <w:rPr>
          <w:rFonts w:ascii="Arial" w:hAnsi="Arial" w:cs="Arial"/>
          <w:b/>
          <w:color w:val="222222"/>
          <w:shd w:val="clear" w:color="auto" w:fill="FFFFFF"/>
        </w:rPr>
        <w:t xml:space="preserve">Supplemental figure 4: Genetic dynamics and expression of EAC driver genes during treatment. </w:t>
      </w:r>
      <w:r w:rsidRPr="00DC1736">
        <w:rPr>
          <w:rFonts w:ascii="Arial" w:hAnsi="Arial" w:cs="Arial"/>
          <w:bCs/>
          <w:color w:val="222222"/>
          <w:shd w:val="clear" w:color="auto" w:fill="FFFFFF"/>
        </w:rPr>
        <w:t>Number of altered</w:t>
      </w:r>
      <w:r w:rsidRPr="00F85402">
        <w:rPr>
          <w:rFonts w:ascii="Arial" w:hAnsi="Arial" w:cs="Arial"/>
          <w:b/>
          <w:color w:val="222222"/>
          <w:shd w:val="clear" w:color="auto" w:fill="FFFFFF"/>
        </w:rPr>
        <w:t xml:space="preserve"> </w:t>
      </w:r>
      <w:r w:rsidRPr="00F85402">
        <w:rPr>
          <w:rFonts w:ascii="Arial" w:hAnsi="Arial" w:cs="Arial"/>
          <w:bCs/>
          <w:color w:val="222222"/>
          <w:shd w:val="clear" w:color="auto" w:fill="FFFFFF"/>
        </w:rPr>
        <w:t>(CNA, SNV or indel</w:t>
      </w:r>
      <w:r w:rsidRPr="00DC1736">
        <w:rPr>
          <w:rFonts w:ascii="Arial" w:hAnsi="Arial" w:cs="Arial"/>
          <w:bCs/>
          <w:color w:val="222222"/>
          <w:shd w:val="clear" w:color="auto" w:fill="FFFFFF"/>
        </w:rPr>
        <w:t xml:space="preserve">) </w:t>
      </w:r>
      <w:r w:rsidRPr="00562960">
        <w:rPr>
          <w:rFonts w:ascii="Arial" w:hAnsi="Arial" w:cs="Arial"/>
          <w:bCs/>
          <w:color w:val="222222"/>
          <w:shd w:val="clear" w:color="auto" w:fill="FFFFFF"/>
        </w:rPr>
        <w:t>g</w:t>
      </w:r>
      <w:r w:rsidRPr="00F85402">
        <w:rPr>
          <w:rFonts w:ascii="Arial" w:hAnsi="Arial" w:cs="Arial"/>
          <w:bCs/>
          <w:color w:val="222222"/>
          <w:shd w:val="clear" w:color="auto" w:fill="FFFFFF"/>
        </w:rPr>
        <w:t xml:space="preserve">enes from 108 EAC drivers in </w:t>
      </w:r>
      <w:r w:rsidRPr="00F85402">
        <w:rPr>
          <w:rFonts w:ascii="Arial" w:hAnsi="Arial" w:cs="Arial"/>
          <w:b/>
          <w:color w:val="222222"/>
          <w:shd w:val="clear" w:color="auto" w:fill="FFFFFF"/>
        </w:rPr>
        <w:t>(A)</w:t>
      </w:r>
      <w:r w:rsidRPr="00F85402">
        <w:rPr>
          <w:rFonts w:ascii="Arial" w:hAnsi="Arial" w:cs="Arial"/>
          <w:bCs/>
          <w:color w:val="222222"/>
          <w:shd w:val="clear" w:color="auto" w:fill="FFFFFF"/>
        </w:rPr>
        <w:t xml:space="preserve"> the overall cohort, </w:t>
      </w:r>
      <w:r w:rsidRPr="00F85402">
        <w:rPr>
          <w:rFonts w:ascii="Arial" w:hAnsi="Arial" w:cs="Arial"/>
          <w:b/>
          <w:color w:val="222222"/>
          <w:shd w:val="clear" w:color="auto" w:fill="FFFFFF"/>
        </w:rPr>
        <w:t>(B)</w:t>
      </w:r>
      <w:r w:rsidRPr="00F85402">
        <w:rPr>
          <w:rFonts w:ascii="Arial" w:hAnsi="Arial" w:cs="Arial"/>
          <w:bCs/>
          <w:color w:val="222222"/>
          <w:shd w:val="clear" w:color="auto" w:fill="FFFFFF"/>
        </w:rPr>
        <w:t xml:space="preserve"> Non-Responder (left) and Responder (right). Number of driver genes with CNAs </w:t>
      </w:r>
      <w:r w:rsidRPr="00F85402">
        <w:rPr>
          <w:rFonts w:ascii="Arial" w:hAnsi="Arial" w:cs="Arial"/>
          <w:b/>
          <w:color w:val="222222"/>
          <w:shd w:val="clear" w:color="auto" w:fill="FFFFFF"/>
        </w:rPr>
        <w:t xml:space="preserve">(C) </w:t>
      </w:r>
      <w:r w:rsidRPr="00F85402">
        <w:rPr>
          <w:rFonts w:ascii="Arial" w:hAnsi="Arial" w:cs="Arial"/>
          <w:bCs/>
          <w:color w:val="222222"/>
          <w:shd w:val="clear" w:color="auto" w:fill="FFFFFF"/>
        </w:rPr>
        <w:t xml:space="preserve">in the overall cohort, </w:t>
      </w:r>
      <w:r w:rsidRPr="00F85402">
        <w:rPr>
          <w:rFonts w:ascii="Arial" w:hAnsi="Arial" w:cs="Arial"/>
          <w:b/>
          <w:color w:val="222222"/>
          <w:shd w:val="clear" w:color="auto" w:fill="FFFFFF"/>
        </w:rPr>
        <w:t xml:space="preserve">(D) </w:t>
      </w:r>
      <w:r w:rsidRPr="00F85402">
        <w:rPr>
          <w:rFonts w:ascii="Arial" w:hAnsi="Arial" w:cs="Arial"/>
          <w:bCs/>
          <w:color w:val="222222"/>
          <w:shd w:val="clear" w:color="auto" w:fill="FFFFFF"/>
        </w:rPr>
        <w:t xml:space="preserve">in Non-Responder (left) and Responder (right). Number of driver genes with SNVs or indels </w:t>
      </w:r>
      <w:r w:rsidRPr="00F85402">
        <w:rPr>
          <w:rFonts w:ascii="Arial" w:hAnsi="Arial" w:cs="Arial"/>
          <w:b/>
          <w:color w:val="222222"/>
          <w:shd w:val="clear" w:color="auto" w:fill="FFFFFF"/>
        </w:rPr>
        <w:t xml:space="preserve">(E) </w:t>
      </w:r>
      <w:r w:rsidRPr="00F85402">
        <w:rPr>
          <w:rFonts w:ascii="Arial" w:hAnsi="Arial" w:cs="Arial"/>
          <w:bCs/>
          <w:color w:val="222222"/>
          <w:shd w:val="clear" w:color="auto" w:fill="FFFFFF"/>
        </w:rPr>
        <w:t xml:space="preserve">in the overall cohort, </w:t>
      </w:r>
      <w:r w:rsidRPr="00F85402">
        <w:rPr>
          <w:rFonts w:ascii="Arial" w:hAnsi="Arial" w:cs="Arial"/>
          <w:b/>
          <w:color w:val="222222"/>
          <w:shd w:val="clear" w:color="auto" w:fill="FFFFFF"/>
        </w:rPr>
        <w:t>(F)</w:t>
      </w:r>
      <w:r w:rsidRPr="00F85402">
        <w:rPr>
          <w:rFonts w:ascii="Arial" w:hAnsi="Arial" w:cs="Arial"/>
          <w:bCs/>
          <w:color w:val="222222"/>
          <w:shd w:val="clear" w:color="auto" w:fill="FFFFFF"/>
        </w:rPr>
        <w:t xml:space="preserve"> in Non-Responder (left) and Responder (right). </w:t>
      </w:r>
      <w:r w:rsidRPr="04B025F0">
        <w:rPr>
          <w:rFonts w:ascii="Arial" w:hAnsi="Arial" w:cs="Arial"/>
        </w:rPr>
        <w:t>P values in panels are calculated by the Wilcoxon test.</w:t>
      </w:r>
      <w:r w:rsidRPr="00F85402">
        <w:rPr>
          <w:rFonts w:ascii="Arial" w:hAnsi="Arial" w:cs="Arial"/>
          <w:color w:val="222222"/>
          <w:shd w:val="clear" w:color="auto" w:fill="FFFFFF"/>
        </w:rPr>
        <w:t xml:space="preserve"> </w:t>
      </w:r>
      <w:r w:rsidRPr="00F85402">
        <w:rPr>
          <w:rFonts w:ascii="Arial" w:hAnsi="Arial" w:cs="Arial"/>
          <w:b/>
          <w:bCs/>
          <w:color w:val="222222"/>
          <w:shd w:val="clear" w:color="auto" w:fill="FFFFFF"/>
        </w:rPr>
        <w:t xml:space="preserve">(G) </w:t>
      </w:r>
      <w:r w:rsidRPr="00F85402">
        <w:rPr>
          <w:rFonts w:ascii="Arial" w:hAnsi="Arial" w:cs="Arial"/>
          <w:color w:val="222222"/>
          <w:shd w:val="clear" w:color="auto" w:fill="FFFFFF"/>
        </w:rPr>
        <w:t xml:space="preserve">Violin plots show expression of 16 high frequency EAC driver genes </w:t>
      </w:r>
      <w:r w:rsidRPr="00F85402">
        <w:rPr>
          <w:rFonts w:ascii="Arial" w:hAnsi="Arial" w:cs="Arial"/>
          <w:color w:val="222222"/>
          <w:shd w:val="clear" w:color="auto" w:fill="FFFFFF"/>
        </w:rPr>
        <w:lastRenderedPageBreak/>
        <w:t xml:space="preserve">during neoadjuvant treatment. </w:t>
      </w:r>
      <w:r w:rsidRPr="04B025F0">
        <w:rPr>
          <w:rFonts w:ascii="Arial" w:hAnsi="Arial" w:cs="Arial"/>
        </w:rPr>
        <w:t>P values in panels are calculated by the Wilcoxon test.</w:t>
      </w:r>
      <w:r w:rsidRPr="00F85402">
        <w:rPr>
          <w:rFonts w:ascii="Arial" w:hAnsi="Arial" w:cs="Arial"/>
          <w:color w:val="222222"/>
          <w:shd w:val="clear" w:color="auto" w:fill="FFFFFF"/>
        </w:rPr>
        <w:t xml:space="preserve"> </w:t>
      </w:r>
      <w:proofErr w:type="spellStart"/>
      <w:r w:rsidRPr="00F85402">
        <w:rPr>
          <w:rFonts w:ascii="Arial" w:hAnsi="Arial" w:cs="Arial"/>
          <w:color w:val="222222"/>
          <w:shd w:val="clear" w:color="auto" w:fill="FFFFFF"/>
        </w:rPr>
        <w:t>cpm</w:t>
      </w:r>
      <w:proofErr w:type="spellEnd"/>
      <w:r w:rsidRPr="00F85402">
        <w:rPr>
          <w:rFonts w:ascii="Arial" w:hAnsi="Arial" w:cs="Arial"/>
          <w:color w:val="222222"/>
          <w:shd w:val="clear" w:color="auto" w:fill="FFFFFF"/>
        </w:rPr>
        <w:t xml:space="preserve">: counts per </w:t>
      </w:r>
      <w:proofErr w:type="gramStart"/>
      <w:r w:rsidRPr="00F85402">
        <w:rPr>
          <w:rFonts w:ascii="Arial" w:hAnsi="Arial" w:cs="Arial"/>
          <w:color w:val="222222"/>
          <w:shd w:val="clear" w:color="auto" w:fill="FFFFFF"/>
        </w:rPr>
        <w:t>million</w:t>
      </w:r>
      <w:proofErr w:type="gramEnd"/>
    </w:p>
    <w:p w14:paraId="3C5D31E4" w14:textId="77777777" w:rsidR="00FE6E34" w:rsidRPr="00F85402" w:rsidRDefault="00FE6E34" w:rsidP="00FE6E34">
      <w:pPr>
        <w:jc w:val="both"/>
        <w:rPr>
          <w:rFonts w:ascii="Arial" w:hAnsi="Arial" w:cs="Arial"/>
          <w:b/>
          <w:color w:val="222222"/>
          <w:shd w:val="clear" w:color="auto" w:fill="FFFFFF"/>
        </w:rPr>
      </w:pPr>
    </w:p>
    <w:p w14:paraId="5E4FCCCC" w14:textId="77777777" w:rsidR="00FE6E34" w:rsidRPr="00F85402" w:rsidRDefault="00FE6E34" w:rsidP="00FE6E34">
      <w:pPr>
        <w:jc w:val="both"/>
        <w:rPr>
          <w:rFonts w:ascii="Arial" w:hAnsi="Arial" w:cs="Arial"/>
          <w:b/>
          <w:color w:val="222222"/>
          <w:shd w:val="clear" w:color="auto" w:fill="FFFFFF"/>
        </w:rPr>
      </w:pPr>
    </w:p>
    <w:p w14:paraId="36708733" w14:textId="77777777" w:rsidR="00FE6E34" w:rsidRPr="00F85402" w:rsidRDefault="00FE6E34" w:rsidP="00FE6E34">
      <w:pPr>
        <w:jc w:val="both"/>
        <w:rPr>
          <w:rFonts w:ascii="Arial" w:hAnsi="Arial" w:cs="Arial"/>
          <w:color w:val="222222"/>
          <w:shd w:val="clear" w:color="auto" w:fill="FFFFFF"/>
        </w:rPr>
      </w:pPr>
      <w:r w:rsidRPr="00F85402">
        <w:rPr>
          <w:rFonts w:ascii="Arial" w:hAnsi="Arial" w:cs="Arial"/>
          <w:b/>
          <w:color w:val="222222"/>
          <w:shd w:val="clear" w:color="auto" w:fill="FFFFFF"/>
        </w:rPr>
        <w:t>Supplemental figure 5: Correlations between copy number state</w:t>
      </w:r>
      <w:r>
        <w:rPr>
          <w:rFonts w:ascii="Arial" w:hAnsi="Arial" w:cs="Arial"/>
          <w:b/>
          <w:color w:val="222222"/>
          <w:shd w:val="clear" w:color="auto" w:fill="FFFFFF"/>
        </w:rPr>
        <w:t xml:space="preserve">/ mutational status </w:t>
      </w:r>
      <w:r w:rsidRPr="00F85402">
        <w:rPr>
          <w:rFonts w:ascii="Arial" w:hAnsi="Arial" w:cs="Arial"/>
          <w:b/>
          <w:color w:val="222222"/>
          <w:shd w:val="clear" w:color="auto" w:fill="FFFFFF"/>
        </w:rPr>
        <w:t xml:space="preserve">and gene expression in high frequency EAC driver genes. </w:t>
      </w:r>
      <w:r>
        <w:rPr>
          <w:rFonts w:ascii="Arial" w:hAnsi="Arial" w:cs="Arial"/>
          <w:b/>
          <w:color w:val="222222"/>
          <w:shd w:val="clear" w:color="auto" w:fill="FFFFFF"/>
        </w:rPr>
        <w:t xml:space="preserve">(A) </w:t>
      </w:r>
      <w:r w:rsidRPr="00F85402">
        <w:rPr>
          <w:rFonts w:ascii="Arial" w:hAnsi="Arial" w:cs="Arial"/>
          <w:bCs/>
          <w:color w:val="222222"/>
          <w:shd w:val="clear" w:color="auto" w:fill="FFFFFF"/>
        </w:rPr>
        <w:t>Plot shows correlations between copy number states and</w:t>
      </w:r>
      <w:r>
        <w:rPr>
          <w:rFonts w:ascii="Arial" w:hAnsi="Arial" w:cs="Arial"/>
          <w:bCs/>
          <w:color w:val="222222"/>
          <w:shd w:val="clear" w:color="auto" w:fill="FFFFFF"/>
        </w:rPr>
        <w:t xml:space="preserve"> tumour cellularity adjusted </w:t>
      </w:r>
      <w:r w:rsidRPr="00F85402">
        <w:rPr>
          <w:rFonts w:ascii="Arial" w:hAnsi="Arial" w:cs="Arial"/>
          <w:bCs/>
          <w:color w:val="222222"/>
          <w:shd w:val="clear" w:color="auto" w:fill="FFFFFF"/>
        </w:rPr>
        <w:t>RNA expression in 15 high frequency EAC driver genes. RNA expression was adjusted for tumour cellularity estimated by GI pathologist. Correlations wer</w:t>
      </w:r>
      <w:r w:rsidRPr="00F85402">
        <w:rPr>
          <w:rFonts w:ascii="Arial" w:hAnsi="Arial" w:cs="Arial"/>
          <w:color w:val="222222"/>
          <w:shd w:val="clear" w:color="auto" w:fill="FFFFFF"/>
        </w:rPr>
        <w:t xml:space="preserve">e calculated using Pearson correlation. CNS: copy number state. </w:t>
      </w:r>
      <w:r>
        <w:rPr>
          <w:rFonts w:ascii="Arial" w:hAnsi="Arial" w:cs="Arial"/>
          <w:color w:val="222222"/>
          <w:shd w:val="clear" w:color="auto" w:fill="FFFFFF"/>
        </w:rPr>
        <w:t xml:space="preserve">(B) </w:t>
      </w:r>
      <w:r w:rsidRPr="00DC1736">
        <w:rPr>
          <w:rFonts w:ascii="Arial" w:hAnsi="Arial" w:cs="Arial"/>
          <w:color w:val="222222"/>
        </w:rPr>
        <w:t>Violin plot</w:t>
      </w:r>
      <w:r w:rsidRPr="04B025F0">
        <w:rPr>
          <w:rFonts w:ascii="Arial" w:hAnsi="Arial" w:cs="Arial"/>
          <w:color w:val="222222"/>
        </w:rPr>
        <w:t>s</w:t>
      </w:r>
      <w:r w:rsidRPr="00DC1736">
        <w:rPr>
          <w:rFonts w:ascii="Arial" w:hAnsi="Arial" w:cs="Arial"/>
          <w:color w:val="222222"/>
        </w:rPr>
        <w:t xml:space="preserve"> showing </w:t>
      </w:r>
      <w:r>
        <w:rPr>
          <w:rFonts w:ascii="Arial" w:hAnsi="Arial" w:cs="Arial"/>
          <w:bCs/>
          <w:color w:val="222222"/>
          <w:shd w:val="clear" w:color="auto" w:fill="FFFFFF"/>
        </w:rPr>
        <w:t xml:space="preserve">cellularity adjusted </w:t>
      </w:r>
      <w:r w:rsidRPr="00F85402">
        <w:rPr>
          <w:rFonts w:ascii="Arial" w:hAnsi="Arial" w:cs="Arial"/>
          <w:bCs/>
          <w:color w:val="222222"/>
          <w:shd w:val="clear" w:color="auto" w:fill="FFFFFF"/>
        </w:rPr>
        <w:t>RNA</w:t>
      </w:r>
      <w:r>
        <w:rPr>
          <w:rFonts w:ascii="Arial" w:hAnsi="Arial" w:cs="Arial"/>
          <w:bCs/>
          <w:color w:val="222222"/>
          <w:shd w:val="clear" w:color="auto" w:fill="FFFFFF"/>
        </w:rPr>
        <w:t xml:space="preserve"> </w:t>
      </w:r>
      <w:r w:rsidRPr="00F85402">
        <w:rPr>
          <w:rFonts w:ascii="Arial" w:hAnsi="Arial" w:cs="Arial"/>
          <w:bCs/>
          <w:color w:val="222222"/>
          <w:shd w:val="clear" w:color="auto" w:fill="FFFFFF"/>
        </w:rPr>
        <w:t>expression</w:t>
      </w:r>
      <w:r>
        <w:rPr>
          <w:rFonts w:ascii="Arial" w:hAnsi="Arial" w:cs="Arial"/>
          <w:bCs/>
          <w:color w:val="222222"/>
          <w:shd w:val="clear" w:color="auto" w:fill="FFFFFF"/>
        </w:rPr>
        <w:t xml:space="preserve">s of CDKN2A/ TP53 in CDKN2A/ TP53 mutated and non-mutated samples. </w:t>
      </w:r>
      <w:r w:rsidRPr="04B025F0">
        <w:rPr>
          <w:rFonts w:ascii="Arial" w:hAnsi="Arial" w:cs="Arial"/>
        </w:rPr>
        <w:t>P values are calculated by the Wilcoxon test.</w:t>
      </w:r>
    </w:p>
    <w:p w14:paraId="15FF883F" w14:textId="77777777" w:rsidR="00FE6E34" w:rsidRPr="00F85402" w:rsidRDefault="00FE6E34" w:rsidP="00FE6E34">
      <w:pPr>
        <w:jc w:val="both"/>
        <w:rPr>
          <w:rFonts w:ascii="Arial" w:hAnsi="Arial" w:cs="Arial"/>
          <w:color w:val="222222"/>
          <w:shd w:val="clear" w:color="auto" w:fill="FFFFFF"/>
        </w:rPr>
      </w:pPr>
    </w:p>
    <w:p w14:paraId="071A8EC4" w14:textId="77777777" w:rsidR="00FE6E34" w:rsidRPr="00F85402" w:rsidRDefault="00FE6E34" w:rsidP="00FE6E34">
      <w:pPr>
        <w:jc w:val="both"/>
        <w:rPr>
          <w:rFonts w:ascii="Arial" w:hAnsi="Arial" w:cs="Arial"/>
          <w:b/>
          <w:color w:val="222222"/>
          <w:shd w:val="clear" w:color="auto" w:fill="FFFFFF"/>
        </w:rPr>
      </w:pPr>
    </w:p>
    <w:p w14:paraId="20E39952" w14:textId="77777777" w:rsidR="00FE6E34" w:rsidRPr="00F85402" w:rsidRDefault="00FE6E34" w:rsidP="00FE6E34">
      <w:pPr>
        <w:jc w:val="both"/>
        <w:rPr>
          <w:rFonts w:ascii="Arial" w:hAnsi="Arial" w:cs="Arial"/>
          <w:b/>
          <w:color w:val="222222"/>
          <w:shd w:val="clear" w:color="auto" w:fill="FFFFFF"/>
        </w:rPr>
      </w:pPr>
      <w:r w:rsidRPr="00F85402">
        <w:rPr>
          <w:rFonts w:ascii="Arial" w:hAnsi="Arial" w:cs="Arial"/>
          <w:b/>
          <w:color w:val="222222"/>
          <w:shd w:val="clear" w:color="auto" w:fill="FFFFFF"/>
        </w:rPr>
        <w:t xml:space="preserve">Supplemental figure 6: Immune cell dynamics in EAC during treatment: </w:t>
      </w:r>
    </w:p>
    <w:p w14:paraId="567DA765" w14:textId="77777777" w:rsidR="00FE6E34" w:rsidRPr="00F85402" w:rsidRDefault="00FE6E34" w:rsidP="00FE6E34">
      <w:pPr>
        <w:jc w:val="both"/>
        <w:rPr>
          <w:rFonts w:ascii="Arial" w:hAnsi="Arial" w:cs="Arial"/>
          <w:bCs/>
          <w:color w:val="222222"/>
          <w:shd w:val="clear" w:color="auto" w:fill="FFFFFF"/>
        </w:rPr>
      </w:pPr>
      <w:r w:rsidRPr="00F85402">
        <w:rPr>
          <w:rFonts w:ascii="Arial" w:hAnsi="Arial" w:cs="Arial"/>
          <w:b/>
          <w:color w:val="222222"/>
          <w:shd w:val="clear" w:color="auto" w:fill="FFFFFF"/>
        </w:rPr>
        <w:t>(A)</w:t>
      </w:r>
      <w:r w:rsidRPr="00F85402">
        <w:rPr>
          <w:rFonts w:ascii="Arial" w:hAnsi="Arial" w:cs="Arial"/>
          <w:bCs/>
          <w:color w:val="222222"/>
          <w:shd w:val="clear" w:color="auto" w:fill="FFFFFF"/>
        </w:rPr>
        <w:t xml:space="preserve"> Plot shows immune cell scores for different immune cell types deconvoluted from RNA expression data using CIBERSORT. </w:t>
      </w:r>
      <w:r w:rsidRPr="00F85402">
        <w:rPr>
          <w:rFonts w:ascii="Arial" w:hAnsi="Arial" w:cs="Arial"/>
          <w:b/>
          <w:color w:val="222222"/>
          <w:shd w:val="clear" w:color="auto" w:fill="FFFFFF"/>
        </w:rPr>
        <w:t>(B)</w:t>
      </w:r>
      <w:r w:rsidRPr="00F85402">
        <w:rPr>
          <w:rFonts w:ascii="Arial" w:hAnsi="Arial" w:cs="Arial"/>
          <w:bCs/>
          <w:color w:val="222222"/>
          <w:shd w:val="clear" w:color="auto" w:fill="FFFFFF"/>
        </w:rPr>
        <w:t xml:space="preserve"> Plot shows immune cell scores for different immune cell types deconvoluted from RNA expression data using </w:t>
      </w:r>
      <w:proofErr w:type="spellStart"/>
      <w:r w:rsidRPr="00F85402">
        <w:rPr>
          <w:rFonts w:ascii="Arial" w:hAnsi="Arial" w:cs="Arial"/>
          <w:bCs/>
          <w:color w:val="222222"/>
          <w:shd w:val="clear" w:color="auto" w:fill="FFFFFF"/>
        </w:rPr>
        <w:t>Consensus</w:t>
      </w:r>
      <w:r w:rsidRPr="00F85402">
        <w:rPr>
          <w:rFonts w:ascii="Arial" w:hAnsi="Arial" w:cs="Arial"/>
          <w:bCs/>
          <w:color w:val="222222"/>
          <w:shd w:val="clear" w:color="auto" w:fill="FFFFFF"/>
          <w:vertAlign w:val="superscript"/>
        </w:rPr>
        <w:t>TME</w:t>
      </w:r>
      <w:proofErr w:type="spellEnd"/>
      <w:r w:rsidRPr="00F85402">
        <w:rPr>
          <w:rFonts w:ascii="Arial" w:hAnsi="Arial" w:cs="Arial"/>
          <w:bCs/>
          <w:color w:val="222222"/>
          <w:shd w:val="clear" w:color="auto" w:fill="FFFFFF"/>
        </w:rPr>
        <w:t xml:space="preserve">. </w:t>
      </w:r>
      <w:r w:rsidRPr="00F85402">
        <w:rPr>
          <w:rFonts w:ascii="Arial" w:hAnsi="Arial" w:cs="Arial"/>
          <w:b/>
          <w:color w:val="222222"/>
          <w:shd w:val="clear" w:color="auto" w:fill="FFFFFF"/>
        </w:rPr>
        <w:t>(C)</w:t>
      </w:r>
      <w:r w:rsidRPr="00F85402">
        <w:rPr>
          <w:rFonts w:ascii="Arial" w:hAnsi="Arial" w:cs="Arial"/>
          <w:bCs/>
          <w:color w:val="222222"/>
          <w:shd w:val="clear" w:color="auto" w:fill="FFFFFF"/>
        </w:rPr>
        <w:t xml:space="preserve"> Plot</w:t>
      </w:r>
      <w:r>
        <w:rPr>
          <w:rFonts w:ascii="Arial" w:hAnsi="Arial" w:cs="Arial"/>
          <w:bCs/>
          <w:color w:val="222222"/>
          <w:shd w:val="clear" w:color="auto" w:fill="FFFFFF"/>
        </w:rPr>
        <w:t>s</w:t>
      </w:r>
      <w:r w:rsidRPr="00F85402">
        <w:rPr>
          <w:rFonts w:ascii="Arial" w:hAnsi="Arial" w:cs="Arial"/>
          <w:bCs/>
          <w:color w:val="222222"/>
          <w:shd w:val="clear" w:color="auto" w:fill="FFFFFF"/>
        </w:rPr>
        <w:t xml:space="preserve"> show </w:t>
      </w:r>
      <w:r>
        <w:rPr>
          <w:rFonts w:ascii="Arial" w:hAnsi="Arial" w:cs="Arial"/>
          <w:bCs/>
          <w:color w:val="222222"/>
          <w:shd w:val="clear" w:color="auto" w:fill="FFFFFF"/>
        </w:rPr>
        <w:t xml:space="preserve">normalized </w:t>
      </w:r>
      <w:r w:rsidRPr="00F85402">
        <w:rPr>
          <w:rFonts w:ascii="Arial" w:hAnsi="Arial" w:cs="Arial"/>
          <w:bCs/>
          <w:color w:val="222222"/>
          <w:shd w:val="clear" w:color="auto" w:fill="FFFFFF"/>
        </w:rPr>
        <w:t xml:space="preserve">odds ratios for different immune cell types deconvoluted from RNA expression data using </w:t>
      </w:r>
      <w:proofErr w:type="spellStart"/>
      <w:r w:rsidRPr="00F85402">
        <w:rPr>
          <w:rFonts w:ascii="Arial" w:hAnsi="Arial" w:cs="Arial"/>
          <w:bCs/>
          <w:color w:val="222222"/>
          <w:shd w:val="clear" w:color="auto" w:fill="FFFFFF"/>
        </w:rPr>
        <w:t>Syllogist</w:t>
      </w:r>
      <w:proofErr w:type="spellEnd"/>
      <w:r w:rsidRPr="00F85402">
        <w:rPr>
          <w:rFonts w:ascii="Arial" w:hAnsi="Arial" w:cs="Arial"/>
          <w:bCs/>
          <w:color w:val="222222"/>
          <w:shd w:val="clear" w:color="auto" w:fill="FFFFFF"/>
        </w:rPr>
        <w:t xml:space="preserve">. </w:t>
      </w:r>
      <w:r w:rsidRPr="00F85402">
        <w:rPr>
          <w:rFonts w:ascii="Arial" w:hAnsi="Arial" w:cs="Arial"/>
          <w:b/>
          <w:bCs/>
        </w:rPr>
        <w:t>(D)</w:t>
      </w:r>
      <w:r w:rsidRPr="00F85402">
        <w:rPr>
          <w:rFonts w:ascii="Arial" w:hAnsi="Arial" w:cs="Arial"/>
        </w:rPr>
        <w:t xml:space="preserve"> Exemplary visualization of indicated marker expression and DNA (blue) from IMC data. </w:t>
      </w:r>
      <w:r w:rsidRPr="00F85402">
        <w:rPr>
          <w:rFonts w:ascii="Arial" w:hAnsi="Arial" w:cs="Arial"/>
          <w:b/>
          <w:bCs/>
        </w:rPr>
        <w:t xml:space="preserve">(E) </w:t>
      </w:r>
      <w:r w:rsidRPr="00F85402">
        <w:rPr>
          <w:rFonts w:ascii="Arial" w:hAnsi="Arial" w:cs="Arial"/>
        </w:rPr>
        <w:t xml:space="preserve">Dynamics in non-tumour non-immune cell clusters of EAC patients during treatment are shown by violon plots. </w:t>
      </w:r>
      <w:r w:rsidRPr="04B025F0">
        <w:rPr>
          <w:rFonts w:ascii="Arial" w:hAnsi="Arial" w:cs="Arial"/>
        </w:rPr>
        <w:t xml:space="preserve">P values in panels are calculated by the </w:t>
      </w:r>
      <w:proofErr w:type="spellStart"/>
      <w:r>
        <w:rPr>
          <w:rFonts w:ascii="Arial" w:hAnsi="Arial" w:cs="Arial"/>
        </w:rPr>
        <w:t>annova</w:t>
      </w:r>
      <w:proofErr w:type="spellEnd"/>
      <w:r w:rsidRPr="04B025F0">
        <w:rPr>
          <w:rFonts w:ascii="Arial" w:hAnsi="Arial" w:cs="Arial"/>
        </w:rPr>
        <w:t xml:space="preserve"> test.</w:t>
      </w:r>
      <w:r w:rsidRPr="00F85402">
        <w:rPr>
          <w:rFonts w:ascii="Arial" w:hAnsi="Arial" w:cs="Arial"/>
        </w:rPr>
        <w:t xml:space="preserve"> * </w:t>
      </w:r>
      <w:proofErr w:type="gramStart"/>
      <w:r w:rsidRPr="00F85402">
        <w:rPr>
          <w:rFonts w:ascii="Arial" w:hAnsi="Arial" w:cs="Arial"/>
        </w:rPr>
        <w:t>indicates</w:t>
      </w:r>
      <w:proofErr w:type="gramEnd"/>
      <w:r w:rsidRPr="00F85402">
        <w:rPr>
          <w:rFonts w:ascii="Arial" w:hAnsi="Arial" w:cs="Arial"/>
        </w:rPr>
        <w:t xml:space="preserve"> p &lt; 0.05, ** p &lt; 0.01 and *** p &lt; 0.001. </w:t>
      </w:r>
      <w:r w:rsidRPr="00F85402">
        <w:rPr>
          <w:rFonts w:ascii="Arial" w:hAnsi="Arial" w:cs="Arial"/>
          <w:b/>
          <w:bCs/>
        </w:rPr>
        <w:t>(F)</w:t>
      </w:r>
      <w:r w:rsidRPr="00F85402">
        <w:rPr>
          <w:rFonts w:ascii="Arial" w:hAnsi="Arial" w:cs="Arial"/>
        </w:rPr>
        <w:t xml:space="preserve"> Dynamics of immune clusters (ICs) with activated (A) and exhausted T-cells </w:t>
      </w:r>
      <w:r w:rsidRPr="00F85402">
        <w:rPr>
          <w:rFonts w:ascii="Arial" w:hAnsi="Arial" w:cs="Arial"/>
          <w:b/>
          <w:bCs/>
        </w:rPr>
        <w:t>(G)</w:t>
      </w:r>
      <w:r w:rsidRPr="00F85402">
        <w:rPr>
          <w:rFonts w:ascii="Arial" w:hAnsi="Arial" w:cs="Arial"/>
        </w:rPr>
        <w:t xml:space="preserve"> during treatment are shown by violon plots. </w:t>
      </w:r>
      <w:r w:rsidRPr="04B025F0">
        <w:rPr>
          <w:rFonts w:ascii="Arial" w:hAnsi="Arial" w:cs="Arial"/>
        </w:rPr>
        <w:t>P values in panels are calculated by the Wilcoxon test.</w:t>
      </w:r>
      <w:r w:rsidRPr="00F85402">
        <w:rPr>
          <w:rFonts w:ascii="Arial" w:hAnsi="Arial" w:cs="Arial"/>
        </w:rPr>
        <w:t xml:space="preserve"> * </w:t>
      </w:r>
      <w:proofErr w:type="gramStart"/>
      <w:r w:rsidRPr="00F85402">
        <w:rPr>
          <w:rFonts w:ascii="Arial" w:hAnsi="Arial" w:cs="Arial"/>
        </w:rPr>
        <w:t>indicates</w:t>
      </w:r>
      <w:proofErr w:type="gramEnd"/>
      <w:r w:rsidRPr="00F85402">
        <w:rPr>
          <w:rFonts w:ascii="Arial" w:hAnsi="Arial" w:cs="Arial"/>
        </w:rPr>
        <w:t xml:space="preserve"> p &lt; 0.05, ** p &lt; 0.01 and *** p &lt; 0.001. </w:t>
      </w:r>
      <w:r w:rsidRPr="00F85402">
        <w:rPr>
          <w:rFonts w:ascii="Arial" w:hAnsi="Arial" w:cs="Arial"/>
          <w:b/>
          <w:bCs/>
        </w:rPr>
        <w:t>(H)</w:t>
      </w:r>
      <w:r w:rsidRPr="00F85402">
        <w:rPr>
          <w:rFonts w:ascii="Arial" w:hAnsi="Arial" w:cs="Arial"/>
        </w:rPr>
        <w:t xml:space="preserve"> </w:t>
      </w:r>
      <w:r w:rsidRPr="00F85402">
        <w:rPr>
          <w:rFonts w:ascii="Arial" w:hAnsi="Arial" w:cs="Arial"/>
          <w:bCs/>
          <w:color w:val="222222"/>
          <w:shd w:val="clear" w:color="auto" w:fill="FFFFFF"/>
        </w:rPr>
        <w:t xml:space="preserve">Correlation between CD4 cells and CD8 cells from image mass cytometry analyses (IMC) and </w:t>
      </w:r>
      <w:proofErr w:type="spellStart"/>
      <w:r w:rsidRPr="00F85402">
        <w:rPr>
          <w:rFonts w:ascii="Arial" w:hAnsi="Arial" w:cs="Arial"/>
          <w:bCs/>
          <w:color w:val="222222"/>
          <w:shd w:val="clear" w:color="auto" w:fill="FFFFFF"/>
        </w:rPr>
        <w:t>Consensus</w:t>
      </w:r>
      <w:r w:rsidRPr="00F85402">
        <w:rPr>
          <w:rFonts w:ascii="Arial" w:hAnsi="Arial" w:cs="Arial"/>
          <w:bCs/>
          <w:color w:val="222222"/>
          <w:shd w:val="clear" w:color="auto" w:fill="FFFFFF"/>
          <w:vertAlign w:val="superscript"/>
        </w:rPr>
        <w:t>TME</w:t>
      </w:r>
      <w:proofErr w:type="spellEnd"/>
      <w:r w:rsidRPr="00F85402">
        <w:rPr>
          <w:rFonts w:ascii="Arial" w:hAnsi="Arial" w:cs="Arial"/>
          <w:bCs/>
          <w:color w:val="222222"/>
          <w:shd w:val="clear" w:color="auto" w:fill="FFFFFF"/>
        </w:rPr>
        <w:t xml:space="preserve"> scores. For samples with IMC data from multiple regions of interest (ROIs), mean cell count of ROIs was plotted. Correlations were calculated using Pearson correlation tests. IMC: image mass cytometry. </w:t>
      </w:r>
      <w:r w:rsidRPr="00F85402">
        <w:rPr>
          <w:rFonts w:ascii="Arial" w:hAnsi="Arial" w:cs="Arial"/>
          <w:b/>
          <w:color w:val="222222"/>
          <w:shd w:val="clear" w:color="auto" w:fill="FFFFFF"/>
        </w:rPr>
        <w:t>(I)</w:t>
      </w:r>
      <w:r w:rsidRPr="00F85402">
        <w:rPr>
          <w:rFonts w:ascii="Arial" w:hAnsi="Arial" w:cs="Arial"/>
          <w:bCs/>
          <w:color w:val="222222"/>
          <w:shd w:val="clear" w:color="auto" w:fill="FFFFFF"/>
        </w:rPr>
        <w:t xml:space="preserve"> Plot shows CD4 and CD8 cell counts from IMC analyses in samples where multiple </w:t>
      </w:r>
      <w:proofErr w:type="gramStart"/>
      <w:r w:rsidRPr="00F85402">
        <w:rPr>
          <w:rFonts w:ascii="Arial" w:hAnsi="Arial" w:cs="Arial"/>
          <w:bCs/>
          <w:color w:val="222222"/>
          <w:shd w:val="clear" w:color="auto" w:fill="FFFFFF"/>
        </w:rPr>
        <w:t>region</w:t>
      </w:r>
      <w:proofErr w:type="gramEnd"/>
      <w:r w:rsidRPr="00F85402">
        <w:rPr>
          <w:rFonts w:ascii="Arial" w:hAnsi="Arial" w:cs="Arial"/>
          <w:bCs/>
          <w:color w:val="222222"/>
          <w:shd w:val="clear" w:color="auto" w:fill="FFFFFF"/>
        </w:rPr>
        <w:t xml:space="preserve"> of interests (ROIs) were analysed. Dots represent CD4 (blue) or CD8 cell count (red) in individual ROIs. </w:t>
      </w:r>
    </w:p>
    <w:p w14:paraId="2D8BA7E8" w14:textId="77777777" w:rsidR="00FE6E34" w:rsidRPr="00F85402" w:rsidRDefault="00FE6E34" w:rsidP="00FE6E34">
      <w:pPr>
        <w:jc w:val="both"/>
        <w:rPr>
          <w:rFonts w:ascii="Arial" w:hAnsi="Arial" w:cs="Arial"/>
          <w:bCs/>
          <w:color w:val="222222"/>
          <w:shd w:val="clear" w:color="auto" w:fill="FFFFFF"/>
        </w:rPr>
      </w:pPr>
    </w:p>
    <w:p w14:paraId="61B53D6E" w14:textId="77777777" w:rsidR="00FE6E34" w:rsidRPr="00DC1736" w:rsidRDefault="00FE6E34" w:rsidP="00FE6E34">
      <w:pPr>
        <w:jc w:val="both"/>
        <w:rPr>
          <w:rFonts w:ascii="Arial" w:hAnsi="Arial" w:cs="Arial"/>
          <w:b/>
          <w:bCs/>
        </w:rPr>
      </w:pPr>
      <w:r w:rsidRPr="00F85402">
        <w:rPr>
          <w:rFonts w:ascii="Arial" w:hAnsi="Arial" w:cs="Arial"/>
          <w:b/>
          <w:color w:val="222222"/>
          <w:shd w:val="clear" w:color="auto" w:fill="FFFFFF"/>
        </w:rPr>
        <w:t xml:space="preserve">Supplemental figure 7: CD4 and CD8 cell phenotypes during treatment. (A) </w:t>
      </w:r>
      <w:r w:rsidRPr="00F85402">
        <w:rPr>
          <w:rFonts w:ascii="Arial" w:hAnsi="Arial" w:cs="Arial"/>
        </w:rPr>
        <w:t xml:space="preserve">Fractions of TIM3 expressing CD4 cells (left) and CD8 cells (right) in NRs and REs during treatment. </w:t>
      </w:r>
      <w:r w:rsidRPr="04B025F0">
        <w:rPr>
          <w:rFonts w:ascii="Arial" w:hAnsi="Arial" w:cs="Arial"/>
        </w:rPr>
        <w:t>P values in panels are calculated by the Wilcoxon test.</w:t>
      </w:r>
      <w:r w:rsidRPr="00F85402">
        <w:rPr>
          <w:rFonts w:ascii="Arial" w:hAnsi="Arial" w:cs="Arial"/>
        </w:rPr>
        <w:t xml:space="preserve"> </w:t>
      </w:r>
      <w:r w:rsidRPr="00F85402">
        <w:rPr>
          <w:rFonts w:ascii="Arial" w:hAnsi="Arial" w:cs="Arial"/>
          <w:b/>
          <w:bCs/>
        </w:rPr>
        <w:t xml:space="preserve">(B) </w:t>
      </w:r>
      <w:r w:rsidRPr="00F85402">
        <w:rPr>
          <w:rFonts w:ascii="Arial" w:hAnsi="Arial" w:cs="Arial"/>
        </w:rPr>
        <w:t xml:space="preserve">Ratio of activated and exhausted CD8 cells (left) and CD4 cells (right) is shown during treatment patients with different remission grades. </w:t>
      </w:r>
      <w:r w:rsidRPr="04B025F0">
        <w:rPr>
          <w:rFonts w:ascii="Arial" w:hAnsi="Arial" w:cs="Arial"/>
        </w:rPr>
        <w:t>P values in panels are calculated by the Wilcoxon test.</w:t>
      </w:r>
      <w:r>
        <w:rPr>
          <w:rFonts w:ascii="Arial" w:hAnsi="Arial" w:cs="Arial"/>
        </w:rPr>
        <w:t xml:space="preserve"> </w:t>
      </w:r>
      <w:r w:rsidRPr="00DC1736">
        <w:rPr>
          <w:rFonts w:ascii="Arial" w:hAnsi="Arial" w:cs="Arial"/>
          <w:b/>
          <w:bCs/>
        </w:rPr>
        <w:t>(C)</w:t>
      </w:r>
      <w:r>
        <w:rPr>
          <w:rFonts w:ascii="Arial" w:hAnsi="Arial" w:cs="Arial"/>
          <w:b/>
          <w:bCs/>
        </w:rPr>
        <w:t xml:space="preserve"> </w:t>
      </w:r>
      <w:r w:rsidRPr="00F85402">
        <w:rPr>
          <w:rFonts w:ascii="Arial" w:hAnsi="Arial" w:cs="Arial"/>
          <w:color w:val="000000" w:themeColor="text1"/>
        </w:rPr>
        <w:t xml:space="preserve">Numbers of </w:t>
      </w:r>
      <w:r>
        <w:rPr>
          <w:rFonts w:ascii="Arial" w:hAnsi="Arial" w:cs="Arial"/>
          <w:color w:val="000000" w:themeColor="text1"/>
        </w:rPr>
        <w:t>unique</w:t>
      </w:r>
      <w:r w:rsidRPr="49988EDC">
        <w:rPr>
          <w:rFonts w:ascii="Arial" w:hAnsi="Arial" w:cs="Arial"/>
          <w:color w:val="000000" w:themeColor="text1"/>
        </w:rPr>
        <w:t xml:space="preserve"> </w:t>
      </w:r>
      <w:r w:rsidRPr="00F85402">
        <w:rPr>
          <w:rFonts w:ascii="Arial" w:hAnsi="Arial" w:cs="Arial"/>
          <w:color w:val="000000" w:themeColor="text1"/>
        </w:rPr>
        <w:t xml:space="preserve">TCRs </w:t>
      </w:r>
      <w:r w:rsidRPr="00F85402">
        <w:rPr>
          <w:rFonts w:ascii="Arial" w:hAnsi="Arial" w:cs="Arial"/>
          <w:color w:val="000000" w:themeColor="text1"/>
          <w:shd w:val="clear" w:color="auto" w:fill="FFFFFF"/>
        </w:rPr>
        <w:t>α-chain</w:t>
      </w:r>
      <w:r w:rsidRPr="00F85402">
        <w:rPr>
          <w:rStyle w:val="apple-converted-space"/>
          <w:rFonts w:ascii="Arial" w:eastAsiaTheme="majorEastAsia" w:hAnsi="Arial" w:cs="Arial"/>
          <w:color w:val="000000" w:themeColor="text1"/>
          <w:shd w:val="clear" w:color="auto" w:fill="FFFFFF"/>
        </w:rPr>
        <w:t> </w:t>
      </w:r>
      <w:r>
        <w:rPr>
          <w:rStyle w:val="apple-converted-space"/>
          <w:rFonts w:ascii="Arial" w:eastAsiaTheme="majorEastAsia" w:hAnsi="Arial" w:cs="Arial"/>
          <w:color w:val="000000" w:themeColor="text1"/>
          <w:shd w:val="clear" w:color="auto" w:fill="FFFFFF"/>
        </w:rPr>
        <w:t>(left</w:t>
      </w:r>
      <w:r w:rsidRPr="00F85402">
        <w:rPr>
          <w:rStyle w:val="apple-converted-space"/>
          <w:rFonts w:ascii="Arial" w:eastAsiaTheme="majorEastAsia" w:hAnsi="Arial" w:cs="Arial"/>
          <w:color w:val="000000" w:themeColor="text1"/>
          <w:shd w:val="clear" w:color="auto" w:fill="FFFFFF"/>
        </w:rPr>
        <w:t xml:space="preserve">) and </w:t>
      </w:r>
      <w:r w:rsidRPr="00F85402">
        <w:rPr>
          <w:rFonts w:ascii="Arial" w:hAnsi="Arial" w:cs="Arial"/>
          <w:color w:val="000000" w:themeColor="text1"/>
          <w:shd w:val="clear" w:color="auto" w:fill="FFFFFF"/>
        </w:rPr>
        <w:t>β-chain (</w:t>
      </w:r>
      <w:r>
        <w:rPr>
          <w:rFonts w:ascii="Arial" w:hAnsi="Arial" w:cs="Arial"/>
          <w:color w:val="000000" w:themeColor="text1"/>
          <w:shd w:val="clear" w:color="auto" w:fill="FFFFFF"/>
        </w:rPr>
        <w:t>right</w:t>
      </w:r>
      <w:r w:rsidRPr="00F85402">
        <w:rPr>
          <w:rFonts w:ascii="Arial" w:hAnsi="Arial" w:cs="Arial"/>
          <w:color w:val="000000" w:themeColor="text1"/>
          <w:shd w:val="clear" w:color="auto" w:fill="FFFFFF"/>
        </w:rPr>
        <w:t xml:space="preserve">) </w:t>
      </w:r>
      <w:r w:rsidRPr="00F85402">
        <w:rPr>
          <w:rFonts w:ascii="Arial" w:hAnsi="Arial" w:cs="Arial"/>
          <w:color w:val="000000" w:themeColor="text1"/>
        </w:rPr>
        <w:t>in Responders and Non-Responders during treatment</w:t>
      </w:r>
      <w:r w:rsidRPr="49988EDC">
        <w:rPr>
          <w:rFonts w:ascii="Arial" w:hAnsi="Arial" w:cs="Arial"/>
          <w:color w:val="000000" w:themeColor="text1"/>
        </w:rPr>
        <w:t>.</w:t>
      </w:r>
      <w:r w:rsidRPr="00F85402">
        <w:rPr>
          <w:rFonts w:ascii="Arial" w:hAnsi="Arial" w:cs="Arial"/>
          <w:color w:val="000000" w:themeColor="text1"/>
        </w:rPr>
        <w:t xml:space="preserve"> </w:t>
      </w:r>
      <w:r w:rsidRPr="49988EDC">
        <w:rPr>
          <w:rFonts w:ascii="Arial" w:hAnsi="Arial" w:cs="Arial"/>
          <w:color w:val="000000" w:themeColor="text1"/>
        </w:rPr>
        <w:t xml:space="preserve">P values are calculated by the </w:t>
      </w:r>
      <w:r w:rsidRPr="00F85402">
        <w:rPr>
          <w:rFonts w:ascii="Arial" w:hAnsi="Arial" w:cs="Arial"/>
          <w:color w:val="000000" w:themeColor="text1"/>
          <w:shd w:val="clear" w:color="auto" w:fill="FFFFFF"/>
        </w:rPr>
        <w:t>Wilcoxon</w:t>
      </w:r>
      <w:r w:rsidRPr="49988EDC">
        <w:rPr>
          <w:rFonts w:ascii="Arial" w:hAnsi="Arial" w:cs="Arial"/>
          <w:color w:val="000000" w:themeColor="text1"/>
        </w:rPr>
        <w:t xml:space="preserve"> </w:t>
      </w:r>
      <w:r w:rsidRPr="00F85402">
        <w:rPr>
          <w:rFonts w:ascii="Arial" w:hAnsi="Arial" w:cs="Arial"/>
          <w:color w:val="000000" w:themeColor="text1"/>
          <w:shd w:val="clear" w:color="auto" w:fill="FFFFFF"/>
        </w:rPr>
        <w:t>test.</w:t>
      </w:r>
      <w:r w:rsidRPr="00DC1736">
        <w:rPr>
          <w:rFonts w:ascii="Arial" w:hAnsi="Arial" w:cs="Arial"/>
          <w:b/>
          <w:bCs/>
        </w:rPr>
        <w:t xml:space="preserve"> (D)</w:t>
      </w:r>
      <w:r>
        <w:rPr>
          <w:rFonts w:ascii="Arial" w:hAnsi="Arial" w:cs="Arial"/>
        </w:rPr>
        <w:t xml:space="preserve"> </w:t>
      </w:r>
      <w:proofErr w:type="spellStart"/>
      <w:r>
        <w:rPr>
          <w:rFonts w:ascii="Arial" w:hAnsi="Arial" w:cs="Arial"/>
          <w:color w:val="000000" w:themeColor="text1"/>
        </w:rPr>
        <w:t>Fishplots</w:t>
      </w:r>
      <w:proofErr w:type="spellEnd"/>
      <w:r>
        <w:rPr>
          <w:rFonts w:ascii="Arial" w:hAnsi="Arial" w:cs="Arial"/>
          <w:color w:val="000000" w:themeColor="text1"/>
        </w:rPr>
        <w:t xml:space="preserve"> show the occurrence of expanded TCRs at each timepoint for NR10 (top) and RE05 (bottom)</w:t>
      </w:r>
      <w:r>
        <w:rPr>
          <w:rStyle w:val="apple-converted-space"/>
          <w:rFonts w:ascii="Arial" w:eastAsiaTheme="majorEastAsia" w:hAnsi="Arial" w:cs="Arial"/>
          <w:color w:val="000000" w:themeColor="text1"/>
          <w:shd w:val="clear" w:color="auto" w:fill="FFFFFF"/>
        </w:rPr>
        <w:t>.</w:t>
      </w:r>
    </w:p>
    <w:p w14:paraId="0102901D" w14:textId="77777777" w:rsidR="00FE6E34" w:rsidRPr="00F85402" w:rsidRDefault="00FE6E34" w:rsidP="00FE6E34">
      <w:pPr>
        <w:jc w:val="both"/>
        <w:rPr>
          <w:rFonts w:ascii="Arial" w:hAnsi="Arial" w:cs="Arial"/>
        </w:rPr>
      </w:pPr>
    </w:p>
    <w:p w14:paraId="5A5F5245" w14:textId="77777777" w:rsidR="00FE6E34" w:rsidRPr="00F85402" w:rsidRDefault="00FE6E34" w:rsidP="00FE6E34">
      <w:pPr>
        <w:jc w:val="both"/>
        <w:rPr>
          <w:rFonts w:ascii="Arial" w:hAnsi="Arial" w:cs="Arial"/>
          <w:bCs/>
          <w:color w:val="222222"/>
          <w:shd w:val="clear" w:color="auto" w:fill="FFFFFF"/>
        </w:rPr>
      </w:pPr>
    </w:p>
    <w:p w14:paraId="15E40194" w14:textId="77777777" w:rsidR="00FE6E34" w:rsidRPr="00F85402" w:rsidRDefault="00FE6E34" w:rsidP="00FE6E34">
      <w:pPr>
        <w:jc w:val="both"/>
        <w:rPr>
          <w:rFonts w:ascii="Arial" w:hAnsi="Arial" w:cs="Arial"/>
          <w:bCs/>
          <w:color w:val="222222"/>
          <w:shd w:val="clear" w:color="auto" w:fill="FFFFFF"/>
        </w:rPr>
      </w:pPr>
      <w:r w:rsidRPr="00F85402">
        <w:rPr>
          <w:rFonts w:ascii="Arial" w:hAnsi="Arial" w:cs="Arial"/>
          <w:b/>
          <w:color w:val="222222"/>
          <w:shd w:val="clear" w:color="auto" w:fill="FFFFFF"/>
        </w:rPr>
        <w:t xml:space="preserve">Supplemental figure 8: </w:t>
      </w:r>
      <w:proofErr w:type="gramStart"/>
      <w:r w:rsidRPr="00F85402">
        <w:rPr>
          <w:rFonts w:ascii="Arial" w:hAnsi="Arial" w:cs="Arial"/>
          <w:color w:val="000000" w:themeColor="text1"/>
        </w:rPr>
        <w:t>Principle</w:t>
      </w:r>
      <w:proofErr w:type="gramEnd"/>
      <w:r w:rsidRPr="00F85402">
        <w:rPr>
          <w:rFonts w:ascii="Arial" w:hAnsi="Arial" w:cs="Arial"/>
          <w:color w:val="000000" w:themeColor="text1"/>
        </w:rPr>
        <w:t xml:space="preserve"> component analysis </w:t>
      </w:r>
      <w:r w:rsidRPr="00F85402">
        <w:rPr>
          <w:rFonts w:ascii="Arial" w:hAnsi="Arial" w:cs="Arial"/>
          <w:color w:val="222222"/>
          <w:shd w:val="clear" w:color="auto" w:fill="FFFFFF"/>
        </w:rPr>
        <w:t xml:space="preserve">of RNA-expression data </w:t>
      </w:r>
      <w:r w:rsidRPr="00F85402">
        <w:rPr>
          <w:rFonts w:ascii="Arial" w:hAnsi="Arial" w:cs="Arial"/>
          <w:b/>
          <w:bCs/>
          <w:color w:val="222222"/>
          <w:shd w:val="clear" w:color="auto" w:fill="FFFFFF"/>
        </w:rPr>
        <w:t xml:space="preserve">(A) </w:t>
      </w:r>
      <w:r w:rsidRPr="00F85402">
        <w:rPr>
          <w:rFonts w:ascii="Arial" w:hAnsi="Arial" w:cs="Arial"/>
          <w:color w:val="222222"/>
          <w:shd w:val="clear" w:color="auto" w:fill="FFFFFF"/>
        </w:rPr>
        <w:t xml:space="preserve">in samples of different sequencing batches and </w:t>
      </w:r>
      <w:r w:rsidRPr="00F85402">
        <w:rPr>
          <w:rFonts w:ascii="Arial" w:hAnsi="Arial" w:cs="Arial"/>
          <w:b/>
          <w:bCs/>
          <w:color w:val="222222"/>
          <w:shd w:val="clear" w:color="auto" w:fill="FFFFFF"/>
        </w:rPr>
        <w:t>(B)</w:t>
      </w:r>
      <w:r w:rsidRPr="00F85402">
        <w:rPr>
          <w:rFonts w:ascii="Arial" w:hAnsi="Arial" w:cs="Arial"/>
          <w:color w:val="222222"/>
          <w:shd w:val="clear" w:color="auto" w:fill="FFFFFF"/>
        </w:rPr>
        <w:t xml:space="preserve"> samples with different fixation methods. </w:t>
      </w:r>
      <w:r w:rsidRPr="00F85402">
        <w:rPr>
          <w:rFonts w:ascii="Arial" w:hAnsi="Arial" w:cs="Arial"/>
          <w:color w:val="222222"/>
          <w:shd w:val="clear" w:color="auto" w:fill="FFFFFF"/>
        </w:rPr>
        <w:lastRenderedPageBreak/>
        <w:t xml:space="preserve">F: formalin-fixed samples, P: </w:t>
      </w:r>
      <w:proofErr w:type="spellStart"/>
      <w:r w:rsidRPr="00F85402">
        <w:rPr>
          <w:rFonts w:ascii="Arial" w:hAnsi="Arial" w:cs="Arial"/>
          <w:color w:val="222222"/>
          <w:shd w:val="clear" w:color="auto" w:fill="FFFFFF"/>
        </w:rPr>
        <w:t>PAXgene</w:t>
      </w:r>
      <w:proofErr w:type="spellEnd"/>
      <w:r w:rsidRPr="00F85402">
        <w:rPr>
          <w:rFonts w:ascii="Arial" w:hAnsi="Arial" w:cs="Arial"/>
          <w:color w:val="222222"/>
          <w:shd w:val="clear" w:color="auto" w:fill="FFFFFF"/>
        </w:rPr>
        <w:t xml:space="preserve"> fixed samples.</w:t>
      </w:r>
      <w:r w:rsidRPr="00F85402">
        <w:rPr>
          <w:rFonts w:ascii="Arial" w:hAnsi="Arial" w:cs="Arial"/>
          <w:b/>
          <w:color w:val="222222"/>
          <w:shd w:val="clear" w:color="auto" w:fill="FFFFFF"/>
        </w:rPr>
        <w:t xml:space="preserve"> (C)</w:t>
      </w:r>
      <w:r w:rsidRPr="00F85402">
        <w:rPr>
          <w:rFonts w:ascii="Arial" w:hAnsi="Arial" w:cs="Arial"/>
          <w:bCs/>
          <w:color w:val="222222"/>
          <w:shd w:val="clear" w:color="auto" w:fill="FFFFFF"/>
        </w:rPr>
        <w:t xml:space="preserve"> </w:t>
      </w:r>
      <w:r>
        <w:rPr>
          <w:rFonts w:ascii="Arial" w:hAnsi="Arial" w:cs="Arial"/>
          <w:bCs/>
          <w:color w:val="222222"/>
          <w:shd w:val="clear" w:color="auto" w:fill="FFFFFF"/>
        </w:rPr>
        <w:t xml:space="preserve">Mean expression of included </w:t>
      </w:r>
      <w:r w:rsidRPr="00F85402">
        <w:rPr>
          <w:rFonts w:ascii="Arial" w:hAnsi="Arial" w:cs="Arial"/>
          <w:bCs/>
          <w:color w:val="222222"/>
          <w:shd w:val="clear" w:color="auto" w:fill="FFFFFF"/>
        </w:rPr>
        <w:t>IMC</w:t>
      </w:r>
      <w:r>
        <w:rPr>
          <w:rFonts w:ascii="Arial" w:hAnsi="Arial" w:cs="Arial"/>
          <w:bCs/>
          <w:color w:val="222222"/>
          <w:shd w:val="clear" w:color="auto" w:fill="FFFFFF"/>
        </w:rPr>
        <w:t xml:space="preserve"> </w:t>
      </w:r>
      <w:r w:rsidRPr="00F85402">
        <w:rPr>
          <w:rFonts w:ascii="Arial" w:hAnsi="Arial" w:cs="Arial"/>
          <w:bCs/>
          <w:color w:val="222222"/>
          <w:shd w:val="clear" w:color="auto" w:fill="FFFFFF"/>
        </w:rPr>
        <w:t>markers in PFPE and FFPE samples</w:t>
      </w:r>
      <w:r>
        <w:rPr>
          <w:rFonts w:ascii="Arial" w:hAnsi="Arial" w:cs="Arial"/>
          <w:bCs/>
          <w:color w:val="222222"/>
          <w:shd w:val="clear" w:color="auto" w:fill="FFFFFF"/>
        </w:rPr>
        <w:t xml:space="preserve"> from Timepoint C</w:t>
      </w:r>
      <w:r w:rsidRPr="00F85402">
        <w:rPr>
          <w:rFonts w:ascii="Arial" w:hAnsi="Arial" w:cs="Arial"/>
          <w:bCs/>
          <w:color w:val="222222"/>
          <w:shd w:val="clear" w:color="auto" w:fill="FFFFFF"/>
        </w:rPr>
        <w:t xml:space="preserve">. </w:t>
      </w:r>
      <w:r w:rsidRPr="04B025F0">
        <w:rPr>
          <w:rFonts w:ascii="Arial" w:hAnsi="Arial" w:cs="Arial"/>
        </w:rPr>
        <w:t>P values in panels are calculated by the Wilcoxon test.</w:t>
      </w:r>
      <w:r>
        <w:rPr>
          <w:rFonts w:ascii="Arial" w:hAnsi="Arial" w:cs="Arial"/>
        </w:rPr>
        <w:t xml:space="preserve"> </w:t>
      </w:r>
      <w:r w:rsidRPr="00F85402">
        <w:rPr>
          <w:rFonts w:ascii="Arial" w:hAnsi="Arial" w:cs="Arial"/>
          <w:b/>
          <w:bCs/>
        </w:rPr>
        <w:t>(D)</w:t>
      </w:r>
      <w:r w:rsidRPr="00F85402">
        <w:rPr>
          <w:rFonts w:ascii="Arial" w:hAnsi="Arial" w:cs="Arial"/>
        </w:rPr>
        <w:t xml:space="preserve"> </w:t>
      </w:r>
      <w:proofErr w:type="gramStart"/>
      <w:r w:rsidRPr="00F85402">
        <w:rPr>
          <w:rFonts w:ascii="Arial" w:hAnsi="Arial" w:cs="Arial"/>
          <w:color w:val="000000" w:themeColor="text1"/>
        </w:rPr>
        <w:t>Principle</w:t>
      </w:r>
      <w:proofErr w:type="gramEnd"/>
      <w:r w:rsidRPr="00F85402">
        <w:rPr>
          <w:rFonts w:ascii="Arial" w:hAnsi="Arial" w:cs="Arial"/>
          <w:color w:val="000000" w:themeColor="text1"/>
        </w:rPr>
        <w:t xml:space="preserve"> component analysis </w:t>
      </w:r>
      <w:r w:rsidRPr="00F85402">
        <w:rPr>
          <w:rFonts w:ascii="Arial" w:hAnsi="Arial" w:cs="Arial"/>
          <w:color w:val="222222"/>
          <w:shd w:val="clear" w:color="auto" w:fill="FFFFFF"/>
        </w:rPr>
        <w:t>of expression-based analysis of included IMC markers</w:t>
      </w:r>
      <w:r>
        <w:rPr>
          <w:rFonts w:ascii="Arial" w:hAnsi="Arial" w:cs="Arial"/>
          <w:color w:val="222222"/>
          <w:shd w:val="clear" w:color="auto" w:fill="FFFFFF"/>
        </w:rPr>
        <w:t xml:space="preserve"> including ROIs from all samples</w:t>
      </w:r>
      <w:r w:rsidRPr="00F85402">
        <w:rPr>
          <w:rFonts w:ascii="Arial" w:hAnsi="Arial" w:cs="Arial"/>
          <w:color w:val="222222"/>
          <w:shd w:val="clear" w:color="auto" w:fill="FFFFFF"/>
        </w:rPr>
        <w:t>.</w:t>
      </w:r>
      <w:r>
        <w:rPr>
          <w:rFonts w:ascii="Arial" w:hAnsi="Arial" w:cs="Arial"/>
          <w:color w:val="222222"/>
          <w:shd w:val="clear" w:color="auto" w:fill="FFFFFF"/>
        </w:rPr>
        <w:t xml:space="preserve"> </w:t>
      </w:r>
      <w:r w:rsidRPr="00F85402">
        <w:rPr>
          <w:rFonts w:ascii="Arial" w:hAnsi="Arial" w:cs="Arial"/>
        </w:rPr>
        <w:t>PC: principal component.</w:t>
      </w:r>
      <w:r>
        <w:rPr>
          <w:rFonts w:ascii="Arial" w:hAnsi="Arial" w:cs="Arial"/>
        </w:rPr>
        <w:t xml:space="preserve"> </w:t>
      </w:r>
      <w:r w:rsidRPr="00DC1736">
        <w:rPr>
          <w:rFonts w:ascii="Arial" w:hAnsi="Arial" w:cs="Arial"/>
          <w:b/>
          <w:bCs/>
        </w:rPr>
        <w:t>(E)</w:t>
      </w:r>
      <w:r>
        <w:rPr>
          <w:rFonts w:ascii="Arial" w:hAnsi="Arial" w:cs="Arial"/>
        </w:rPr>
        <w:t xml:space="preserve"> </w:t>
      </w:r>
      <w:proofErr w:type="gramStart"/>
      <w:r w:rsidRPr="00F85402">
        <w:rPr>
          <w:rFonts w:ascii="Arial" w:hAnsi="Arial" w:cs="Arial"/>
          <w:color w:val="000000" w:themeColor="text1"/>
        </w:rPr>
        <w:t>Principle</w:t>
      </w:r>
      <w:proofErr w:type="gramEnd"/>
      <w:r w:rsidRPr="00F85402">
        <w:rPr>
          <w:rFonts w:ascii="Arial" w:hAnsi="Arial" w:cs="Arial"/>
          <w:color w:val="000000" w:themeColor="text1"/>
        </w:rPr>
        <w:t xml:space="preserve"> component analysis </w:t>
      </w:r>
      <w:r w:rsidRPr="00F85402">
        <w:rPr>
          <w:rFonts w:ascii="Arial" w:hAnsi="Arial" w:cs="Arial"/>
          <w:color w:val="222222"/>
          <w:shd w:val="clear" w:color="auto" w:fill="FFFFFF"/>
        </w:rPr>
        <w:t>of expression-based analysis of included IMC markers</w:t>
      </w:r>
      <w:r>
        <w:rPr>
          <w:rFonts w:ascii="Arial" w:hAnsi="Arial" w:cs="Arial"/>
          <w:color w:val="222222"/>
          <w:shd w:val="clear" w:color="auto" w:fill="FFFFFF"/>
        </w:rPr>
        <w:t xml:space="preserve"> including ROIs from Timepoint C. </w:t>
      </w:r>
      <w:r w:rsidRPr="00F85402">
        <w:rPr>
          <w:rFonts w:ascii="Arial" w:hAnsi="Arial" w:cs="Arial"/>
        </w:rPr>
        <w:t>PC: principal component.</w:t>
      </w:r>
      <w:r>
        <w:rPr>
          <w:rFonts w:ascii="Arial" w:hAnsi="Arial" w:cs="Arial"/>
        </w:rPr>
        <w:t xml:space="preserve"> Three samples clustering slightly apart (circled in the PCA) were ROIs from the same patient (RE23).</w:t>
      </w:r>
    </w:p>
    <w:p w14:paraId="671D47E8" w14:textId="77777777" w:rsidR="00FE6E34" w:rsidRPr="00F85402" w:rsidRDefault="00FE6E34" w:rsidP="00FE6E34">
      <w:pPr>
        <w:jc w:val="both"/>
        <w:rPr>
          <w:rFonts w:ascii="Arial" w:hAnsi="Arial" w:cs="Arial"/>
          <w:bCs/>
          <w:color w:val="222222"/>
          <w:shd w:val="clear" w:color="auto" w:fill="FFFFFF"/>
        </w:rPr>
      </w:pPr>
    </w:p>
    <w:p w14:paraId="695C7183" w14:textId="77777777" w:rsidR="00FE6E34" w:rsidRPr="00F85402" w:rsidRDefault="00FE6E34" w:rsidP="00FE6E34">
      <w:pPr>
        <w:jc w:val="both"/>
        <w:rPr>
          <w:rFonts w:ascii="Arial" w:hAnsi="Arial" w:cs="Arial"/>
          <w:bCs/>
        </w:rPr>
      </w:pPr>
      <w:r w:rsidRPr="00F85402">
        <w:rPr>
          <w:rFonts w:ascii="Arial" w:hAnsi="Arial" w:cs="Arial"/>
          <w:b/>
          <w:color w:val="222222"/>
          <w:shd w:val="clear" w:color="auto" w:fill="FFFFFF"/>
        </w:rPr>
        <w:t xml:space="preserve">Supplemental figure 9: Exemplary staining of cells from </w:t>
      </w:r>
      <w:r>
        <w:rPr>
          <w:rFonts w:ascii="Arial" w:hAnsi="Arial" w:cs="Arial"/>
          <w:b/>
          <w:color w:val="222222"/>
          <w:shd w:val="clear" w:color="auto" w:fill="FFFFFF"/>
        </w:rPr>
        <w:t>ambiguous</w:t>
      </w:r>
      <w:r w:rsidRPr="00F85402">
        <w:rPr>
          <w:rFonts w:ascii="Arial" w:hAnsi="Arial" w:cs="Arial"/>
          <w:b/>
          <w:color w:val="222222"/>
          <w:shd w:val="clear" w:color="auto" w:fill="FFFFFF"/>
        </w:rPr>
        <w:t xml:space="preserve"> clusters. </w:t>
      </w:r>
      <w:r w:rsidRPr="00F85402">
        <w:rPr>
          <w:rFonts w:ascii="Arial" w:hAnsi="Arial" w:cs="Arial"/>
          <w:bCs/>
          <w:color w:val="222222"/>
          <w:shd w:val="clear" w:color="auto" w:fill="FFFFFF"/>
        </w:rPr>
        <w:t xml:space="preserve">Plot shows exemplary </w:t>
      </w:r>
      <w:proofErr w:type="spellStart"/>
      <w:r w:rsidRPr="00F85402">
        <w:rPr>
          <w:rFonts w:ascii="Arial" w:hAnsi="Arial" w:cs="Arial"/>
          <w:bCs/>
          <w:color w:val="222222"/>
          <w:shd w:val="clear" w:color="auto" w:fill="FFFFFF"/>
        </w:rPr>
        <w:t>stainings</w:t>
      </w:r>
      <w:proofErr w:type="spellEnd"/>
      <w:r w:rsidRPr="00F85402">
        <w:rPr>
          <w:rFonts w:ascii="Arial" w:hAnsi="Arial" w:cs="Arial"/>
          <w:bCs/>
          <w:color w:val="222222"/>
          <w:shd w:val="clear" w:color="auto" w:fill="FFFFFF"/>
        </w:rPr>
        <w:t xml:space="preserve"> of cells from clusters </w:t>
      </w:r>
      <w:r w:rsidRPr="00F85402">
        <w:rPr>
          <w:rFonts w:ascii="Arial" w:hAnsi="Arial" w:cs="Arial"/>
          <w:bCs/>
        </w:rPr>
        <w:t xml:space="preserve">C1, C4, C6, C11, C14, C18, C23 and C24 </w:t>
      </w:r>
      <w:r w:rsidRPr="00F85402">
        <w:rPr>
          <w:rFonts w:ascii="Arial" w:hAnsi="Arial" w:cs="Arial"/>
          <w:bCs/>
          <w:color w:val="222222"/>
          <w:shd w:val="clear" w:color="auto" w:fill="FFFFFF"/>
        </w:rPr>
        <w:t xml:space="preserve">(white arrow) with respective marker expression. </w:t>
      </w:r>
      <w:r>
        <w:rPr>
          <w:rFonts w:ascii="Arial" w:hAnsi="Arial" w:cs="Arial"/>
          <w:bCs/>
          <w:color w:val="222222"/>
          <w:shd w:val="clear" w:color="auto" w:fill="FFFFFF"/>
        </w:rPr>
        <w:t>After manual revision of those clusters, cell types could be attributed.</w:t>
      </w:r>
    </w:p>
    <w:p w14:paraId="1A7B8D74" w14:textId="77777777" w:rsidR="00FE6E34" w:rsidRPr="00F85402" w:rsidRDefault="00FE6E34" w:rsidP="00FE6E34">
      <w:pPr>
        <w:jc w:val="both"/>
        <w:rPr>
          <w:rFonts w:ascii="Arial" w:hAnsi="Arial" w:cs="Arial"/>
          <w:bCs/>
          <w:color w:val="222222"/>
          <w:shd w:val="clear" w:color="auto" w:fill="FFFFFF"/>
        </w:rPr>
      </w:pPr>
    </w:p>
    <w:p w14:paraId="10EE4CF9" w14:textId="77777777" w:rsidR="00FE6E34" w:rsidRPr="00F85402" w:rsidRDefault="00FE6E34" w:rsidP="00FE6E34">
      <w:pPr>
        <w:jc w:val="both"/>
        <w:rPr>
          <w:rFonts w:ascii="Arial" w:hAnsi="Arial" w:cs="Arial"/>
          <w:bCs/>
          <w:color w:val="222222"/>
          <w:shd w:val="clear" w:color="auto" w:fill="FFFFFF"/>
        </w:rPr>
      </w:pPr>
    </w:p>
    <w:p w14:paraId="210B97EB" w14:textId="77777777" w:rsidR="00FE6E34" w:rsidRPr="00F92EFF" w:rsidRDefault="00FE6E34" w:rsidP="00FE6E34">
      <w:pPr>
        <w:jc w:val="both"/>
        <w:rPr>
          <w:rFonts w:ascii="Arial" w:hAnsi="Arial" w:cs="Arial"/>
          <w:b/>
          <w:bCs/>
          <w:color w:val="000000" w:themeColor="text1"/>
          <w:sz w:val="28"/>
          <w:szCs w:val="28"/>
        </w:rPr>
      </w:pPr>
    </w:p>
    <w:p w14:paraId="54CFD355" w14:textId="77777777" w:rsidR="00FE6E34" w:rsidRPr="00F92EFF" w:rsidRDefault="00FE6E34" w:rsidP="00FE6E34">
      <w:pPr>
        <w:jc w:val="both"/>
        <w:rPr>
          <w:rFonts w:ascii="Arial" w:hAnsi="Arial" w:cs="Arial"/>
          <w:b/>
          <w:bCs/>
          <w:sz w:val="28"/>
          <w:szCs w:val="28"/>
        </w:rPr>
      </w:pPr>
      <w:r w:rsidRPr="00F92EFF">
        <w:rPr>
          <w:rFonts w:ascii="Arial" w:hAnsi="Arial" w:cs="Arial"/>
          <w:b/>
          <w:bCs/>
          <w:sz w:val="28"/>
          <w:szCs w:val="28"/>
        </w:rPr>
        <w:t>Supplemental tables:</w:t>
      </w:r>
    </w:p>
    <w:p w14:paraId="43EB503A" w14:textId="77777777" w:rsidR="00FE6E34" w:rsidRPr="00F85402" w:rsidRDefault="00FE6E34" w:rsidP="00FE6E34">
      <w:pPr>
        <w:jc w:val="both"/>
        <w:rPr>
          <w:rFonts w:ascii="Arial" w:hAnsi="Arial" w:cs="Arial"/>
          <w:b/>
          <w:bCs/>
        </w:rPr>
      </w:pPr>
    </w:p>
    <w:p w14:paraId="35718D93" w14:textId="77777777" w:rsidR="00FE6E34" w:rsidRPr="00F85402" w:rsidRDefault="00FE6E34" w:rsidP="00FE6E34">
      <w:pPr>
        <w:jc w:val="both"/>
        <w:rPr>
          <w:rFonts w:ascii="Arial" w:hAnsi="Arial" w:cs="Arial"/>
          <w:b/>
          <w:bCs/>
        </w:rPr>
      </w:pPr>
    </w:p>
    <w:p w14:paraId="60510556" w14:textId="77777777" w:rsidR="00FE6E34" w:rsidRPr="00F85402" w:rsidRDefault="00FE6E34" w:rsidP="00FE6E34">
      <w:pPr>
        <w:jc w:val="both"/>
        <w:rPr>
          <w:rFonts w:ascii="Arial" w:hAnsi="Arial" w:cs="Arial"/>
        </w:rPr>
      </w:pPr>
      <w:r w:rsidRPr="00F85402">
        <w:rPr>
          <w:rFonts w:ascii="Arial" w:hAnsi="Arial" w:cs="Arial"/>
          <w:b/>
          <w:bCs/>
        </w:rPr>
        <w:t>Supplemental table 1: Clinical and histopathological information.</w:t>
      </w:r>
      <w:r w:rsidRPr="00F85402">
        <w:rPr>
          <w:rFonts w:ascii="Arial" w:hAnsi="Arial" w:cs="Arial"/>
        </w:rPr>
        <w:t xml:space="preserve"> Tables shows clinical and histopathological information for REs (first tab) and NRs (second tab). SUV: standardized uptake value, EGD: esophagogastroduodenoscopy, EUS: endoscopic ultrasound, m: male, f: female, EOX: </w:t>
      </w:r>
      <w:proofErr w:type="spellStart"/>
      <w:r w:rsidRPr="00F85402">
        <w:rPr>
          <w:rFonts w:ascii="Arial" w:hAnsi="Arial" w:cs="Arial"/>
        </w:rPr>
        <w:t>epirubicin</w:t>
      </w:r>
      <w:proofErr w:type="spellEnd"/>
      <w:r w:rsidRPr="00F85402">
        <w:rPr>
          <w:rFonts w:ascii="Arial" w:hAnsi="Arial" w:cs="Arial"/>
        </w:rPr>
        <w:t>, oxaliplatin, capecitabin, FOLFOX: 5-FU, oxaliplatin</w:t>
      </w:r>
      <w:r>
        <w:rPr>
          <w:rFonts w:ascii="Arial" w:hAnsi="Arial" w:cs="Arial"/>
        </w:rPr>
        <w:t xml:space="preserve">, </w:t>
      </w:r>
      <w:proofErr w:type="spellStart"/>
      <w:r>
        <w:rPr>
          <w:rFonts w:ascii="Arial" w:hAnsi="Arial" w:cs="Arial"/>
        </w:rPr>
        <w:t>n.a.</w:t>
      </w:r>
      <w:proofErr w:type="spellEnd"/>
      <w:r>
        <w:rPr>
          <w:rFonts w:ascii="Arial" w:hAnsi="Arial" w:cs="Arial"/>
        </w:rPr>
        <w:t xml:space="preserve"> data not available.</w:t>
      </w:r>
    </w:p>
    <w:p w14:paraId="1F469248" w14:textId="77777777" w:rsidR="00FE6E34" w:rsidRPr="00F85402" w:rsidRDefault="00FE6E34" w:rsidP="00FE6E34">
      <w:pPr>
        <w:jc w:val="both"/>
        <w:rPr>
          <w:rFonts w:ascii="Arial" w:hAnsi="Arial" w:cs="Arial"/>
        </w:rPr>
      </w:pPr>
    </w:p>
    <w:p w14:paraId="7166860E" w14:textId="77777777" w:rsidR="00FE6E34" w:rsidRPr="00F85402" w:rsidRDefault="00FE6E34" w:rsidP="00FE6E34">
      <w:pPr>
        <w:jc w:val="both"/>
        <w:rPr>
          <w:rFonts w:ascii="Arial" w:hAnsi="Arial" w:cs="Arial"/>
        </w:rPr>
      </w:pPr>
      <w:r w:rsidRPr="00F85402">
        <w:rPr>
          <w:rFonts w:ascii="Arial" w:hAnsi="Arial" w:cs="Arial"/>
          <w:b/>
          <w:bCs/>
        </w:rPr>
        <w:t xml:space="preserve">Supplemental table 2: Coverage of whole exome sequencing data. </w:t>
      </w:r>
      <w:proofErr w:type="gramStart"/>
      <w:r w:rsidRPr="00F85402">
        <w:rPr>
          <w:rFonts w:ascii="Arial" w:hAnsi="Arial" w:cs="Arial"/>
        </w:rPr>
        <w:t>Table  shows</w:t>
      </w:r>
      <w:proofErr w:type="gramEnd"/>
      <w:r w:rsidRPr="00F85402">
        <w:rPr>
          <w:rFonts w:ascii="Arial" w:hAnsi="Arial" w:cs="Arial"/>
        </w:rPr>
        <w:t xml:space="preserve"> information on whole exome sequencing coverage for tumour samples and germline controls. EAC: </w:t>
      </w:r>
      <w:proofErr w:type="spellStart"/>
      <w:r w:rsidRPr="00F85402">
        <w:rPr>
          <w:rFonts w:ascii="Arial" w:hAnsi="Arial" w:cs="Arial"/>
        </w:rPr>
        <w:t>esophageal</w:t>
      </w:r>
      <w:proofErr w:type="spellEnd"/>
      <w:r w:rsidRPr="00F85402">
        <w:rPr>
          <w:rFonts w:ascii="Arial" w:hAnsi="Arial" w:cs="Arial"/>
        </w:rPr>
        <w:t xml:space="preserve"> adenocarcinoma, WES: whole exome sequencing.</w:t>
      </w:r>
    </w:p>
    <w:p w14:paraId="0531C63E" w14:textId="77777777" w:rsidR="00FE6E34" w:rsidRPr="00F85402" w:rsidRDefault="00FE6E34" w:rsidP="00FE6E34">
      <w:pPr>
        <w:jc w:val="both"/>
        <w:rPr>
          <w:rFonts w:ascii="Arial" w:hAnsi="Arial" w:cs="Arial"/>
        </w:rPr>
      </w:pPr>
    </w:p>
    <w:p w14:paraId="618EF570" w14:textId="77777777" w:rsidR="00FE6E34" w:rsidRPr="00F85402" w:rsidRDefault="00FE6E34" w:rsidP="00FE6E34">
      <w:pPr>
        <w:jc w:val="both"/>
        <w:rPr>
          <w:rFonts w:ascii="Arial" w:hAnsi="Arial" w:cs="Arial"/>
        </w:rPr>
      </w:pPr>
      <w:r w:rsidRPr="00F85402">
        <w:rPr>
          <w:rFonts w:ascii="Arial" w:hAnsi="Arial" w:cs="Arial"/>
          <w:b/>
          <w:bCs/>
        </w:rPr>
        <w:t xml:space="preserve">Supplemental table 3: Read depth of RNA sequencing data. </w:t>
      </w:r>
      <w:r w:rsidRPr="00F85402">
        <w:rPr>
          <w:rFonts w:ascii="Arial" w:hAnsi="Arial" w:cs="Arial"/>
        </w:rPr>
        <w:t xml:space="preserve">Table shows total gene counts of RNA sequencing data for each sample. </w:t>
      </w:r>
    </w:p>
    <w:p w14:paraId="446ABD60" w14:textId="77777777" w:rsidR="00FE6E34" w:rsidRPr="00F85402" w:rsidRDefault="00FE6E34" w:rsidP="00FE6E34">
      <w:pPr>
        <w:jc w:val="both"/>
        <w:rPr>
          <w:rFonts w:ascii="Arial" w:hAnsi="Arial" w:cs="Arial"/>
        </w:rPr>
      </w:pPr>
    </w:p>
    <w:p w14:paraId="4DEFF719" w14:textId="77777777" w:rsidR="00FE6E34" w:rsidRPr="00F85402" w:rsidRDefault="00FE6E34" w:rsidP="00FE6E34">
      <w:pPr>
        <w:jc w:val="both"/>
        <w:rPr>
          <w:rFonts w:ascii="Arial" w:hAnsi="Arial" w:cs="Arial"/>
        </w:rPr>
      </w:pPr>
      <w:r w:rsidRPr="00F85402">
        <w:rPr>
          <w:rFonts w:ascii="Arial" w:hAnsi="Arial" w:cs="Arial"/>
          <w:b/>
          <w:bCs/>
        </w:rPr>
        <w:t xml:space="preserve">Supplemental table 4: Panel for imaging mass cytometry analyses. </w:t>
      </w:r>
      <w:r w:rsidRPr="00F85402">
        <w:rPr>
          <w:rFonts w:ascii="Arial" w:hAnsi="Arial" w:cs="Arial"/>
        </w:rPr>
        <w:t>Table shows information on used antibodies for IMC analyses. IMC: imaging mass cytometry.</w:t>
      </w:r>
    </w:p>
    <w:p w14:paraId="09E75127" w14:textId="77777777" w:rsidR="00FE6E34" w:rsidRPr="00F85402" w:rsidRDefault="00FE6E34" w:rsidP="00FE6E34">
      <w:pPr>
        <w:jc w:val="both"/>
        <w:rPr>
          <w:rFonts w:ascii="Arial" w:hAnsi="Arial" w:cs="Arial"/>
        </w:rPr>
      </w:pPr>
    </w:p>
    <w:p w14:paraId="0A20FB32" w14:textId="77777777" w:rsidR="00FE6E34" w:rsidRPr="00DC1736" w:rsidRDefault="00FE6E34" w:rsidP="00FE6E34">
      <w:pPr>
        <w:jc w:val="both"/>
        <w:rPr>
          <w:rFonts w:ascii="Arial" w:hAnsi="Arial" w:cs="Arial"/>
          <w:color w:val="000000" w:themeColor="text1"/>
        </w:rPr>
      </w:pPr>
      <w:r w:rsidRPr="00F85402">
        <w:rPr>
          <w:rFonts w:ascii="Arial" w:hAnsi="Arial" w:cs="Arial"/>
          <w:b/>
          <w:bCs/>
        </w:rPr>
        <w:t xml:space="preserve">Supplemental </w:t>
      </w:r>
      <w:r w:rsidRPr="005247F0">
        <w:rPr>
          <w:rFonts w:ascii="Arial" w:hAnsi="Arial" w:cs="Arial"/>
          <w:b/>
          <w:bCs/>
        </w:rPr>
        <w:t xml:space="preserve">table </w:t>
      </w:r>
      <w:r w:rsidRPr="00DC1736">
        <w:rPr>
          <w:rFonts w:ascii="Arial" w:hAnsi="Arial" w:cs="Arial"/>
          <w:b/>
          <w:bCs/>
          <w:color w:val="000000" w:themeColor="text1"/>
        </w:rPr>
        <w:t>5</w:t>
      </w:r>
      <w:r w:rsidRPr="005247F0">
        <w:rPr>
          <w:rFonts w:ascii="Arial" w:hAnsi="Arial" w:cs="Arial"/>
          <w:b/>
          <w:bCs/>
          <w:color w:val="000000" w:themeColor="text1"/>
        </w:rPr>
        <w:t>:</w:t>
      </w:r>
      <w:r w:rsidRPr="00F85402">
        <w:rPr>
          <w:rFonts w:ascii="Arial" w:hAnsi="Arial" w:cs="Arial"/>
          <w:b/>
          <w:bCs/>
          <w:color w:val="000000" w:themeColor="text1"/>
        </w:rPr>
        <w:t xml:space="preserve"> </w:t>
      </w:r>
      <w:proofErr w:type="spellStart"/>
      <w:r w:rsidRPr="00F85402">
        <w:rPr>
          <w:rFonts w:ascii="Arial" w:hAnsi="Arial" w:cs="Arial"/>
          <w:b/>
          <w:bCs/>
          <w:color w:val="000000" w:themeColor="text1"/>
        </w:rPr>
        <w:t>dN</w:t>
      </w:r>
      <w:proofErr w:type="spellEnd"/>
      <w:r w:rsidRPr="00F85402">
        <w:rPr>
          <w:rFonts w:ascii="Arial" w:hAnsi="Arial" w:cs="Arial"/>
          <w:b/>
          <w:bCs/>
          <w:color w:val="000000" w:themeColor="text1"/>
        </w:rPr>
        <w:t>/</w:t>
      </w:r>
      <w:proofErr w:type="spellStart"/>
      <w:r w:rsidRPr="00F85402">
        <w:rPr>
          <w:rFonts w:ascii="Arial" w:hAnsi="Arial" w:cs="Arial"/>
          <w:b/>
          <w:bCs/>
          <w:color w:val="000000" w:themeColor="text1"/>
        </w:rPr>
        <w:t>dS</w:t>
      </w:r>
      <w:proofErr w:type="spellEnd"/>
      <w:r w:rsidRPr="00F85402">
        <w:rPr>
          <w:rFonts w:ascii="Arial" w:hAnsi="Arial" w:cs="Arial"/>
          <w:b/>
          <w:bCs/>
          <w:color w:val="000000" w:themeColor="text1"/>
        </w:rPr>
        <w:t xml:space="preserve"> analyses</w:t>
      </w:r>
      <w:r>
        <w:rPr>
          <w:rFonts w:ascii="Arial" w:hAnsi="Arial" w:cs="Arial"/>
          <w:b/>
          <w:bCs/>
          <w:color w:val="000000" w:themeColor="text1"/>
        </w:rPr>
        <w:t xml:space="preserve">. </w:t>
      </w:r>
      <w:r w:rsidRPr="00DC1736">
        <w:rPr>
          <w:rFonts w:ascii="Arial" w:hAnsi="Arial" w:cs="Arial"/>
          <w:color w:val="000000" w:themeColor="text1"/>
        </w:rPr>
        <w:t xml:space="preserve">Table shows maximum-likelihood estimates (MLE) and confidence intervals (CI) of </w:t>
      </w:r>
      <w:proofErr w:type="spellStart"/>
      <w:r w:rsidRPr="00DC1736">
        <w:rPr>
          <w:rFonts w:ascii="Arial" w:hAnsi="Arial" w:cs="Arial"/>
          <w:color w:val="000000" w:themeColor="text1"/>
        </w:rPr>
        <w:t>dN</w:t>
      </w:r>
      <w:proofErr w:type="spellEnd"/>
      <w:r w:rsidRPr="00DC1736">
        <w:rPr>
          <w:rFonts w:ascii="Arial" w:hAnsi="Arial" w:cs="Arial"/>
          <w:color w:val="000000" w:themeColor="text1"/>
        </w:rPr>
        <w:t>/</w:t>
      </w:r>
      <w:proofErr w:type="spellStart"/>
      <w:r w:rsidRPr="00DC1736">
        <w:rPr>
          <w:rFonts w:ascii="Arial" w:hAnsi="Arial" w:cs="Arial"/>
          <w:color w:val="000000" w:themeColor="text1"/>
        </w:rPr>
        <w:t>dS</w:t>
      </w:r>
      <w:proofErr w:type="spellEnd"/>
      <w:r w:rsidRPr="00DC1736">
        <w:rPr>
          <w:rFonts w:ascii="Arial" w:hAnsi="Arial" w:cs="Arial"/>
          <w:color w:val="000000" w:themeColor="text1"/>
        </w:rPr>
        <w:t xml:space="preserve"> ratios for treatment-naïve SNVs in Responder</w:t>
      </w:r>
      <w:r>
        <w:rPr>
          <w:rFonts w:ascii="Arial" w:hAnsi="Arial" w:cs="Arial"/>
          <w:color w:val="000000" w:themeColor="text1"/>
        </w:rPr>
        <w:t xml:space="preserve"> and</w:t>
      </w:r>
      <w:r w:rsidRPr="00DC1736">
        <w:rPr>
          <w:rFonts w:ascii="Arial" w:hAnsi="Arial" w:cs="Arial"/>
          <w:color w:val="000000" w:themeColor="text1"/>
        </w:rPr>
        <w:t xml:space="preserve"> Non-Responder, </w:t>
      </w:r>
      <w:proofErr w:type="spellStart"/>
      <w:r w:rsidRPr="00DC1736">
        <w:rPr>
          <w:rFonts w:ascii="Arial" w:hAnsi="Arial" w:cs="Arial"/>
          <w:color w:val="000000" w:themeColor="text1"/>
        </w:rPr>
        <w:t>CTx</w:t>
      </w:r>
      <w:proofErr w:type="spellEnd"/>
      <w:r w:rsidRPr="00DC1736">
        <w:rPr>
          <w:rFonts w:ascii="Arial" w:hAnsi="Arial" w:cs="Arial"/>
          <w:color w:val="000000" w:themeColor="text1"/>
        </w:rPr>
        <w:t>-SNVs</w:t>
      </w:r>
      <w:r>
        <w:rPr>
          <w:rFonts w:ascii="Arial" w:hAnsi="Arial" w:cs="Arial"/>
          <w:color w:val="000000" w:themeColor="text1"/>
        </w:rPr>
        <w:t xml:space="preserve">: </w:t>
      </w:r>
      <w:r w:rsidRPr="00785474">
        <w:rPr>
          <w:rFonts w:ascii="Arial" w:hAnsi="Arial" w:cs="Arial"/>
          <w:color w:val="000000" w:themeColor="text1"/>
        </w:rPr>
        <w:t xml:space="preserve">SNVs newly occurring during </w:t>
      </w:r>
      <w:proofErr w:type="spellStart"/>
      <w:r w:rsidRPr="00785474">
        <w:rPr>
          <w:rFonts w:ascii="Arial" w:hAnsi="Arial" w:cs="Arial"/>
          <w:color w:val="000000" w:themeColor="text1"/>
        </w:rPr>
        <w:t>CTx</w:t>
      </w:r>
      <w:proofErr w:type="spellEnd"/>
      <w:r>
        <w:rPr>
          <w:rFonts w:ascii="Arial" w:hAnsi="Arial" w:cs="Arial"/>
          <w:color w:val="000000" w:themeColor="text1"/>
        </w:rPr>
        <w:t>,</w:t>
      </w:r>
      <w:r w:rsidRPr="00DC1736">
        <w:rPr>
          <w:rFonts w:ascii="Arial" w:hAnsi="Arial" w:cs="Arial"/>
          <w:color w:val="000000" w:themeColor="text1"/>
        </w:rPr>
        <w:t xml:space="preserve"> </w:t>
      </w:r>
      <w:proofErr w:type="spellStart"/>
      <w:r w:rsidRPr="00DC1736">
        <w:rPr>
          <w:rFonts w:ascii="Arial" w:hAnsi="Arial" w:cs="Arial"/>
          <w:color w:val="000000" w:themeColor="text1"/>
        </w:rPr>
        <w:t>RCTx</w:t>
      </w:r>
      <w:proofErr w:type="spellEnd"/>
      <w:r w:rsidRPr="00DC1736">
        <w:rPr>
          <w:rFonts w:ascii="Arial" w:hAnsi="Arial" w:cs="Arial"/>
          <w:color w:val="000000" w:themeColor="text1"/>
        </w:rPr>
        <w:t>-SNVs</w:t>
      </w:r>
      <w:r>
        <w:rPr>
          <w:rFonts w:ascii="Arial" w:hAnsi="Arial" w:cs="Arial"/>
          <w:color w:val="000000" w:themeColor="text1"/>
        </w:rPr>
        <w:t xml:space="preserve">: </w:t>
      </w:r>
      <w:r w:rsidRPr="00785474">
        <w:rPr>
          <w:rFonts w:ascii="Arial" w:hAnsi="Arial" w:cs="Arial"/>
          <w:color w:val="000000" w:themeColor="text1"/>
        </w:rPr>
        <w:t xml:space="preserve">SNVs newly occurring during </w:t>
      </w:r>
      <w:proofErr w:type="spellStart"/>
      <w:r w:rsidRPr="00785474">
        <w:rPr>
          <w:rFonts w:ascii="Arial" w:hAnsi="Arial" w:cs="Arial"/>
          <w:color w:val="000000" w:themeColor="text1"/>
        </w:rPr>
        <w:t>RCTx</w:t>
      </w:r>
      <w:proofErr w:type="spellEnd"/>
      <w:r>
        <w:rPr>
          <w:rFonts w:ascii="Arial" w:hAnsi="Arial" w:cs="Arial"/>
          <w:color w:val="000000" w:themeColor="text1"/>
        </w:rPr>
        <w:t xml:space="preserve">. </w:t>
      </w:r>
    </w:p>
    <w:p w14:paraId="2E515F38" w14:textId="77777777" w:rsidR="00FE6E34" w:rsidRPr="00F85402" w:rsidRDefault="00FE6E34" w:rsidP="00FE6E34">
      <w:pPr>
        <w:jc w:val="both"/>
        <w:rPr>
          <w:rFonts w:ascii="Arial" w:hAnsi="Arial" w:cs="Arial"/>
          <w:b/>
          <w:bCs/>
          <w:color w:val="000000" w:themeColor="text1"/>
        </w:rPr>
      </w:pPr>
    </w:p>
    <w:p w14:paraId="02BEA7B6" w14:textId="77777777" w:rsidR="00FE6E34" w:rsidRPr="00F85402" w:rsidRDefault="00FE6E34" w:rsidP="00FE6E34">
      <w:pPr>
        <w:jc w:val="both"/>
        <w:rPr>
          <w:rFonts w:ascii="Arial" w:hAnsi="Arial" w:cs="Arial"/>
        </w:rPr>
      </w:pPr>
      <w:r w:rsidRPr="00F85402">
        <w:rPr>
          <w:rFonts w:ascii="Arial" w:hAnsi="Arial" w:cs="Arial"/>
          <w:b/>
          <w:bCs/>
        </w:rPr>
        <w:t xml:space="preserve">Supplemental table </w:t>
      </w:r>
      <w:r>
        <w:rPr>
          <w:rFonts w:ascii="Arial" w:hAnsi="Arial" w:cs="Arial"/>
          <w:b/>
          <w:bCs/>
          <w:color w:val="000000" w:themeColor="text1"/>
        </w:rPr>
        <w:t>6</w:t>
      </w:r>
      <w:r w:rsidRPr="00F85402">
        <w:rPr>
          <w:rFonts w:ascii="Arial" w:hAnsi="Arial" w:cs="Arial"/>
          <w:b/>
          <w:bCs/>
          <w:color w:val="000000" w:themeColor="text1"/>
        </w:rPr>
        <w:t xml:space="preserve">: </w:t>
      </w:r>
      <w:proofErr w:type="spellStart"/>
      <w:r w:rsidRPr="00F85402">
        <w:rPr>
          <w:rFonts w:ascii="Arial" w:eastAsiaTheme="minorHAnsi" w:hAnsi="Arial" w:cs="Arial"/>
          <w:b/>
          <w:bCs/>
          <w:color w:val="000000" w:themeColor="text1"/>
          <w:lang w:eastAsia="en-US"/>
        </w:rPr>
        <w:t>IntOGen</w:t>
      </w:r>
      <w:proofErr w:type="spellEnd"/>
      <w:proofErr w:type="gramStart"/>
      <w:r w:rsidRPr="00F85402">
        <w:rPr>
          <w:rFonts w:ascii="Arial" w:hAnsi="Arial" w:cs="Arial"/>
          <w:b/>
          <w:bCs/>
          <w:vertAlign w:val="superscript"/>
        </w:rPr>
        <w:t xml:space="preserve">© </w:t>
      </w:r>
      <w:r w:rsidRPr="00F85402">
        <w:rPr>
          <w:rFonts w:ascii="Arial" w:eastAsiaTheme="minorHAnsi" w:hAnsi="Arial" w:cs="Arial"/>
          <w:b/>
          <w:bCs/>
          <w:color w:val="000000" w:themeColor="text1"/>
          <w:lang w:eastAsia="en-US"/>
        </w:rPr>
        <w:t xml:space="preserve"> driver</w:t>
      </w:r>
      <w:proofErr w:type="gramEnd"/>
      <w:r w:rsidRPr="00F85402">
        <w:rPr>
          <w:rFonts w:ascii="Arial" w:eastAsiaTheme="minorHAnsi" w:hAnsi="Arial" w:cs="Arial"/>
          <w:b/>
          <w:bCs/>
          <w:color w:val="000000" w:themeColor="text1"/>
          <w:lang w:eastAsia="en-US"/>
        </w:rPr>
        <w:t xml:space="preserve"> genes for gastric and </w:t>
      </w:r>
      <w:proofErr w:type="spellStart"/>
      <w:r w:rsidRPr="00F85402">
        <w:rPr>
          <w:rFonts w:ascii="Arial" w:eastAsiaTheme="minorHAnsi" w:hAnsi="Arial" w:cs="Arial"/>
          <w:b/>
          <w:bCs/>
          <w:color w:val="000000" w:themeColor="text1"/>
          <w:lang w:eastAsia="en-US"/>
        </w:rPr>
        <w:t>esophageal</w:t>
      </w:r>
      <w:proofErr w:type="spellEnd"/>
      <w:r w:rsidRPr="00F85402">
        <w:rPr>
          <w:rFonts w:ascii="Arial" w:eastAsiaTheme="minorHAnsi" w:hAnsi="Arial" w:cs="Arial"/>
          <w:b/>
          <w:bCs/>
          <w:color w:val="000000" w:themeColor="text1"/>
          <w:lang w:eastAsia="en-US"/>
        </w:rPr>
        <w:t xml:space="preserve"> cancer.</w:t>
      </w:r>
      <w:r w:rsidRPr="00F85402">
        <w:rPr>
          <w:rFonts w:ascii="Arial" w:eastAsiaTheme="minorHAnsi" w:hAnsi="Arial" w:cs="Arial"/>
          <w:color w:val="000000" w:themeColor="text1"/>
          <w:lang w:eastAsia="en-US"/>
        </w:rPr>
        <w:t xml:space="preserve"> Table shows gene symbols, Ensemble IDs and locations of 108 </w:t>
      </w:r>
      <w:proofErr w:type="spellStart"/>
      <w:r w:rsidRPr="00F85402">
        <w:rPr>
          <w:rFonts w:ascii="Arial" w:eastAsiaTheme="minorHAnsi" w:hAnsi="Arial" w:cs="Arial"/>
          <w:color w:val="000000" w:themeColor="text1"/>
          <w:lang w:eastAsia="en-US"/>
        </w:rPr>
        <w:t>IntOGen</w:t>
      </w:r>
      <w:proofErr w:type="spellEnd"/>
      <w:proofErr w:type="gramStart"/>
      <w:r w:rsidRPr="00F85402">
        <w:rPr>
          <w:rFonts w:ascii="Arial" w:hAnsi="Arial" w:cs="Arial"/>
          <w:vertAlign w:val="superscript"/>
        </w:rPr>
        <w:t xml:space="preserve">© </w:t>
      </w:r>
      <w:r w:rsidRPr="00F85402">
        <w:rPr>
          <w:rFonts w:ascii="Arial" w:eastAsiaTheme="minorHAnsi" w:hAnsi="Arial" w:cs="Arial"/>
          <w:color w:val="000000" w:themeColor="text1"/>
          <w:lang w:eastAsia="en-US"/>
        </w:rPr>
        <w:t xml:space="preserve"> driver</w:t>
      </w:r>
      <w:proofErr w:type="gramEnd"/>
      <w:r w:rsidRPr="00F85402">
        <w:rPr>
          <w:rFonts w:ascii="Arial" w:eastAsiaTheme="minorHAnsi" w:hAnsi="Arial" w:cs="Arial"/>
          <w:color w:val="000000" w:themeColor="text1"/>
          <w:lang w:eastAsia="en-US"/>
        </w:rPr>
        <w:t xml:space="preserve"> genes for gastric and </w:t>
      </w:r>
      <w:proofErr w:type="spellStart"/>
      <w:r w:rsidRPr="00F85402">
        <w:rPr>
          <w:rFonts w:ascii="Arial" w:eastAsiaTheme="minorHAnsi" w:hAnsi="Arial" w:cs="Arial"/>
          <w:color w:val="000000" w:themeColor="text1"/>
          <w:lang w:eastAsia="en-US"/>
        </w:rPr>
        <w:t>esophageal</w:t>
      </w:r>
      <w:proofErr w:type="spellEnd"/>
      <w:r w:rsidRPr="00F85402">
        <w:rPr>
          <w:rFonts w:ascii="Arial" w:eastAsiaTheme="minorHAnsi" w:hAnsi="Arial" w:cs="Arial"/>
          <w:color w:val="000000" w:themeColor="text1"/>
          <w:lang w:eastAsia="en-US"/>
        </w:rPr>
        <w:t xml:space="preserve"> cancer.</w:t>
      </w:r>
    </w:p>
    <w:p w14:paraId="6734A5B7" w14:textId="77777777" w:rsidR="00FE6E34" w:rsidRPr="00F85402" w:rsidRDefault="00FE6E34" w:rsidP="00FE6E34">
      <w:pPr>
        <w:jc w:val="both"/>
        <w:rPr>
          <w:rFonts w:ascii="Arial" w:hAnsi="Arial" w:cs="Arial"/>
        </w:rPr>
      </w:pPr>
    </w:p>
    <w:p w14:paraId="69C64AF3" w14:textId="77777777" w:rsidR="00FE6E34" w:rsidRPr="00F85402" w:rsidRDefault="00FE6E34" w:rsidP="00FE6E34">
      <w:pPr>
        <w:jc w:val="both"/>
        <w:rPr>
          <w:rFonts w:ascii="Arial" w:hAnsi="Arial" w:cs="Arial"/>
        </w:rPr>
      </w:pPr>
      <w:r w:rsidRPr="00F85402">
        <w:rPr>
          <w:rFonts w:ascii="Arial" w:hAnsi="Arial" w:cs="Arial"/>
          <w:b/>
          <w:bCs/>
        </w:rPr>
        <w:t xml:space="preserve">Supplemental table </w:t>
      </w:r>
      <w:r>
        <w:rPr>
          <w:rFonts w:ascii="Arial" w:hAnsi="Arial" w:cs="Arial"/>
          <w:b/>
          <w:bCs/>
        </w:rPr>
        <w:t>7</w:t>
      </w:r>
      <w:r w:rsidRPr="00F85402">
        <w:rPr>
          <w:rFonts w:ascii="Arial" w:hAnsi="Arial" w:cs="Arial"/>
          <w:b/>
          <w:bCs/>
        </w:rPr>
        <w:t xml:space="preserve">: KEGG pathway enrichment in Responder at timepoint A versus timepoint B. </w:t>
      </w:r>
      <w:r w:rsidRPr="00F85402">
        <w:rPr>
          <w:rFonts w:ascii="Arial" w:hAnsi="Arial" w:cs="Arial"/>
        </w:rPr>
        <w:t>Table shows enrichment scores, p-</w:t>
      </w:r>
      <w:proofErr w:type="gramStart"/>
      <w:r w:rsidRPr="00F85402">
        <w:rPr>
          <w:rFonts w:ascii="Arial" w:hAnsi="Arial" w:cs="Arial"/>
        </w:rPr>
        <w:t>values</w:t>
      </w:r>
      <w:proofErr w:type="gramEnd"/>
      <w:r w:rsidRPr="00F85402">
        <w:rPr>
          <w:rFonts w:ascii="Arial" w:hAnsi="Arial" w:cs="Arial"/>
        </w:rPr>
        <w:t xml:space="preserve"> and q-values for KEGG </w:t>
      </w:r>
      <w:r w:rsidRPr="00F85402">
        <w:rPr>
          <w:rFonts w:ascii="Arial" w:hAnsi="Arial" w:cs="Arial"/>
        </w:rPr>
        <w:lastRenderedPageBreak/>
        <w:t xml:space="preserve">pathway enrichments based on RNA expression in REs at timepoint A versus REs at timepoint B. </w:t>
      </w:r>
      <w:r>
        <w:rPr>
          <w:rFonts w:ascii="Arial" w:hAnsi="Arial" w:cs="Arial"/>
        </w:rPr>
        <w:tab/>
      </w:r>
    </w:p>
    <w:p w14:paraId="77364B94" w14:textId="77777777" w:rsidR="00FE6E34" w:rsidRPr="00F85402" w:rsidRDefault="00FE6E34" w:rsidP="00FE6E34">
      <w:pPr>
        <w:tabs>
          <w:tab w:val="left" w:pos="2440"/>
        </w:tabs>
        <w:jc w:val="both"/>
        <w:rPr>
          <w:rFonts w:ascii="Arial" w:hAnsi="Arial" w:cs="Arial"/>
        </w:rPr>
      </w:pPr>
    </w:p>
    <w:p w14:paraId="78FE5DE7" w14:textId="77777777" w:rsidR="00FE6E34" w:rsidRPr="00F85402" w:rsidRDefault="00FE6E34" w:rsidP="00FE6E34">
      <w:pPr>
        <w:tabs>
          <w:tab w:val="left" w:pos="2440"/>
        </w:tabs>
        <w:jc w:val="both"/>
        <w:rPr>
          <w:rFonts w:ascii="Arial" w:hAnsi="Arial" w:cs="Arial"/>
        </w:rPr>
      </w:pPr>
      <w:r w:rsidRPr="00F85402">
        <w:rPr>
          <w:rFonts w:ascii="Arial" w:hAnsi="Arial" w:cs="Arial"/>
          <w:b/>
          <w:bCs/>
        </w:rPr>
        <w:t>Supplemental table</w:t>
      </w:r>
      <w:r>
        <w:rPr>
          <w:rFonts w:ascii="Arial" w:hAnsi="Arial" w:cs="Arial"/>
          <w:b/>
          <w:bCs/>
        </w:rPr>
        <w:t xml:space="preserve"> 8</w:t>
      </w:r>
      <w:r w:rsidRPr="00F85402">
        <w:rPr>
          <w:rFonts w:ascii="Arial" w:hAnsi="Arial" w:cs="Arial"/>
          <w:b/>
          <w:bCs/>
        </w:rPr>
        <w:t xml:space="preserve">: Tissue fixation of IMC analysed regions of interests. </w:t>
      </w:r>
      <w:r w:rsidRPr="00F85402">
        <w:rPr>
          <w:rFonts w:ascii="Arial" w:hAnsi="Arial" w:cs="Arial"/>
        </w:rPr>
        <w:t xml:space="preserve">Table shows regions of interests for IMC analyses and the fixation method of the respective tissue. FFPE: formalin-fixed paraffin-embedded, PFPE: </w:t>
      </w:r>
      <w:proofErr w:type="spellStart"/>
      <w:r w:rsidRPr="00F85402">
        <w:rPr>
          <w:rFonts w:ascii="Arial" w:hAnsi="Arial" w:cs="Arial"/>
        </w:rPr>
        <w:t>PAXgene</w:t>
      </w:r>
      <w:proofErr w:type="spellEnd"/>
      <w:r w:rsidRPr="00F85402">
        <w:rPr>
          <w:rFonts w:ascii="Arial" w:hAnsi="Arial" w:cs="Arial"/>
        </w:rPr>
        <w:t xml:space="preserve">-fixed paraffin-embedded. </w:t>
      </w:r>
    </w:p>
    <w:p w14:paraId="30AA4820" w14:textId="77777777" w:rsidR="00B529A8" w:rsidRDefault="00B529A8"/>
    <w:sectPr w:rsidR="00B529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E34"/>
    <w:rsid w:val="00B529A8"/>
    <w:rsid w:val="00FE6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CA8B3"/>
  <w15:chartTrackingRefBased/>
  <w15:docId w15:val="{42F988C4-3338-4861-A625-CA669FFAB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E34"/>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E6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1342</Words>
  <Characters>7650</Characters>
  <Application>Microsoft Office Word</Application>
  <DocSecurity>0</DocSecurity>
  <Lines>63</Lines>
  <Paragraphs>17</Paragraphs>
  <ScaleCrop>false</ScaleCrop>
  <Company/>
  <LinksUpToDate>false</LinksUpToDate>
  <CharactersWithSpaces>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2023-04-13T22:22:00Z</dcterms:created>
  <dcterms:modified xsi:type="dcterms:W3CDTF">2023-04-13T22:23:00Z</dcterms:modified>
</cp:coreProperties>
</file>