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376A" w14:textId="77777777" w:rsidR="0005053D" w:rsidRPr="00FB66E1" w:rsidRDefault="0005053D" w:rsidP="0005053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B66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Supplementary materials</w:t>
      </w:r>
    </w:p>
    <w:p w14:paraId="635ED05D" w14:textId="7BE17C6C" w:rsidR="0005053D" w:rsidRPr="00FB66E1" w:rsidRDefault="0005053D">
      <w:pPr>
        <w:rPr>
          <w:rFonts w:ascii="Times New Roman" w:hAnsi="Times New Roman" w:cs="Times New Roman"/>
        </w:rPr>
      </w:pPr>
    </w:p>
    <w:p w14:paraId="243E0F36" w14:textId="6975D804" w:rsidR="0005053D" w:rsidRPr="00FB66E1" w:rsidRDefault="0005053D">
      <w:pPr>
        <w:rPr>
          <w:rFonts w:ascii="Times New Roman" w:hAnsi="Times New Roman" w:cs="Times New Roman"/>
        </w:rPr>
      </w:pPr>
      <w:r w:rsidRPr="00FB66E1">
        <w:rPr>
          <w:rFonts w:ascii="Times New Roman" w:hAnsi="Times New Roman" w:cs="Times New Roman"/>
          <w:noProof/>
        </w:rPr>
        <w:drawing>
          <wp:inline distT="0" distB="0" distL="0" distR="0" wp14:anchorId="68ED08F6" wp14:editId="7418BA0C">
            <wp:extent cx="5274310" cy="2243455"/>
            <wp:effectExtent l="0" t="0" r="2540" b="4445"/>
            <wp:docPr id="1358150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50236" name="图片 13581502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34E77" w14:textId="77777777" w:rsidR="0086579F" w:rsidRPr="00FB66E1" w:rsidRDefault="0086579F" w:rsidP="0086579F">
      <w:pPr>
        <w:spacing w:line="480" w:lineRule="auto"/>
        <w:rPr>
          <w:rFonts w:ascii="Times New Roman" w:eastAsia="MinionPro-Regular" w:hAnsi="Times New Roman" w:cs="Times New Roman"/>
          <w:kern w:val="0"/>
          <w:sz w:val="24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S1.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FB66E1">
        <w:rPr>
          <w:rFonts w:ascii="Times New Roman" w:eastAsia="MinionPro-Bold" w:hAnsi="Times New Roman" w:cs="Times New Roman"/>
          <w:kern w:val="0"/>
          <w:sz w:val="24"/>
        </w:rPr>
        <w:t xml:space="preserve">Detected alleles of </w:t>
      </w:r>
      <w:r w:rsidRPr="00FB66E1">
        <w:rPr>
          <w:rFonts w:ascii="Times New Roman" w:eastAsia="MinionPro-Bold" w:hAnsi="Times New Roman" w:cs="Times New Roman"/>
          <w:i/>
          <w:iCs/>
          <w:kern w:val="0"/>
          <w:sz w:val="24"/>
        </w:rPr>
        <w:t>AVR-</w:t>
      </w:r>
      <w:proofErr w:type="spellStart"/>
      <w:r w:rsidRPr="00FB66E1">
        <w:rPr>
          <w:rFonts w:ascii="Times New Roman" w:eastAsia="MinionPro-Bold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MinionPro-Bold" w:hAnsi="Times New Roman" w:cs="Times New Roman"/>
          <w:iCs/>
          <w:kern w:val="0"/>
          <w:sz w:val="24"/>
        </w:rPr>
        <w:t xml:space="preserve"> </w:t>
      </w:r>
      <w:r w:rsidRPr="00FB66E1">
        <w:rPr>
          <w:rFonts w:ascii="Times New Roman" w:eastAsia="MinionPro-Bold" w:hAnsi="Times New Roman" w:cs="Times New Roman"/>
          <w:kern w:val="0"/>
          <w:sz w:val="24"/>
        </w:rPr>
        <w:t xml:space="preserve">by PCR assays. </w:t>
      </w:r>
      <w:r w:rsidRPr="00FB66E1">
        <w:rPr>
          <w:rFonts w:ascii="Times New Roman" w:eastAsia="MinionPro-Regular" w:hAnsi="Times New Roman" w:cs="Times New Roman"/>
          <w:kern w:val="0"/>
          <w:sz w:val="24"/>
        </w:rPr>
        <w:t>The amplicons</w:t>
      </w:r>
      <w:r w:rsidRPr="00FB66E1">
        <w:rPr>
          <w:rFonts w:ascii="Times New Roman" w:eastAsia="MinionPro-It" w:hAnsi="Times New Roman" w:cs="Times New Roman"/>
          <w:i/>
          <w:iCs/>
          <w:kern w:val="0"/>
          <w:sz w:val="24"/>
        </w:rPr>
        <w:t xml:space="preserve"> </w:t>
      </w:r>
      <w:r w:rsidRPr="00FB66E1">
        <w:rPr>
          <w:rFonts w:ascii="Times New Roman" w:eastAsia="MinionPro-It" w:hAnsi="Times New Roman" w:cs="Times New Roman"/>
          <w:iCs/>
          <w:kern w:val="0"/>
          <w:sz w:val="24"/>
        </w:rPr>
        <w:t xml:space="preserve">of </w:t>
      </w:r>
      <w:r w:rsidRPr="00FB66E1">
        <w:rPr>
          <w:rFonts w:ascii="Times New Roman" w:eastAsia="MinionPro-It" w:hAnsi="Times New Roman" w:cs="Times New Roman"/>
          <w:i/>
          <w:iCs/>
          <w:kern w:val="0"/>
          <w:sz w:val="24"/>
        </w:rPr>
        <w:t>AVR-Pib</w:t>
      </w:r>
      <w:r w:rsidRPr="00FB66E1">
        <w:rPr>
          <w:rFonts w:ascii="Times New Roman" w:eastAsia="MinionPro-Regular" w:hAnsi="Times New Roman" w:cs="Times New Roman"/>
          <w:kern w:val="0"/>
          <w:sz w:val="24"/>
        </w:rPr>
        <w:t>F1/R1 were used to distinguish four alleles: L1 and L2 (one fragment of different size), and L3 (two fragments of L1 and L2), L0 (no amplification); The isolates 1 to 8 are YJW-1-1d</w:t>
      </w:r>
      <w:r w:rsidRPr="00FB66E1">
        <w:rPr>
          <w:rFonts w:ascii="宋体" w:eastAsia="宋体" w:hAnsi="宋体" w:cs="宋体" w:hint="eastAsia"/>
          <w:kern w:val="0"/>
          <w:sz w:val="24"/>
        </w:rPr>
        <w:t>②</w:t>
      </w:r>
      <w:r w:rsidRPr="00FB66E1">
        <w:rPr>
          <w:rFonts w:ascii="Times New Roman" w:eastAsia="MinionPro-Regular" w:hAnsi="Times New Roman" w:cs="Times New Roman"/>
          <w:kern w:val="0"/>
          <w:sz w:val="24"/>
        </w:rPr>
        <w:t>, YJW-1-1e</w:t>
      </w:r>
      <w:r w:rsidRPr="00FB66E1">
        <w:rPr>
          <w:rFonts w:ascii="宋体" w:eastAsia="宋体" w:hAnsi="宋体" w:cs="宋体" w:hint="eastAsia"/>
          <w:kern w:val="0"/>
          <w:sz w:val="24"/>
        </w:rPr>
        <w:t>②</w:t>
      </w:r>
      <w:r w:rsidRPr="00FB66E1">
        <w:rPr>
          <w:rFonts w:ascii="Times New Roman" w:eastAsia="MinionPro-Regular" w:hAnsi="Times New Roman" w:cs="Times New Roman"/>
          <w:kern w:val="0"/>
          <w:sz w:val="24"/>
        </w:rPr>
        <w:t>, YJW-2-1a, YJW-2-1b, YJW-2-1c, YJW-2-1d, YJW-2-1e, and D-1-1g, respectively. M: DNA marker DL2000.</w:t>
      </w:r>
    </w:p>
    <w:p w14:paraId="2C65F496" w14:textId="77777777" w:rsidR="0086579F" w:rsidRPr="00FB66E1" w:rsidRDefault="0086579F" w:rsidP="0086579F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color w:val="000000"/>
          <w:sz w:val="24"/>
        </w:rPr>
        <w:t xml:space="preserve">L1 indicates the </w:t>
      </w:r>
      <w:r w:rsidRPr="00FB66E1">
        <w:rPr>
          <w:rFonts w:ascii="Times New Roman" w:hAnsi="Times New Roman" w:cs="Times New Roman"/>
          <w:i/>
          <w:iCs/>
          <w:color w:val="000000"/>
          <w:sz w:val="24"/>
        </w:rPr>
        <w:t>AVR-</w:t>
      </w:r>
      <w:proofErr w:type="spellStart"/>
      <w:r w:rsidRPr="00FB66E1">
        <w:rPr>
          <w:rFonts w:ascii="Times New Roman" w:hAnsi="Times New Roman" w:cs="Times New Roman"/>
          <w:i/>
          <w:iCs/>
          <w:color w:val="000000"/>
          <w:sz w:val="24"/>
        </w:rPr>
        <w:t>Pib</w:t>
      </w:r>
      <w:proofErr w:type="spellEnd"/>
      <w:r w:rsidRPr="00FB66E1">
        <w:rPr>
          <w:rFonts w:ascii="Times New Roman" w:hAnsi="Times New Roman" w:cs="Times New Roman"/>
          <w:color w:val="000000"/>
          <w:sz w:val="24"/>
        </w:rPr>
        <w:t xml:space="preserve"> genotype with the expected size (1231bp), L2 and L3 indicates the </w:t>
      </w:r>
      <w:r w:rsidRPr="00FB66E1">
        <w:rPr>
          <w:rFonts w:ascii="Times New Roman" w:hAnsi="Times New Roman" w:cs="Times New Roman"/>
          <w:i/>
          <w:iCs/>
          <w:color w:val="000000"/>
          <w:sz w:val="24"/>
        </w:rPr>
        <w:t>AVR-</w:t>
      </w:r>
      <w:proofErr w:type="spellStart"/>
      <w:r w:rsidRPr="00FB66E1">
        <w:rPr>
          <w:rFonts w:ascii="Times New Roman" w:hAnsi="Times New Roman" w:cs="Times New Roman"/>
          <w:i/>
          <w:iCs/>
          <w:color w:val="000000"/>
          <w:sz w:val="24"/>
        </w:rPr>
        <w:t>Pib</w:t>
      </w:r>
      <w:proofErr w:type="spellEnd"/>
      <w:r w:rsidRPr="00FB66E1">
        <w:rPr>
          <w:rFonts w:ascii="Times New Roman" w:hAnsi="Times New Roman" w:cs="Times New Roman"/>
          <w:color w:val="000000"/>
          <w:sz w:val="24"/>
        </w:rPr>
        <w:t xml:space="preserve"> genotype with TE insertion (L2 with 3100bp, L3 with both of 1231bp and 3100bp).</w:t>
      </w:r>
    </w:p>
    <w:p w14:paraId="00BA974E" w14:textId="77777777" w:rsidR="0005053D" w:rsidRPr="00FB66E1" w:rsidRDefault="0005053D">
      <w:pPr>
        <w:rPr>
          <w:rFonts w:ascii="Times New Roman" w:hAnsi="Times New Roman" w:cs="Times New Roman"/>
        </w:rPr>
      </w:pPr>
    </w:p>
    <w:p w14:paraId="42CE4543" w14:textId="77777777" w:rsidR="0086579F" w:rsidRPr="00FB66E1" w:rsidRDefault="0005053D">
      <w:pPr>
        <w:rPr>
          <w:rFonts w:ascii="Times New Roman" w:hAnsi="Times New Roman" w:cs="Times New Roman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11D5E5" wp14:editId="5853DAD7">
            <wp:extent cx="5274310" cy="3636010"/>
            <wp:effectExtent l="0" t="0" r="2540" b="2540"/>
            <wp:docPr id="8015507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50790" name="图片 8015507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10124" w14:textId="06158225" w:rsidR="0086579F" w:rsidRPr="00FB66E1" w:rsidRDefault="0086579F" w:rsidP="00FB66E1">
      <w:pPr>
        <w:spacing w:line="480" w:lineRule="auto"/>
        <w:rPr>
          <w:rFonts w:ascii="Times New Roman" w:hAnsi="Times New Roman" w:cs="Times New Roman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S2.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FB66E1">
        <w:rPr>
          <w:rFonts w:ascii="Times New Roman" w:eastAsia="AdvGulliv-R" w:hAnsi="Times New Roman" w:cs="Times New Roman"/>
          <w:bCs/>
          <w:kern w:val="0"/>
          <w:sz w:val="24"/>
        </w:rPr>
        <w:t>Diversification of</w:t>
      </w:r>
      <w:r w:rsidRPr="00FB66E1">
        <w:rPr>
          <w:rFonts w:ascii="Times New Roman" w:eastAsia="AdvGulliv-I" w:hAnsi="Times New Roman" w:cs="Times New Roman"/>
          <w:bCs/>
          <w:kern w:val="0"/>
          <w:sz w:val="24"/>
        </w:rPr>
        <w:t xml:space="preserve"> </w:t>
      </w:r>
      <w:r w:rsidRPr="00FB66E1">
        <w:rPr>
          <w:rFonts w:ascii="Times New Roman" w:eastAsia="AdvGulliv-I" w:hAnsi="Times New Roman" w:cs="Times New Roman"/>
          <w:bCs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I" w:hAnsi="Times New Roman" w:cs="Times New Roman"/>
          <w:bCs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I" w:hAnsi="Times New Roman" w:cs="Times New Roman"/>
          <w:bCs/>
          <w:kern w:val="0"/>
          <w:sz w:val="24"/>
        </w:rPr>
        <w:t xml:space="preserve"> </w:t>
      </w:r>
      <w:r w:rsidRPr="00FB66E1">
        <w:rPr>
          <w:rFonts w:ascii="Times New Roman" w:eastAsia="AdvGulliv-R" w:hAnsi="Times New Roman" w:cs="Times New Roman"/>
          <w:bCs/>
          <w:kern w:val="0"/>
          <w:sz w:val="24"/>
        </w:rPr>
        <w:t>in avirulent isolates. Di</w:t>
      </w:r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stribution of variation of the </w:t>
      </w:r>
      <w:r w:rsidRPr="00FB66E1">
        <w:rPr>
          <w:rFonts w:ascii="Times New Roman" w:eastAsia="AdvGulliv-I" w:hAnsi="Times New Roman" w:cs="Times New Roman"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I" w:hAnsi="Times New Roman" w:cs="Times New Roman"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I" w:hAnsi="Times New Roman" w:cs="Times New Roman"/>
          <w:i/>
          <w:kern w:val="0"/>
          <w:sz w:val="24"/>
        </w:rPr>
        <w:t xml:space="preserve"> </w:t>
      </w:r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alleles was analyzed using sliding window. X-axis shows the distribution of variation within the full region, including signal peptide and exon of </w:t>
      </w:r>
      <w:r w:rsidRPr="00FB66E1">
        <w:rPr>
          <w:rFonts w:ascii="Times New Roman" w:eastAsia="AdvGulliv-I" w:hAnsi="Times New Roman" w:cs="Times New Roman"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I" w:hAnsi="Times New Roman" w:cs="Times New Roman"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. Lower pane indicates the corresponding schematic presentation of the signal peptide and exon of </w:t>
      </w:r>
      <w:r w:rsidRPr="00FB66E1">
        <w:rPr>
          <w:rFonts w:ascii="Times New Roman" w:eastAsia="AdvGulliv-I" w:hAnsi="Times New Roman" w:cs="Times New Roman"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I" w:hAnsi="Times New Roman" w:cs="Times New Roman"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I" w:hAnsi="Times New Roman" w:cs="Times New Roman"/>
          <w:kern w:val="0"/>
          <w:sz w:val="24"/>
        </w:rPr>
        <w:t xml:space="preserve">. </w:t>
      </w:r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Window length: 1; Step size: 1. </w:t>
      </w:r>
      <w:r w:rsidRPr="00FB66E1">
        <w:rPr>
          <w:rFonts w:ascii="Times New Roman" w:hAnsi="Times New Roman" w:cs="Times New Roman"/>
          <w:sz w:val="24"/>
        </w:rPr>
        <w:t>π</w:t>
      </w:r>
      <w:r w:rsidRPr="00FB66E1">
        <w:rPr>
          <w:rFonts w:ascii="Times New Roman" w:hAnsi="Times New Roman" w:cs="Times New Roman"/>
          <w:i/>
          <w:sz w:val="24"/>
        </w:rPr>
        <w:t xml:space="preserve"> </w:t>
      </w:r>
      <w:r w:rsidRPr="00FB66E1">
        <w:rPr>
          <w:rFonts w:ascii="Times New Roman" w:eastAsia="AdvGulliv-R" w:hAnsi="Times New Roman" w:cs="Times New Roman"/>
          <w:kern w:val="0"/>
          <w:sz w:val="24"/>
        </w:rPr>
        <w:t>value corresponds with the level of variation at each site because it is the sum of pair-wise differences divided by the number of pairs within the population.</w:t>
      </w:r>
    </w:p>
    <w:p w14:paraId="222405C5" w14:textId="77777777" w:rsidR="0086579F" w:rsidRPr="00FB66E1" w:rsidRDefault="0005053D">
      <w:pPr>
        <w:rPr>
          <w:rFonts w:ascii="Times New Roman" w:hAnsi="Times New Roman" w:cs="Times New Roman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BCD8C7" wp14:editId="17173BF6">
            <wp:extent cx="5274310" cy="6562090"/>
            <wp:effectExtent l="0" t="0" r="2540" b="0"/>
            <wp:docPr id="19350050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05055" name="图片 19350050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1CFA5" w14:textId="77777777" w:rsidR="0086579F" w:rsidRPr="00FB66E1" w:rsidRDefault="0086579F" w:rsidP="0086579F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S3.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Part of insertion of sequences of </w:t>
      </w:r>
      <w:r w:rsidRPr="00FB66E1">
        <w:rPr>
          <w:rFonts w:ascii="Times New Roman" w:eastAsia="AdvGulliv-B" w:hAnsi="Times New Roman" w:cs="Times New Roman"/>
          <w:bCs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B" w:hAnsi="Times New Roman" w:cs="Times New Roman"/>
          <w:bCs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. </w:t>
      </w:r>
      <w:r w:rsidRPr="00FB66E1">
        <w:rPr>
          <w:rFonts w:ascii="Times New Roman" w:eastAsia="AdvGulliv-B" w:hAnsi="Times New Roman" w:cs="Times New Roman"/>
          <w:b/>
          <w:kern w:val="0"/>
          <w:sz w:val="24"/>
        </w:rPr>
        <w:t>A,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 indicates ACTTA, AGTTA, ATTA insert, respectively; </w:t>
      </w:r>
      <w:r w:rsidRPr="00FB66E1">
        <w:rPr>
          <w:rFonts w:ascii="Times New Roman" w:eastAsia="AdvGulliv-B" w:hAnsi="Times New Roman" w:cs="Times New Roman"/>
          <w:b/>
          <w:kern w:val="0"/>
          <w:sz w:val="24"/>
        </w:rPr>
        <w:t>B,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 indicates ACGTTA insert; </w:t>
      </w:r>
      <w:r w:rsidRPr="00FB66E1">
        <w:rPr>
          <w:rFonts w:ascii="Times New Roman" w:eastAsia="AdvGulliv-B" w:hAnsi="Times New Roman" w:cs="Times New Roman"/>
          <w:b/>
          <w:kern w:val="0"/>
          <w:sz w:val="24"/>
        </w:rPr>
        <w:t>C,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 indicates ACA insert; </w:t>
      </w:r>
      <w:r w:rsidRPr="00FB66E1">
        <w:rPr>
          <w:rFonts w:ascii="Times New Roman" w:eastAsia="AdvGulliv-B" w:hAnsi="Times New Roman" w:cs="Times New Roman"/>
          <w:b/>
          <w:kern w:val="0"/>
          <w:sz w:val="24"/>
        </w:rPr>
        <w:t xml:space="preserve">D, 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>indicates C insert.</w:t>
      </w:r>
    </w:p>
    <w:p w14:paraId="605B0814" w14:textId="77777777" w:rsidR="0086579F" w:rsidRPr="00FB66E1" w:rsidRDefault="0086579F">
      <w:pPr>
        <w:rPr>
          <w:rFonts w:ascii="Times New Roman" w:hAnsi="Times New Roman" w:cs="Times New Roman"/>
        </w:rPr>
      </w:pPr>
    </w:p>
    <w:p w14:paraId="378BF97C" w14:textId="77777777" w:rsidR="0086579F" w:rsidRPr="00FB66E1" w:rsidRDefault="0005053D">
      <w:pPr>
        <w:rPr>
          <w:rFonts w:ascii="Times New Roman" w:hAnsi="Times New Roman" w:cs="Times New Roman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FFD9BC" wp14:editId="27CA6B92">
            <wp:extent cx="5274310" cy="2639060"/>
            <wp:effectExtent l="0" t="0" r="2540" b="8890"/>
            <wp:docPr id="20000381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038164" name="图片 20000381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8D0C2" w14:textId="3C5521B1" w:rsidR="0086579F" w:rsidRPr="00FB66E1" w:rsidRDefault="0086579F" w:rsidP="00FB66E1">
      <w:pPr>
        <w:spacing w:line="480" w:lineRule="auto"/>
        <w:rPr>
          <w:rFonts w:ascii="Times New Roman" w:eastAsia="AdvGulliv-R" w:hAnsi="Times New Roman" w:cs="Times New Roman"/>
          <w:kern w:val="0"/>
          <w:sz w:val="24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S4.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FB66E1">
        <w:rPr>
          <w:rFonts w:ascii="Times New Roman" w:eastAsia="AdvGulliv-R" w:hAnsi="Times New Roman" w:cs="Times New Roman"/>
          <w:kern w:val="0"/>
          <w:sz w:val="24"/>
        </w:rPr>
        <w:t>SWISS-MODEL homology modelling, built with PROMOD v. 3.70, method X-ray. Amino acid variations at R50G in H1 (</w:t>
      </w:r>
      <w:proofErr w:type="spellStart"/>
      <w:r w:rsidRPr="00FB66E1">
        <w:rPr>
          <w:rFonts w:ascii="Times New Roman" w:eastAsia="AdvGulliv-R" w:hAnsi="Times New Roman" w:cs="Times New Roman"/>
          <w:kern w:val="0"/>
          <w:sz w:val="24"/>
        </w:rPr>
        <w:t>samed</w:t>
      </w:r>
      <w:proofErr w:type="spellEnd"/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 with KM887844, </w:t>
      </w:r>
      <w:r w:rsidRPr="00FB66E1">
        <w:rPr>
          <w:rFonts w:ascii="Times New Roman" w:eastAsia="AdvGulliv-R" w:hAnsi="Times New Roman" w:cs="Times New Roman"/>
          <w:kern w:val="0"/>
          <w:sz w:val="24"/>
          <w:lang w:val="pt-BR"/>
        </w:rPr>
        <w:t>H2, H3, H4, H9, H10, and H11</w:t>
      </w:r>
      <w:r w:rsidRPr="00FB66E1">
        <w:rPr>
          <w:rFonts w:ascii="Times New Roman" w:eastAsia="AdvGulliv-R" w:hAnsi="Times New Roman" w:cs="Times New Roman"/>
          <w:kern w:val="0"/>
          <w:sz w:val="24"/>
        </w:rPr>
        <w:t>), H5 (</w:t>
      </w:r>
      <w:proofErr w:type="spellStart"/>
      <w:r w:rsidRPr="00FB66E1">
        <w:rPr>
          <w:rFonts w:ascii="Times New Roman" w:eastAsia="AdvGulliv-R" w:hAnsi="Times New Roman" w:cs="Times New Roman"/>
          <w:kern w:val="0"/>
          <w:sz w:val="24"/>
        </w:rPr>
        <w:t>samed</w:t>
      </w:r>
      <w:proofErr w:type="spellEnd"/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 with </w:t>
      </w:r>
      <w:r w:rsidRPr="00FB66E1">
        <w:rPr>
          <w:rFonts w:ascii="Times New Roman" w:eastAsia="AdvGulliv-R" w:hAnsi="Times New Roman" w:cs="Times New Roman"/>
          <w:kern w:val="0"/>
          <w:sz w:val="24"/>
          <w:lang w:val="pt-BR"/>
        </w:rPr>
        <w:t>H6</w:t>
      </w:r>
      <w:r w:rsidRPr="00FB66E1">
        <w:rPr>
          <w:rFonts w:ascii="Times New Roman" w:eastAsia="AdvGulliv-R" w:hAnsi="Times New Roman" w:cs="Times New Roman"/>
          <w:kern w:val="0"/>
          <w:sz w:val="24"/>
        </w:rPr>
        <w:t>), H7, and H8 protein haplotypes of AVR-</w:t>
      </w:r>
      <w:proofErr w:type="spellStart"/>
      <w:r w:rsidRPr="00FB66E1">
        <w:rPr>
          <w:rFonts w:ascii="Times New Roman" w:eastAsia="AdvGulliv-R" w:hAnsi="Times New Roman" w:cs="Times New Roman"/>
          <w:kern w:val="0"/>
          <w:sz w:val="24"/>
        </w:rPr>
        <w:t>Pib</w:t>
      </w:r>
      <w:proofErr w:type="spellEnd"/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, respectively. </w:t>
      </w:r>
      <w:r w:rsidRPr="00FB66E1">
        <w:rPr>
          <w:rFonts w:ascii="Times New Roman" w:eastAsia="AdvGulliv-R" w:hAnsi="Times New Roman" w:cs="Times New Roman"/>
          <w:b/>
          <w:bCs/>
          <w:kern w:val="0"/>
          <w:sz w:val="24"/>
        </w:rPr>
        <w:t>A,</w:t>
      </w:r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 Ramachandran Plots. </w:t>
      </w:r>
      <w:r w:rsidRPr="00FB66E1">
        <w:rPr>
          <w:rFonts w:ascii="Times New Roman" w:eastAsia="AdvGulliv-R" w:hAnsi="Times New Roman" w:cs="Times New Roman"/>
          <w:b/>
          <w:bCs/>
          <w:kern w:val="0"/>
          <w:sz w:val="24"/>
        </w:rPr>
        <w:t xml:space="preserve">B, </w:t>
      </w:r>
      <w:r w:rsidRPr="00FB66E1">
        <w:rPr>
          <w:rFonts w:ascii="Times New Roman" w:eastAsia="AdvGulliv-R" w:hAnsi="Times New Roman" w:cs="Times New Roman"/>
          <w:kern w:val="0"/>
          <w:sz w:val="24"/>
        </w:rPr>
        <w:t>the 50</w:t>
      </w:r>
      <w:r w:rsidRPr="00FB66E1">
        <w:rPr>
          <w:rFonts w:ascii="Times New Roman" w:eastAsia="AdvGulliv-R" w:hAnsi="Times New Roman" w:cs="Times New Roman"/>
          <w:kern w:val="0"/>
          <w:sz w:val="24"/>
          <w:vertAlign w:val="superscript"/>
        </w:rPr>
        <w:t>th</w:t>
      </w:r>
      <w:r w:rsidRPr="00FB66E1">
        <w:rPr>
          <w:rFonts w:ascii="Times New Roman" w:eastAsia="AdvGulliv-R" w:hAnsi="Times New Roman" w:cs="Times New Roman"/>
          <w:kern w:val="0"/>
          <w:sz w:val="24"/>
        </w:rPr>
        <w:t xml:space="preserve"> amino acid of AVR-</w:t>
      </w:r>
      <w:proofErr w:type="spellStart"/>
      <w:r w:rsidRPr="00FB66E1">
        <w:rPr>
          <w:rFonts w:ascii="Times New Roman" w:eastAsia="AdvGulliv-R" w:hAnsi="Times New Roman" w:cs="Times New Roman"/>
          <w:kern w:val="0"/>
          <w:sz w:val="24"/>
        </w:rPr>
        <w:t>Pib</w:t>
      </w:r>
      <w:proofErr w:type="spellEnd"/>
      <w:r w:rsidRPr="00FB66E1">
        <w:rPr>
          <w:rFonts w:ascii="Times New Roman" w:eastAsia="AdvGulliv-R" w:hAnsi="Times New Roman" w:cs="Times New Roman"/>
          <w:kern w:val="0"/>
          <w:sz w:val="24"/>
        </w:rPr>
        <w:t>.</w:t>
      </w:r>
    </w:p>
    <w:p w14:paraId="10517BDA" w14:textId="77777777" w:rsidR="0086579F" w:rsidRDefault="0086579F">
      <w:pPr>
        <w:rPr>
          <w:rFonts w:ascii="Times New Roman" w:eastAsia="AdvGulliv-R" w:hAnsi="Times New Roman" w:cs="Times New Roman"/>
          <w:kern w:val="0"/>
          <w:sz w:val="24"/>
        </w:rPr>
      </w:pPr>
    </w:p>
    <w:p w14:paraId="354BA0BC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19502D13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671F3915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5FD09E2E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0427420A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097D6425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4B03B3BF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4F1F8342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7558CBEB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49673726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11234E5D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22F60677" w14:textId="77777777" w:rsidR="00FB66E1" w:rsidRDefault="00FB66E1">
      <w:pPr>
        <w:rPr>
          <w:rFonts w:ascii="Times New Roman" w:eastAsia="AdvGulliv-R" w:hAnsi="Times New Roman" w:cs="Times New Roman"/>
          <w:kern w:val="0"/>
          <w:sz w:val="24"/>
        </w:rPr>
      </w:pPr>
    </w:p>
    <w:p w14:paraId="10BF849F" w14:textId="77777777" w:rsidR="00FB66E1" w:rsidRPr="00FB66E1" w:rsidRDefault="00FB66E1">
      <w:pPr>
        <w:rPr>
          <w:rFonts w:ascii="Times New Roman" w:eastAsia="AdvGulliv-R" w:hAnsi="Times New Roman" w:cs="Times New Roman" w:hint="eastAsia"/>
          <w:kern w:val="0"/>
          <w:sz w:val="24"/>
        </w:rPr>
      </w:pPr>
    </w:p>
    <w:p w14:paraId="6CB2E840" w14:textId="77777777" w:rsidR="00FB66E1" w:rsidRDefault="0005053D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2CC02B8" wp14:editId="1D41D8DE">
            <wp:extent cx="5274310" cy="2273300"/>
            <wp:effectExtent l="0" t="0" r="2540" b="0"/>
            <wp:docPr id="18458529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52950" name="图片 18458529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579F" w:rsidRPr="00FB66E1">
        <w:rPr>
          <w:rFonts w:ascii="Times New Roman" w:hAnsi="Times New Roman" w:cs="Times New Roman"/>
          <w:b/>
          <w:color w:val="000000"/>
          <w:kern w:val="0"/>
          <w:sz w:val="24"/>
        </w:rPr>
        <w:t xml:space="preserve"> </w:t>
      </w:r>
      <w:r w:rsidR="0086579F"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S5.</w:t>
      </w:r>
      <w:r w:rsidR="0086579F"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="0086579F"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>Sliding window of positive-selection sites of the AVR-</w:t>
      </w:r>
      <w:proofErr w:type="spellStart"/>
      <w:r w:rsidR="0086579F"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>Pib</w:t>
      </w:r>
      <w:proofErr w:type="spellEnd"/>
      <w:r w:rsidR="0086579F"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 xml:space="preserve"> alleles under M8, M8a, and M7 models. The Y-axis indicates the ratio of the rate of nonsynonymous substitution (Ka) to the rate of synonymous substitution (Ks) (Ka/Ks); the X-axis indicates the position of the AVR-</w:t>
      </w:r>
      <w:proofErr w:type="spellStart"/>
      <w:r w:rsidR="0086579F"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>Pib</w:t>
      </w:r>
      <w:proofErr w:type="spellEnd"/>
      <w:r w:rsidR="0086579F"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 xml:space="preserve"> amino acids in the site.</w:t>
      </w:r>
    </w:p>
    <w:p w14:paraId="4E2A88C1" w14:textId="77777777" w:rsidR="00FB66E1" w:rsidRDefault="00FB66E1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p w14:paraId="68BC6E94" w14:textId="77777777" w:rsidR="00FB66E1" w:rsidRDefault="00FB66E1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p w14:paraId="1AC71328" w14:textId="77777777" w:rsidR="00FB66E1" w:rsidRDefault="00FB66E1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p w14:paraId="6561BED5" w14:textId="77777777" w:rsidR="00FB66E1" w:rsidRDefault="00FB66E1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p w14:paraId="29D398E1" w14:textId="77777777" w:rsidR="00FB66E1" w:rsidRDefault="00FB66E1" w:rsidP="00FB66E1">
      <w:pPr>
        <w:spacing w:line="480" w:lineRule="auto"/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p w14:paraId="62CEC876" w14:textId="71E2EE0F" w:rsidR="0086579F" w:rsidRPr="00FB66E1" w:rsidRDefault="0005053D" w:rsidP="00FB66E1">
      <w:pPr>
        <w:spacing w:line="480" w:lineRule="auto"/>
        <w:rPr>
          <w:rFonts w:ascii="Times New Roman" w:eastAsia="AdvGulliv-R" w:hAnsi="Times New Roman" w:cs="Times New Roman"/>
          <w:kern w:val="0"/>
          <w:sz w:val="24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B12C1A" wp14:editId="0DDE6959">
            <wp:extent cx="5274310" cy="3637915"/>
            <wp:effectExtent l="0" t="0" r="2540" b="635"/>
            <wp:docPr id="18114487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48783" name="图片 181144878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276A" w14:textId="794A12C5" w:rsidR="0086579F" w:rsidRPr="00FB66E1" w:rsidRDefault="0086579F" w:rsidP="00FB66E1">
      <w:pPr>
        <w:spacing w:line="480" w:lineRule="auto"/>
        <w:rPr>
          <w:rFonts w:ascii="Times New Roman" w:hAnsi="Times New Roman" w:cs="Times New Roman"/>
          <w:b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>Fig. S6.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Possible scenario for </w:t>
      </w:r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 xml:space="preserve">M. </w:t>
      </w:r>
      <w:proofErr w:type="spellStart"/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>oryzae</w:t>
      </w:r>
      <w:proofErr w:type="spellEnd"/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 </w:t>
      </w:r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>AVR-</w:t>
      </w:r>
      <w:proofErr w:type="spellStart"/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 xml:space="preserve"> 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alleles-rice </w:t>
      </w:r>
      <w:proofErr w:type="spellStart"/>
      <w:r w:rsidRPr="00FB66E1">
        <w:rPr>
          <w:rFonts w:ascii="Times New Roman" w:eastAsia="AdvGulliv-B" w:hAnsi="Times New Roman" w:cs="Times New Roman"/>
          <w:bCs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 xml:space="preserve"> alleles interactions and co-evolution. </w:t>
      </w:r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AVR-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homolog L1 genotypes (H01) were derived from an ancestral </w:t>
      </w:r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 xml:space="preserve">M.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oryzae</w:t>
      </w:r>
      <w:proofErr w:type="spell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gene. L1 genotypes are cannot recognized by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iCs/>
          <w:kern w:val="0"/>
          <w:sz w:val="24"/>
        </w:rPr>
        <w:t xml:space="preserve"> in </w:t>
      </w:r>
      <w:r w:rsidRPr="00FB66E1">
        <w:rPr>
          <w:rFonts w:ascii="Times New Roman" w:eastAsia="AdvGulliv-B" w:hAnsi="Times New Roman" w:cs="Times New Roman"/>
          <w:bCs/>
          <w:kern w:val="0"/>
          <w:sz w:val="24"/>
        </w:rPr>
        <w:t>wild rice</w:t>
      </w:r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. In response to this situation, </w:t>
      </w:r>
      <w:proofErr w:type="gramStart"/>
      <w:r w:rsidRPr="00FB66E1">
        <w:rPr>
          <w:rFonts w:ascii="Times New Roman" w:eastAsia="AdvGulliv-B" w:hAnsi="Times New Roman" w:cs="Times New Roman"/>
          <w:kern w:val="0"/>
          <w:sz w:val="24"/>
        </w:rPr>
        <w:t>a</w:t>
      </w:r>
      <w:proofErr w:type="gram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87bp insertion in exon1 of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in cultivated rice, evolved that can recognize L1 genotypes (H01) of </w:t>
      </w:r>
      <w:r w:rsidRPr="00FB66E1">
        <w:rPr>
          <w:rFonts w:ascii="Times New Roman" w:eastAsia="AdvGulliv-B" w:hAnsi="Times New Roman" w:cs="Times New Roman"/>
          <w:i/>
          <w:kern w:val="0"/>
          <w:sz w:val="24"/>
        </w:rPr>
        <w:t>AVR-</w:t>
      </w:r>
      <w:proofErr w:type="spellStart"/>
      <w:r w:rsidRPr="00FB66E1">
        <w:rPr>
          <w:rFonts w:ascii="Times New Roman" w:eastAsia="AdvGulliv-B" w:hAnsi="Times New Roman" w:cs="Times New Roman"/>
          <w:i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alleles. Then, another </w:t>
      </w:r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AVR-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kern w:val="0"/>
          <w:sz w:val="24"/>
        </w:rPr>
        <w:t xml:space="preserve"> alleles with TE insertion (L2/L3 genotypes), H08 and H11, were derived that cannot be recognized by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kern w:val="0"/>
          <w:sz w:val="24"/>
        </w:rPr>
        <w:t>Pib</w:t>
      </w:r>
      <w:proofErr w:type="spellEnd"/>
      <w:r w:rsidRPr="00FB66E1">
        <w:rPr>
          <w:rFonts w:ascii="Times New Roman" w:eastAsia="AdvGulliv-B" w:hAnsi="Times New Roman" w:cs="Times New Roman"/>
          <w:iCs/>
          <w:kern w:val="0"/>
          <w:sz w:val="24"/>
        </w:rPr>
        <w:t xml:space="preserve"> in cultivated rice</w:t>
      </w:r>
      <w:r w:rsidRPr="00FB66E1">
        <w:rPr>
          <w:rFonts w:ascii="Times New Roman" w:eastAsia="AdvGulliv-B" w:hAnsi="Times New Roman" w:cs="Times New Roman"/>
          <w:kern w:val="0"/>
          <w:sz w:val="24"/>
        </w:rPr>
        <w:t>.</w:t>
      </w:r>
    </w:p>
    <w:p w14:paraId="2EC064AE" w14:textId="61E4907E" w:rsidR="00F84894" w:rsidRPr="00FB66E1" w:rsidRDefault="0005053D">
      <w:pPr>
        <w:rPr>
          <w:rFonts w:ascii="Times New Roman" w:eastAsia="AdvGulliv-R" w:hAnsi="Times New Roman" w:cs="Times New Roman"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18B6947" wp14:editId="3FD49B99">
            <wp:extent cx="5274310" cy="6911975"/>
            <wp:effectExtent l="0" t="0" r="2540" b="3175"/>
            <wp:docPr id="11164428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42807" name="图片 111644280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1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6352" w14:textId="77777777" w:rsidR="0086579F" w:rsidRPr="00FB66E1" w:rsidRDefault="0086579F" w:rsidP="0086579F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kern w:val="0"/>
          <w:sz w:val="24"/>
        </w:rPr>
      </w:pPr>
      <w:r w:rsidRPr="00FB66E1">
        <w:rPr>
          <w:rFonts w:ascii="Times New Roman" w:hAnsi="Times New Roman" w:cs="Times New Roman"/>
          <w:b/>
          <w:color w:val="000000"/>
          <w:kern w:val="0"/>
          <w:sz w:val="24"/>
        </w:rPr>
        <w:t xml:space="preserve">Fig. S7. </w:t>
      </w:r>
      <w:r w:rsidRPr="00FB66E1">
        <w:rPr>
          <w:rFonts w:ascii="Times New Roman" w:eastAsia="AdvGulliv-B" w:hAnsi="Times New Roman" w:cs="Times New Roman"/>
          <w:color w:val="000000"/>
          <w:sz w:val="24"/>
        </w:rPr>
        <w:t xml:space="preserve">Disease reaction of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color w:val="000000"/>
          <w:sz w:val="24"/>
        </w:rPr>
        <w:t>Magnapothe</w:t>
      </w:r>
      <w:proofErr w:type="spellEnd"/>
      <w:r w:rsidRPr="00FB66E1">
        <w:rPr>
          <w:rFonts w:ascii="Times New Roman" w:eastAsia="AdvGulliv-B" w:hAnsi="Times New Roman" w:cs="Times New Roman"/>
          <w:i/>
          <w:iCs/>
          <w:color w:val="000000"/>
          <w:sz w:val="24"/>
        </w:rPr>
        <w:t xml:space="preserve"> </w:t>
      </w:r>
      <w:proofErr w:type="spellStart"/>
      <w:r w:rsidRPr="00FB66E1">
        <w:rPr>
          <w:rFonts w:ascii="Times New Roman" w:eastAsia="AdvGulliv-B" w:hAnsi="Times New Roman" w:cs="Times New Roman"/>
          <w:i/>
          <w:iCs/>
          <w:color w:val="000000"/>
          <w:sz w:val="24"/>
        </w:rPr>
        <w:t>oryze</w:t>
      </w:r>
      <w:proofErr w:type="spellEnd"/>
      <w:r w:rsidRPr="00FB66E1">
        <w:rPr>
          <w:rFonts w:ascii="Times New Roman" w:eastAsia="AdvGulliv-B" w:hAnsi="Times New Roman" w:cs="Times New Roman"/>
          <w:color w:val="000000"/>
          <w:sz w:val="24"/>
        </w:rPr>
        <w:t xml:space="preserve"> isolate on rice leaves</w:t>
      </w:r>
      <w:r w:rsidRPr="00FB66E1">
        <w:rPr>
          <w:rFonts w:ascii="Times New Roman" w:eastAsia="AdvGulliv-B" w:hAnsi="Times New Roman" w:cs="Times New Roman"/>
          <w:i/>
          <w:iCs/>
          <w:color w:val="000000"/>
          <w:sz w:val="24"/>
        </w:rPr>
        <w:t>.</w:t>
      </w:r>
      <w:r w:rsidRPr="00FB66E1">
        <w:rPr>
          <w:rFonts w:ascii="Times New Roman" w:eastAsia="AdvGulliv-B" w:hAnsi="Times New Roman" w:cs="Times New Roman"/>
          <w:b/>
          <w:i/>
          <w:iCs/>
          <w:color w:val="000000"/>
          <w:sz w:val="24"/>
        </w:rPr>
        <w:t xml:space="preserve"> </w:t>
      </w:r>
      <w:r w:rsidRPr="00FB66E1">
        <w:rPr>
          <w:rFonts w:ascii="Times New Roman" w:eastAsia="AdvGulliv-B" w:hAnsi="Times New Roman" w:cs="Times New Roman"/>
          <w:iCs/>
          <w:color w:val="000000"/>
          <w:sz w:val="24"/>
        </w:rPr>
        <w:t xml:space="preserve">Number of </w:t>
      </w:r>
      <w:r w:rsidRPr="00FB66E1">
        <w:rPr>
          <w:rFonts w:ascii="Times New Roman" w:eastAsia="AdvGulliv-B" w:hAnsi="Times New Roman" w:cs="Times New Roman"/>
          <w:iCs/>
          <w:color w:val="000000"/>
          <w:kern w:val="0"/>
          <w:sz w:val="24"/>
        </w:rPr>
        <w:t xml:space="preserve">0 to 5 </w:t>
      </w:r>
      <w:r w:rsidRPr="00FB66E1">
        <w:rPr>
          <w:rFonts w:ascii="Times New Roman" w:eastAsia="AdvGulliv-R" w:hAnsi="Times New Roman" w:cs="Times New Roman"/>
          <w:color w:val="000000"/>
          <w:kern w:val="0"/>
          <w:sz w:val="24"/>
        </w:rPr>
        <w:t xml:space="preserve">on the label on top of the Figure indicates </w:t>
      </w:r>
      <w:r w:rsidRPr="00FB66E1">
        <w:rPr>
          <w:rFonts w:ascii="Times New Roman" w:hAnsi="Times New Roman" w:cs="Times New Roman"/>
          <w:color w:val="000000"/>
          <w:kern w:val="0"/>
          <w:sz w:val="24"/>
        </w:rPr>
        <w:t>0-to-5 disease scale. A value of 0 to 1 is classified as “resistant”, 2 denotes “moderately resistant”, and 3 to 5 is classified as “susceptible”.</w:t>
      </w:r>
    </w:p>
    <w:p w14:paraId="67CE29BF" w14:textId="77777777" w:rsidR="0086579F" w:rsidRPr="00FB66E1" w:rsidRDefault="0086579F">
      <w:pPr>
        <w:rPr>
          <w:rFonts w:ascii="Times New Roman" w:eastAsia="AdvGulliv-R" w:hAnsi="Times New Roman" w:cs="Times New Roman"/>
          <w:color w:val="000000"/>
          <w:kern w:val="0"/>
          <w:sz w:val="24"/>
        </w:rPr>
      </w:pPr>
    </w:p>
    <w:sectPr w:rsidR="0086579F" w:rsidRPr="00FB6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F4889" w14:textId="77777777" w:rsidR="007F621F" w:rsidRDefault="007F621F" w:rsidP="0005053D">
      <w:r>
        <w:separator/>
      </w:r>
    </w:p>
  </w:endnote>
  <w:endnote w:type="continuationSeparator" w:id="0">
    <w:p w14:paraId="6E00D939" w14:textId="77777777" w:rsidR="007F621F" w:rsidRDefault="007F621F" w:rsidP="0005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宋体"/>
    <w:charset w:val="86"/>
    <w:family w:val="roman"/>
    <w:notTrueType/>
    <w:pitch w:val="default"/>
    <w:sig w:usb0="00000001" w:usb1="080E0000" w:usb2="00000010" w:usb3="00000000" w:csb0="00040000" w:csb1="00000000"/>
  </w:font>
  <w:font w:name="MinionPro-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nionPro-I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Gulliv-I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Gulliv-B">
    <w:altName w:val="黑体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FACA" w14:textId="77777777" w:rsidR="007F621F" w:rsidRDefault="007F621F" w:rsidP="0005053D">
      <w:r>
        <w:separator/>
      </w:r>
    </w:p>
  </w:footnote>
  <w:footnote w:type="continuationSeparator" w:id="0">
    <w:p w14:paraId="57705E75" w14:textId="77777777" w:rsidR="007F621F" w:rsidRDefault="007F621F" w:rsidP="00050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5D"/>
    <w:rsid w:val="0005053D"/>
    <w:rsid w:val="007F621F"/>
    <w:rsid w:val="0086579F"/>
    <w:rsid w:val="00E2175D"/>
    <w:rsid w:val="00F84894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5D48F"/>
  <w15:chartTrackingRefBased/>
  <w15:docId w15:val="{8441D997-F34E-458D-927A-BEC06B2F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5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5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BIN</cp:lastModifiedBy>
  <cp:revision>4</cp:revision>
  <dcterms:created xsi:type="dcterms:W3CDTF">2023-07-03T14:41:00Z</dcterms:created>
  <dcterms:modified xsi:type="dcterms:W3CDTF">2023-07-03T14:53:00Z</dcterms:modified>
</cp:coreProperties>
</file>