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Supplementary figures</w:t>
      </w:r>
    </w:p>
    <w:p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>
      <w:pPr>
        <w:spacing w:line="360" w:lineRule="auto"/>
        <w:jc w:val="center"/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</w:p>
    <w:p>
      <w:pPr>
        <w:spacing w:line="360" w:lineRule="auto"/>
        <w:jc w:val="center"/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drawing>
          <wp:inline distT="0" distB="0" distL="114300" distR="114300">
            <wp:extent cx="4975225" cy="3651885"/>
            <wp:effectExtent l="0" t="0" r="3175" b="5715"/>
            <wp:docPr id="3" name="图片 3" descr="S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1-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5225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sz w:val="24"/>
          <w:szCs w:val="32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S1</w:t>
      </w:r>
      <w:r>
        <w:rPr>
          <w:rFonts w:ascii="Times New Roman" w:hAnsi="Times New Roman" w:cs="Times New Roman"/>
          <w:sz w:val="24"/>
          <w:szCs w:val="32"/>
        </w:rPr>
        <w:t xml:space="preserve">. A. Examination and assessment of knee osteoarthrosis in KOA patients and NC patients. B. Mice selected for execution at weeks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32"/>
        </w:rPr>
        <w:t xml:space="preserve">,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4</w:t>
      </w:r>
      <w:r>
        <w:rPr>
          <w:rFonts w:ascii="Times New Roman" w:hAnsi="Times New Roman" w:cs="Times New Roman"/>
          <w:sz w:val="24"/>
          <w:szCs w:val="32"/>
        </w:rPr>
        <w:t xml:space="preserve">, and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8</w:t>
      </w:r>
      <w:r>
        <w:rPr>
          <w:rFonts w:ascii="Times New Roman" w:hAnsi="Times New Roman" w:cs="Times New Roman"/>
          <w:sz w:val="24"/>
          <w:szCs w:val="32"/>
        </w:rPr>
        <w:t xml:space="preserve"> after modeling were assessed for OA severity in the knee using OARSI.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A blinded method was used to evaluate t</w:t>
      </w:r>
      <w:r>
        <w:rPr>
          <w:rFonts w:ascii="Times New Roman" w:hAnsi="Times New Roman" w:cs="Times New Roman"/>
          <w:sz w:val="24"/>
          <w:szCs w:val="32"/>
        </w:rPr>
        <w:t xml:space="preserve">wo sections of each mouse for OARSI scores.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C. Micro CT imaging of a mouse knee joint at weeks 2, 4, and 8 after modeling with Mimics 5.0 indicating the presence of osteophytes as red.</w:t>
      </w:r>
    </w:p>
    <w:p>
      <w:pPr>
        <w:spacing w:line="360" w:lineRule="auto"/>
        <w:jc w:val="center"/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drawing>
          <wp:inline distT="0" distB="0" distL="114300" distR="114300">
            <wp:extent cx="6182360" cy="5399405"/>
            <wp:effectExtent l="0" t="0" r="2540" b="10795"/>
            <wp:docPr id="5" name="图片 5" descr="S2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2sy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539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S2</w:t>
      </w:r>
      <w:r>
        <w:rPr>
          <w:rFonts w:ascii="Times New Roman" w:hAnsi="Times New Roman" w:cs="Times New Roman"/>
          <w:sz w:val="24"/>
          <w:szCs w:val="32"/>
        </w:rPr>
        <w:t>. Gene expression analysis of normal ACL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-</w:t>
      </w:r>
      <w:r>
        <w:rPr>
          <w:rFonts w:ascii="Times New Roman" w:hAnsi="Times New Roman" w:cs="Times New Roman"/>
          <w:sz w:val="24"/>
          <w:szCs w:val="32"/>
        </w:rPr>
        <w:t xml:space="preserve"> and OA-ACL-derived cells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: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A. </w:t>
      </w:r>
      <w:r>
        <w:rPr>
          <w:rFonts w:ascii="Times New Roman" w:hAnsi="Times New Roman" w:cs="Times New Roman"/>
          <w:sz w:val="24"/>
          <w:szCs w:val="32"/>
        </w:rPr>
        <w:t xml:space="preserve">pre-cell filtration and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B. </w:t>
      </w:r>
      <w:r>
        <w:rPr>
          <w:rFonts w:ascii="Times New Roman" w:hAnsi="Times New Roman" w:cs="Times New Roman"/>
          <w:sz w:val="24"/>
          <w:szCs w:val="32"/>
        </w:rPr>
        <w:t>post-cell filtration.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C. Phylogenetic relationships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among the</w:t>
      </w:r>
      <w:r>
        <w:rPr>
          <w:rFonts w:ascii="Times New Roman" w:hAnsi="Times New Roman" w:cs="Times New Roman"/>
          <w:sz w:val="24"/>
          <w:szCs w:val="32"/>
        </w:rPr>
        <w:t xml:space="preserve"> various subpopulations. D. Flow cytometry sorting results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for</w:t>
      </w:r>
      <w:r>
        <w:rPr>
          <w:rFonts w:ascii="Times New Roman" w:hAnsi="Times New Roman" w:cs="Times New Roman"/>
          <w:sz w:val="24"/>
          <w:szCs w:val="32"/>
        </w:rPr>
        <w:t xml:space="preserve"> TSPCs. E. Osteogenic, adipogenic, and chondrogenic tri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linear</w:t>
      </w:r>
      <w:r>
        <w:rPr>
          <w:rFonts w:ascii="Times New Roman" w:hAnsi="Times New Roman" w:cs="Times New Roman"/>
          <w:sz w:val="24"/>
          <w:szCs w:val="32"/>
        </w:rPr>
        <w:t xml:space="preserve"> differentiation of TSPCs. F. Demonstration of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the </w:t>
      </w:r>
      <w:r>
        <w:rPr>
          <w:rFonts w:ascii="Times New Roman" w:hAnsi="Times New Roman" w:cs="Times New Roman"/>
          <w:sz w:val="24"/>
          <w:szCs w:val="32"/>
        </w:rPr>
        <w:t>clonogenic ability of TSPCs cells compared to other ACL cells.</w:t>
      </w:r>
    </w:p>
    <w:p>
      <w:pPr>
        <w:rPr>
          <w:rFonts w:ascii="Times New Roman" w:hAnsi="Times New Roman" w:cs="Times New Roman"/>
          <w:sz w:val="24"/>
          <w:szCs w:val="32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drawing>
          <wp:inline distT="0" distB="0" distL="114300" distR="114300">
            <wp:extent cx="6174740" cy="3507105"/>
            <wp:effectExtent l="0" t="0" r="10160" b="10795"/>
            <wp:docPr id="10" name="图片 10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4740" cy="350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S3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 GO analysis demonstrates the enrichment of gene expression in each subgroup, including TSPCs(A), ProFBs(B), FBs(C), VSMCs(D), ECs(E), and MAC (F).</w:t>
      </w:r>
    </w:p>
    <w:p>
      <w:pPr>
        <w:rPr>
          <w:rFonts w:ascii="Times New Roman" w:hAnsi="Times New Roman" w:cs="Times New Roman"/>
          <w:sz w:val="24"/>
          <w:szCs w:val="32"/>
        </w:rPr>
      </w:pPr>
    </w:p>
    <w:p>
      <w:pPr>
        <w:jc w:val="center"/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drawing>
          <wp:inline distT="0" distB="0" distL="114300" distR="114300">
            <wp:extent cx="5633720" cy="5587365"/>
            <wp:effectExtent l="0" t="0" r="5080" b="635"/>
            <wp:docPr id="2" name="图片 2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3720" cy="558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4</w:t>
      </w:r>
      <w:r>
        <w:rPr>
          <w:rFonts w:ascii="Times New Roman" w:hAnsi="Times New Roman" w:cs="Times New Roman"/>
          <w:sz w:val="24"/>
          <w:szCs w:val="32"/>
        </w:rPr>
        <w:t xml:space="preserve">. Phenotype identification and gene expression validation of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the </w:t>
      </w:r>
      <w:r>
        <w:rPr>
          <w:rFonts w:ascii="Times New Roman" w:hAnsi="Times New Roman" w:cs="Times New Roman"/>
          <w:sz w:val="24"/>
          <w:szCs w:val="32"/>
        </w:rPr>
        <w:t xml:space="preserve">IAF subpopulations. A.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pseudotime</w:t>
      </w:r>
      <w:r>
        <w:rPr>
          <w:rFonts w:ascii="Times New Roman" w:hAnsi="Times New Roman" w:cs="Times New Roman"/>
          <w:sz w:val="24"/>
          <w:szCs w:val="32"/>
        </w:rPr>
        <w:t xml:space="preserve"> analysis of the origin and differentiation of IAF cell subpopulations.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B. </w:t>
      </w:r>
      <w:r>
        <w:rPr>
          <w:rFonts w:ascii="Times New Roman" w:hAnsi="Times New Roman" w:cs="Times New Roman"/>
          <w:sz w:val="24"/>
          <w:szCs w:val="32"/>
        </w:rPr>
        <w:t>Immunohistochemical staining showing the lo</w:t>
      </w:r>
      <w:r>
        <w:rPr>
          <w:rFonts w:hint="eastAsia" w:ascii="Times New Roman" w:hAnsi="Times New Roman" w:cs="Times New Roman"/>
          <w:sz w:val="24"/>
          <w:szCs w:val="32"/>
        </w:rPr>
        <w:t>calization</w:t>
      </w:r>
      <w:r>
        <w:rPr>
          <w:rFonts w:ascii="Times New Roman" w:hAnsi="Times New Roman" w:cs="Times New Roman"/>
          <w:sz w:val="24"/>
          <w:szCs w:val="32"/>
        </w:rPr>
        <w:t xml:space="preserve"> of IAFs presence in </w:t>
      </w:r>
      <w:r>
        <w:rPr>
          <w:rFonts w:hint="eastAsia" w:ascii="Times New Roman" w:hAnsi="Times New Roman" w:cs="Times New Roman"/>
          <w:sz w:val="24"/>
          <w:szCs w:val="32"/>
        </w:rPr>
        <w:t xml:space="preserve">the </w:t>
      </w:r>
      <w:r>
        <w:rPr>
          <w:rFonts w:ascii="Times New Roman" w:hAnsi="Times New Roman" w:cs="Times New Roman"/>
          <w:sz w:val="24"/>
          <w:szCs w:val="32"/>
        </w:rPr>
        <w:t>ACL.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C. </w:t>
      </w:r>
      <w:r>
        <w:rPr>
          <w:rFonts w:ascii="Times New Roman" w:hAnsi="Times New Roman" w:cs="Times New Roman"/>
          <w:sz w:val="24"/>
          <w:szCs w:val="32"/>
        </w:rPr>
        <w:t xml:space="preserve">Flow sorting demonstration of IAFs.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D</w:t>
      </w:r>
      <w:r>
        <w:rPr>
          <w:rFonts w:ascii="Times New Roman" w:hAnsi="Times New Roman" w:cs="Times New Roman"/>
          <w:sz w:val="24"/>
          <w:szCs w:val="32"/>
        </w:rPr>
        <w:t xml:space="preserve">. qRT-PCR to detect gene expression differences between CD13+/CD354+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cells </w:t>
      </w:r>
      <w:r>
        <w:rPr>
          <w:rFonts w:ascii="Times New Roman" w:hAnsi="Times New Roman" w:cs="Times New Roman"/>
          <w:sz w:val="24"/>
          <w:szCs w:val="32"/>
        </w:rPr>
        <w:t xml:space="preserve">and other types of IAFs.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E</w:t>
      </w:r>
      <w:r>
        <w:rPr>
          <w:rFonts w:ascii="Times New Roman" w:hAnsi="Times New Roman" w:cs="Times New Roman"/>
          <w:sz w:val="24"/>
          <w:szCs w:val="32"/>
        </w:rPr>
        <w:t xml:space="preserve">. Western blot to verify protein expression differences between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the </w:t>
      </w:r>
      <w:r>
        <w:rPr>
          <w:rFonts w:ascii="Times New Roman" w:hAnsi="Times New Roman" w:cs="Times New Roman"/>
          <w:sz w:val="24"/>
          <w:szCs w:val="32"/>
        </w:rPr>
        <w:t>two subpopulations of IAFs.</w:t>
      </w:r>
    </w:p>
    <w:p>
      <w:pPr>
        <w:rPr>
          <w:rFonts w:ascii="Times New Roman" w:hAnsi="Times New Roman" w:cs="Times New Roman"/>
          <w:sz w:val="24"/>
          <w:szCs w:val="32"/>
        </w:rPr>
      </w:pPr>
    </w:p>
    <w:p>
      <w:pPr>
        <w:jc w:val="center"/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drawing>
          <wp:inline distT="0" distB="0" distL="114300" distR="114300">
            <wp:extent cx="4382135" cy="2153920"/>
            <wp:effectExtent l="0" t="0" r="12065" b="5080"/>
            <wp:docPr id="6" name="图片 6" descr="S5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5-new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2135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5</w:t>
      </w:r>
      <w:r>
        <w:rPr>
          <w:rFonts w:ascii="Times New Roman" w:hAnsi="Times New Roman" w:cs="Times New Roman"/>
          <w:sz w:val="24"/>
          <w:szCs w:val="32"/>
        </w:rPr>
        <w:t xml:space="preserve">. A. Heat map of intercellular communication in normal ACL,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which shows </w:t>
      </w:r>
      <w:r>
        <w:rPr>
          <w:rFonts w:ascii="Times New Roman" w:hAnsi="Times New Roman" w:cs="Times New Roman"/>
          <w:sz w:val="24"/>
          <w:szCs w:val="32"/>
        </w:rPr>
        <w:t xml:space="preserve">that TSPCs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exhibit the</w:t>
      </w:r>
      <w:r>
        <w:rPr>
          <w:rFonts w:ascii="Times New Roman" w:hAnsi="Times New Roman" w:cs="Times New Roman"/>
          <w:sz w:val="24"/>
          <w:szCs w:val="32"/>
        </w:rPr>
        <w:t xml:space="preserve"> most abundant interactions with other cells. B. Heat map of cellular communication in OA-ACL,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which shows </w:t>
      </w:r>
      <w:r>
        <w:rPr>
          <w:rFonts w:ascii="Times New Roman" w:hAnsi="Times New Roman" w:cs="Times New Roman"/>
          <w:sz w:val="24"/>
          <w:szCs w:val="32"/>
        </w:rPr>
        <w:t xml:space="preserve">that IAFs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exhibit</w:t>
      </w:r>
      <w:r>
        <w:rPr>
          <w:rFonts w:ascii="Times New Roman" w:hAnsi="Times New Roman" w:cs="Times New Roman"/>
          <w:sz w:val="24"/>
          <w:szCs w:val="32"/>
        </w:rPr>
        <w:t xml:space="preserve"> the highest number of communications with other cells.</w:t>
      </w:r>
    </w:p>
    <w:p>
      <w:pPr>
        <w:spacing w:line="276" w:lineRule="auto"/>
        <w:rPr>
          <w:rFonts w:ascii="Times New Roman" w:hAnsi="Times New Roman" w:cs="Times New Roman"/>
          <w:sz w:val="24"/>
          <w:szCs w:val="32"/>
        </w:rPr>
      </w:pPr>
    </w:p>
    <w:p>
      <w:pPr>
        <w:rPr>
          <w:rFonts w:ascii="Times New Roman" w:hAnsi="Times New Roman" w:cs="Times New Roman"/>
          <w:b/>
          <w:bCs/>
          <w:sz w:val="24"/>
          <w:szCs w:val="32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jI5OTBmMDM1ODFlMDkzNDFlZTFiMWNhZWU5ZTMifQ=="/>
  </w:docVars>
  <w:rsids>
    <w:rsidRoot w:val="66093B87"/>
    <w:rsid w:val="01B85F94"/>
    <w:rsid w:val="08A059D4"/>
    <w:rsid w:val="0BD57EE7"/>
    <w:rsid w:val="0E3E1F17"/>
    <w:rsid w:val="263657B3"/>
    <w:rsid w:val="2D345DC7"/>
    <w:rsid w:val="322654CC"/>
    <w:rsid w:val="38410737"/>
    <w:rsid w:val="50255F3E"/>
    <w:rsid w:val="55B74F08"/>
    <w:rsid w:val="58764E66"/>
    <w:rsid w:val="5BFE7BBD"/>
    <w:rsid w:val="66093B87"/>
    <w:rsid w:val="6A2F1727"/>
    <w:rsid w:val="72212362"/>
    <w:rsid w:val="735935F3"/>
    <w:rsid w:val="7C5F196A"/>
    <w:rsid w:val="7E2E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309</Words>
  <Characters>1751</Characters>
  <Lines>0</Lines>
  <Paragraphs>0</Paragraphs>
  <TotalTime>0</TotalTime>
  <ScaleCrop>false</ScaleCrop>
  <LinksUpToDate>false</LinksUpToDate>
  <CharactersWithSpaces>2052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2022-12-30T03:24:00Z</dcterms:created>
  <dc:creator>surgeon</dc:creator>
  <cp:lastModifiedBy>surgeon</cp:lastModifiedBy>
  <dcterms:modified xsi:type="dcterms:W3CDTF">2023-03-15T08:48:35Z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A0F1CE5B73FC4A988DE7438022D419C5</vt:lpwstr>
  </property>
</Properties>
</file>