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spacing w:lineRule="auto" w:line="240" w:before="0" w:after="0"/>
        <w:rPr>
          <w:rFonts w:ascii="Times New Roman" w:hAnsi="Times New Roman"/>
          <w:b/>
          <w:i w:val="false"/>
          <w:caps w:val="false"/>
          <w:smallCaps w:val="false"/>
          <w:strike w:val="false"/>
          <w:dstrike w:val="false"/>
          <w:color w:val="000000"/>
          <w:sz w:val="24"/>
          <w:u w:val="none"/>
          <w:effect w:val="none"/>
          <w:shd w:fill="auto" w:val="clear"/>
        </w:rPr>
      </w:pPr>
      <w:bookmarkStart w:id="0" w:name="docs-internal-guid-08a0c4b3-7fff-905d-ef"/>
      <w:bookmarkEnd w:id="0"/>
      <w:r>
        <w:rPr>
          <w:rFonts w:ascii="Times New Roman" w:hAnsi="Times New Roman"/>
          <w:b/>
          <w:i w:val="false"/>
          <w:caps w:val="false"/>
          <w:smallCaps w:val="false"/>
          <w:strike w:val="false"/>
          <w:dstrike w:val="false"/>
          <w:color w:val="000000"/>
          <w:sz w:val="24"/>
          <w:u w:val="none"/>
          <w:effect w:val="none"/>
          <w:shd w:fill="auto" w:val="clear"/>
        </w:rPr>
        <w:t xml:space="preserve">Additional file 4: </w:t>
      </w:r>
    </w:p>
    <w:p>
      <w:pPr>
        <w:pStyle w:val="TextBody"/>
        <w:bidi w:val="0"/>
        <w:spacing w:lineRule="auto" w:line="240" w:before="0" w:after="0"/>
        <w:rPr/>
      </w:pPr>
      <w:r>
        <w:rPr>
          <w:rFonts w:ascii="Times New Roman" w:hAnsi="Times New Roman"/>
          <w:b/>
          <w:i w:val="false"/>
          <w:caps w:val="false"/>
          <w:smallCaps w:val="false"/>
          <w:strike w:val="false"/>
          <w:dstrike w:val="false"/>
          <w:color w:val="000000"/>
          <w:sz w:val="24"/>
          <w:u w:val="none"/>
          <w:effect w:val="none"/>
          <w:shd w:fill="auto" w:val="clear"/>
        </w:rPr>
        <w:t>Table S1.</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Analysing the effects of normalisation techniques in the quantification of </w:t>
      </w:r>
      <w:r>
        <w:rPr>
          <w:rFonts w:ascii="Times New Roman" w:hAnsi="Times New Roman"/>
          <w:b w:val="false"/>
          <w:i/>
          <w:caps w:val="false"/>
          <w:smallCaps w:val="false"/>
          <w:strike w:val="false"/>
          <w:dstrike w:val="false"/>
          <w:color w:val="000000"/>
          <w:sz w:val="24"/>
          <w:u w:val="none"/>
          <w:effect w:val="none"/>
          <w:shd w:fill="auto" w:val="clear"/>
        </w:rPr>
        <w:t>Eimeria</w:t>
      </w:r>
      <w:r>
        <w:rPr>
          <w:rFonts w:ascii="Times New Roman" w:hAnsi="Times New Roman"/>
          <w:b w:val="false"/>
          <w:i w:val="false"/>
          <w:caps w:val="false"/>
          <w:smallCaps w:val="false"/>
          <w:strike w:val="false"/>
          <w:dstrike w:val="false"/>
          <w:color w:val="000000"/>
          <w:sz w:val="24"/>
          <w:u w:val="none"/>
          <w:effect w:val="none"/>
          <w:shd w:fill="auto" w:val="clear"/>
        </w:rPr>
        <w:t xml:space="preserve">. Comparison of two overlapping Pearson correlations based on dependent groups. Reference correlation is between </w:t>
      </w:r>
      <w:r>
        <w:rPr>
          <w:rFonts w:ascii="Times New Roman" w:hAnsi="Times New Roman"/>
          <w:b w:val="false"/>
          <w:i/>
          <w:caps w:val="false"/>
          <w:smallCaps w:val="false"/>
          <w:strike w:val="false"/>
          <w:dstrike w:val="false"/>
          <w:color w:val="000000"/>
          <w:sz w:val="24"/>
          <w:u w:val="none"/>
          <w:effect w:val="none"/>
          <w:shd w:fill="auto" w:val="clear"/>
        </w:rPr>
        <w:t>Eimeria</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genome copies and </w:t>
      </w:r>
      <w:r>
        <w:rPr>
          <w:rFonts w:ascii="Times New Roman" w:hAnsi="Times New Roman"/>
          <w:b w:val="false"/>
          <w:i/>
          <w:caps w:val="false"/>
          <w:smallCaps w:val="false"/>
          <w:strike w:val="false"/>
          <w:dstrike w:val="false"/>
          <w:color w:val="000000"/>
          <w:sz w:val="24"/>
          <w:u w:val="none"/>
          <w:effect w:val="none"/>
          <w:shd w:fill="auto" w:val="clear"/>
        </w:rPr>
        <w:t>Eimeria</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merged ASV abundance not normalised. rarefaction: random resampling of the OTU table to the minimum library depth. In green are the significantly improved and in red are significantly worsened correlations in relation to the overlapping correlation between </w:t>
      </w:r>
      <w:r>
        <w:rPr>
          <w:rFonts w:ascii="Times New Roman" w:hAnsi="Times New Roman"/>
          <w:b w:val="false"/>
          <w:i/>
          <w:caps w:val="false"/>
          <w:smallCaps w:val="false"/>
          <w:strike w:val="false"/>
          <w:dstrike w:val="false"/>
          <w:color w:val="000000"/>
          <w:sz w:val="24"/>
          <w:u w:val="none"/>
          <w:effect w:val="none"/>
          <w:shd w:fill="auto" w:val="clear"/>
        </w:rPr>
        <w:t>Eimeria</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genome copies per gram of faeces and </w:t>
      </w:r>
      <w:r>
        <w:rPr>
          <w:rFonts w:ascii="Times New Roman" w:hAnsi="Times New Roman"/>
          <w:b w:val="false"/>
          <w:i/>
          <w:caps w:val="false"/>
          <w:smallCaps w:val="false"/>
          <w:strike w:val="false"/>
          <w:dstrike w:val="false"/>
          <w:color w:val="000000"/>
          <w:sz w:val="24"/>
          <w:u w:val="none"/>
          <w:effect w:val="none"/>
          <w:shd w:fill="auto" w:val="clear"/>
        </w:rPr>
        <w:t>Eimeria</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ASV counts. P-adj: P-values corrected for multiple testing with Benjamini-Hochberg.</w:t>
      </w:r>
    </w:p>
    <w:tbl>
      <w:tblPr>
        <w:tblW w:w="7825" w:type="dxa"/>
        <w:jc w:val="left"/>
        <w:tblInd w:w="-10" w:type="dxa"/>
        <w:tblLayout w:type="fixed"/>
        <w:tblCellMar>
          <w:top w:w="100" w:type="dxa"/>
          <w:left w:w="100" w:type="dxa"/>
          <w:bottom w:w="100" w:type="dxa"/>
          <w:right w:w="100" w:type="dxa"/>
        </w:tblCellMar>
      </w:tblPr>
      <w:tblGrid>
        <w:gridCol w:w="2844"/>
        <w:gridCol w:w="2468"/>
        <w:gridCol w:w="2513"/>
      </w:tblGrid>
      <w:tr>
        <w:trPr/>
        <w:tc>
          <w:tcPr>
            <w:tcW w:w="2844"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val="false"/>
              <w:suppressLineNumbers/>
              <w:bidi w:val="0"/>
              <w:jc w:val="left"/>
              <w:rPr/>
            </w:pPr>
            <w:r>
              <w:rPr/>
            </w:r>
          </w:p>
        </w:tc>
        <w:tc>
          <w:tcPr>
            <w:tcW w:w="2468"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Standard PCR</w:t>
            </w:r>
          </w:p>
        </w:tc>
        <w:tc>
          <w:tcPr>
            <w:tcW w:w="2513"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Microfluidics PCR</w:t>
            </w:r>
          </w:p>
        </w:tc>
      </w:tr>
      <w:tr>
        <w:trPr/>
        <w:tc>
          <w:tcPr>
            <w:tcW w:w="2844"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Total sum scaling</w:t>
            </w:r>
          </w:p>
        </w:tc>
        <w:tc>
          <w:tcPr>
            <w:tcW w:w="2468"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-0.0040</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152</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-0.986</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0.376</w:t>
            </w:r>
          </w:p>
        </w:tc>
        <w:tc>
          <w:tcPr>
            <w:tcW w:w="2513" w:type="dxa"/>
            <w:tcBorders>
              <w:top w:val="single" w:sz="8" w:space="0" w:color="000000"/>
              <w:left w:val="single" w:sz="8" w:space="0" w:color="000000"/>
              <w:bottom w:val="single" w:sz="8" w:space="0" w:color="000000"/>
              <w:right w:val="single" w:sz="8" w:space="0" w:color="000000"/>
            </w:tcBorders>
            <w:shd w:fill="D9EAD3" w:val="clear"/>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-0.0437</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128</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-2.833,</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0.009</w:t>
            </w:r>
          </w:p>
        </w:tc>
      </w:tr>
      <w:tr>
        <w:trPr/>
        <w:tc>
          <w:tcPr>
            <w:tcW w:w="2844"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Trimmed mean by M-values</w:t>
            </w:r>
          </w:p>
        </w:tc>
        <w:tc>
          <w:tcPr>
            <w:tcW w:w="2468"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-0.0055</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152</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-1.625</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0.208</w:t>
            </w:r>
          </w:p>
        </w:tc>
        <w:tc>
          <w:tcPr>
            <w:tcW w:w="2513"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0.0000</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128</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0.070,</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0.945</w:t>
            </w:r>
          </w:p>
        </w:tc>
      </w:tr>
      <w:tr>
        <w:trPr/>
        <w:tc>
          <w:tcPr>
            <w:tcW w:w="2844"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Centered log ratio</w:t>
            </w:r>
          </w:p>
        </w:tc>
        <w:tc>
          <w:tcPr>
            <w:tcW w:w="2468" w:type="dxa"/>
            <w:tcBorders>
              <w:top w:val="single" w:sz="8" w:space="0" w:color="000000"/>
              <w:left w:val="single" w:sz="8" w:space="0" w:color="000000"/>
              <w:bottom w:val="single" w:sz="8" w:space="0" w:color="000000"/>
              <w:right w:val="single" w:sz="8" w:space="0" w:color="000000"/>
            </w:tcBorders>
            <w:shd w:fill="E6B8AF" w:val="clear"/>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0.0625</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152</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5.203,</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p-adj&lt;0.001</w:t>
            </w:r>
          </w:p>
        </w:tc>
        <w:tc>
          <w:tcPr>
            <w:tcW w:w="2513"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-0.0065</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128</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-0.350</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0.945</w:t>
            </w:r>
          </w:p>
        </w:tc>
      </w:tr>
      <w:tr>
        <w:trPr/>
        <w:tc>
          <w:tcPr>
            <w:tcW w:w="2844"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Rarefied read counts</w:t>
            </w:r>
          </w:p>
        </w:tc>
        <w:tc>
          <w:tcPr>
            <w:tcW w:w="2468" w:type="dxa"/>
            <w:tcBorders>
              <w:top w:val="single" w:sz="8" w:space="0" w:color="000000"/>
              <w:left w:val="single" w:sz="8" w:space="0" w:color="000000"/>
              <w:bottom w:val="single" w:sz="8" w:space="0" w:color="000000"/>
              <w:right w:val="single" w:sz="8" w:space="0" w:color="000000"/>
            </w:tcBorders>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-0.0092</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118</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-0.886,</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0.376</w:t>
            </w:r>
          </w:p>
        </w:tc>
        <w:tc>
          <w:tcPr>
            <w:tcW w:w="2513" w:type="dxa"/>
            <w:tcBorders>
              <w:top w:val="single" w:sz="8" w:space="0" w:color="000000"/>
              <w:left w:val="single" w:sz="8" w:space="0" w:color="000000"/>
              <w:bottom w:val="single" w:sz="8" w:space="0" w:color="000000"/>
              <w:right w:val="single" w:sz="8" w:space="0" w:color="000000"/>
            </w:tcBorders>
            <w:shd w:fill="D9EAD3" w:val="clear"/>
            <w:vAlign w:val="center"/>
          </w:tcPr>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Rho difference= -0.0934</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df= 110</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z= -3.322</w:t>
            </w:r>
          </w:p>
          <w:p>
            <w:pPr>
              <w:pStyle w:val="TableContents"/>
              <w:bidi w:val="0"/>
              <w:spacing w:lineRule="auto" w:line="240" w:before="0" w:after="0"/>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p-adj= 0.004</w:t>
            </w:r>
          </w:p>
        </w:tc>
      </w:tr>
    </w:tbl>
    <w:p>
      <w:pPr>
        <w:pStyle w:val="TextBody"/>
        <w:bidi w:val="0"/>
        <w:spacing w:lineRule="auto" w:line="576" w:before="0" w:after="0"/>
        <w:rPr>
          <w:rFonts w:ascii="Times New Roman" w:hAnsi="Times New Roman"/>
          <w:b/>
          <w:i w:val="false"/>
          <w:caps w:val="false"/>
          <w:smallCaps w:val="false"/>
          <w:strike w:val="false"/>
          <w:dstrike w:val="false"/>
          <w:color w:val="000000"/>
          <w:sz w:val="24"/>
          <w:u w:val="none"/>
          <w:effect w:val="none"/>
          <w:shd w:fill="auto" w:val="clear"/>
        </w:rPr>
      </w:pPr>
      <w:r>
        <w:rPr>
          <w:rFonts w:ascii="Times New Roman" w:hAnsi="Times New Roman"/>
          <w:b/>
          <w:i w:val="false"/>
          <w:caps w:val="false"/>
          <w:smallCaps w:val="false"/>
          <w:strike w:val="false"/>
          <w:dstrike w:val="false"/>
          <w:color w:val="000000"/>
          <w:sz w:val="24"/>
          <w:u w:val="none"/>
          <w:effect w:val="none"/>
          <w:shd w:fill="auto" w:val="clear"/>
        </w:rPr>
      </w:r>
    </w:p>
    <w:p>
      <w:pPr>
        <w:pStyle w:val="TextBody"/>
        <w:bidi w:val="0"/>
        <w:spacing w:lineRule="auto" w:line="240" w:before="0" w:after="0"/>
        <w:rPr>
          <w:rFonts w:ascii="Times New Roman" w:hAnsi="Times New Roman"/>
          <w:b/>
          <w:i w:val="false"/>
          <w:caps w:val="false"/>
          <w:smallCaps w:val="false"/>
          <w:strike w:val="false"/>
          <w:dstrike w:val="false"/>
          <w:color w:val="000000"/>
          <w:sz w:val="24"/>
          <w:u w:val="none"/>
          <w:effect w:val="none"/>
          <w:shd w:fill="auto" w:val="clear"/>
        </w:rPr>
      </w:pPr>
      <w:r>
        <w:rPr>
          <w:rFonts w:ascii="Times New Roman" w:hAnsi="Times New Roman"/>
          <w:b/>
          <w:i w:val="false"/>
          <w:caps w:val="false"/>
          <w:smallCaps w:val="false"/>
          <w:strike w:val="false"/>
          <w:dstrike w:val="false"/>
          <w:color w:val="000000"/>
          <w:sz w:val="24"/>
          <w:u w:val="none"/>
          <w:effect w:val="none"/>
          <w:shd w:fill="auto" w:val="clear"/>
        </w:rPr>
      </w:r>
      <w:r>
        <w:br w:type="page"/>
      </w:r>
    </w:p>
    <w:p>
      <w:pPr>
        <w:pStyle w:val="TextBody"/>
        <w:bidi w:val="0"/>
        <w:spacing w:lineRule="auto" w:line="240" w:before="0" w:after="0"/>
        <w:rPr/>
      </w:pPr>
      <w:r>
        <w:rPr>
          <w:rFonts w:ascii="Times New Roman" w:hAnsi="Times New Roman"/>
          <w:b/>
          <w:i w:val="false"/>
          <w:caps w:val="false"/>
          <w:smallCaps w:val="false"/>
          <w:strike w:val="false"/>
          <w:dstrike w:val="false"/>
          <w:color w:val="000000"/>
          <w:sz w:val="24"/>
          <w:u w:val="none"/>
          <w:effect w:val="none"/>
          <w:shd w:fill="auto" w:val="clear"/>
        </w:rPr>
        <w:t>Figure S1.</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Comparison of normalisation methods for quantification of </w:t>
      </w:r>
      <w:r>
        <w:rPr>
          <w:rFonts w:ascii="Times New Roman" w:hAnsi="Times New Roman"/>
          <w:b w:val="false"/>
          <w:i/>
          <w:caps w:val="false"/>
          <w:smallCaps w:val="false"/>
          <w:strike w:val="false"/>
          <w:dstrike w:val="false"/>
          <w:color w:val="000000"/>
          <w:sz w:val="24"/>
          <w:u w:val="none"/>
          <w:effect w:val="none"/>
          <w:shd w:fill="auto" w:val="clear"/>
        </w:rPr>
        <w:t>Eimeria</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with amplicon sequencing (18S rRNA gene) using a standard PCR. dpi= days post infection, df= degree of freedom.</w:t>
      </w:r>
    </w:p>
    <w:p>
      <w:pPr>
        <w:pStyle w:val="TextBody"/>
        <w:bidi w:val="0"/>
        <w:spacing w:lineRule="auto" w:line="576" w:before="0" w:after="0"/>
        <w:rPr>
          <w:caps w:val="false"/>
          <w:smallCaps w:val="false"/>
          <w:strike w:val="false"/>
          <w:dstrike w:val="false"/>
          <w:color w:val="000000"/>
          <w:u w:val="none"/>
          <w:effect w:val="none"/>
          <w:shd w:fill="auto" w:val="clear"/>
        </w:rPr>
      </w:pPr>
      <w:r>
        <w:rPr>
          <w:caps w:val="false"/>
          <w:smallCaps w:val="false"/>
          <w:strike w:val="false"/>
          <w:dstrike w:val="false"/>
          <w:color w:val="000000"/>
          <w:u w:val="none"/>
          <w:effect w:val="none"/>
          <w:shd w:fill="auto" w:val="clea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854575" cy="800227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4854575" cy="8002270"/>
                    </a:xfrm>
                    <a:prstGeom prst="rect">
                      <a:avLst/>
                    </a:prstGeom>
                  </pic:spPr>
                </pic:pic>
              </a:graphicData>
            </a:graphic>
          </wp:anchor>
        </w:drawing>
      </w:r>
    </w:p>
    <w:p>
      <w:pPr>
        <w:pStyle w:val="TextBody"/>
        <w:bidi w:val="0"/>
        <w:spacing w:lineRule="auto" w:line="240" w:before="0" w:after="0"/>
        <w:rPr/>
      </w:pPr>
      <w:r>
        <w:rPr>
          <w:rFonts w:ascii="Times New Roman" w:hAnsi="Times New Roman"/>
          <w:b/>
          <w:i w:val="false"/>
          <w:caps w:val="false"/>
          <w:smallCaps w:val="false"/>
          <w:strike w:val="false"/>
          <w:dstrike w:val="false"/>
          <w:color w:val="000000"/>
          <w:sz w:val="24"/>
          <w:u w:val="none"/>
          <w:effect w:val="none"/>
          <w:shd w:fill="auto" w:val="clear"/>
        </w:rPr>
        <w:t>Figure S2.</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Comparison of normalisation methods for quantification of </w:t>
      </w:r>
      <w:r>
        <w:rPr>
          <w:rFonts w:ascii="Times New Roman" w:hAnsi="Times New Roman"/>
          <w:b w:val="false"/>
          <w:i/>
          <w:caps w:val="false"/>
          <w:smallCaps w:val="false"/>
          <w:strike w:val="false"/>
          <w:dstrike w:val="false"/>
          <w:color w:val="000000"/>
          <w:sz w:val="24"/>
          <w:u w:val="none"/>
          <w:effect w:val="none"/>
          <w:shd w:fill="auto" w:val="clear"/>
        </w:rPr>
        <w:t>Eimeria</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with amplicon sequencing (18S rRNA gene) using microfluidics PCR. dpi= days post infection, df= degree of freedom.</w:t>
      </w:r>
    </w:p>
    <w:p>
      <w:pPr>
        <w:pStyle w:val="TextBody"/>
        <w:bidi w:val="0"/>
        <w:spacing w:lineRule="auto" w:line="576" w:before="0" w:after="0"/>
        <w:rPr>
          <w:caps w:val="false"/>
          <w:smallCaps w:val="false"/>
          <w:strike w:val="false"/>
          <w:dstrike w:val="false"/>
          <w:color w:val="000000"/>
          <w:u w:val="none"/>
          <w:effect w:val="none"/>
          <w:shd w:fill="auto" w:val="clear"/>
        </w:rPr>
      </w:pPr>
      <w:r>
        <w:rPr>
          <w:caps w:val="false"/>
          <w:smallCaps w:val="false"/>
          <w:strike w:val="false"/>
          <w:dstrike w:val="false"/>
          <w:color w:val="000000"/>
          <w:u w:val="none"/>
          <w:effect w:val="none"/>
          <w:shd w:fill="auto" w:val="clea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4999990" cy="824230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4999990" cy="8242300"/>
                    </a:xfrm>
                    <a:prstGeom prst="rect">
                      <a:avLst/>
                    </a:prstGeom>
                  </pic:spPr>
                </pic:pic>
              </a:graphicData>
            </a:graphic>
          </wp:anchor>
        </w:drawing>
      </w:r>
    </w:p>
    <w:p>
      <w:pPr>
        <w:pStyle w:val="TextBody"/>
        <w:bidi w:val="0"/>
        <w:spacing w:lineRule="auto" w:line="240" w:before="0" w:after="0"/>
        <w:rPr/>
      </w:pPr>
      <w:r>
        <w:rPr>
          <w:rFonts w:ascii="Times New Roman" w:hAnsi="Times New Roman"/>
          <w:b/>
          <w:i w:val="false"/>
          <w:caps w:val="false"/>
          <w:smallCaps w:val="false"/>
          <w:strike w:val="false"/>
          <w:dstrike w:val="false"/>
          <w:color w:val="000000"/>
          <w:sz w:val="24"/>
          <w:u w:val="none"/>
          <w:effect w:val="none"/>
          <w:shd w:fill="auto" w:val="clear"/>
        </w:rPr>
        <w:t>Figure S3.</w:t>
      </w:r>
      <w:r>
        <w:rPr>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 xml:space="preserve">The different amplified </w:t>
      </w:r>
      <w:r>
        <w:rPr>
          <w:rFonts w:ascii="Times New Roman" w:hAnsi="Times New Roman"/>
          <w:b w:val="false"/>
          <w:i/>
          <w:iCs/>
          <w:caps w:val="false"/>
          <w:smallCaps w:val="false"/>
          <w:strike w:val="false"/>
          <w:dstrike w:val="false"/>
          <w:color w:val="000000"/>
          <w:sz w:val="24"/>
          <w:u w:val="none"/>
          <w:effect w:val="none"/>
          <w:shd w:fill="auto" w:val="clear"/>
        </w:rPr>
        <w:t>Eimeria</w:t>
      </w:r>
      <w:r>
        <w:rPr>
          <w:rFonts w:ascii="Times New Roman" w:hAnsi="Times New Roman"/>
          <w:b w:val="false"/>
          <w:i w:val="false"/>
          <w:caps w:val="false"/>
          <w:smallCaps w:val="false"/>
          <w:strike w:val="false"/>
          <w:dstrike w:val="false"/>
          <w:color w:val="000000"/>
          <w:sz w:val="24"/>
          <w:u w:val="none"/>
          <w:effect w:val="none"/>
          <w:shd w:fill="auto" w:val="clear"/>
        </w:rPr>
        <w:t xml:space="preserve"> ASVs consistently reflect infection dynamics. </w:t>
      </w:r>
      <w:r>
        <w:rPr>
          <w:rFonts w:ascii="Times New Roman" w:hAnsi="Times New Roman"/>
          <w:b w:val="false"/>
          <w:i/>
          <w:iCs/>
          <w:caps w:val="false"/>
          <w:smallCaps w:val="false"/>
          <w:strike w:val="false"/>
          <w:dstrike w:val="false"/>
          <w:color w:val="000000"/>
          <w:sz w:val="24"/>
          <w:u w:val="none"/>
          <w:effect w:val="none"/>
          <w:shd w:fill="auto" w:val="clear"/>
        </w:rPr>
        <w:t>Eimeria</w:t>
      </w:r>
      <w:r>
        <w:rPr>
          <w:rFonts w:ascii="Times New Roman" w:hAnsi="Times New Roman"/>
          <w:b w:val="false"/>
          <w:i w:val="false"/>
          <w:caps w:val="false"/>
          <w:smallCaps w:val="false"/>
          <w:strike w:val="false"/>
          <w:dstrike w:val="false"/>
          <w:color w:val="000000"/>
          <w:sz w:val="24"/>
          <w:u w:val="none"/>
          <w:effect w:val="none"/>
          <w:shd w:fill="auto" w:val="clear"/>
        </w:rPr>
        <w:t xml:space="preserve"> ASV abundances throughout days post infection measured as a) ASV1 sequenced from standard PCR amplification; b) ASV2 sequenced from standard PCR amplification; c) ASV1 sequenced from microfluidics PCR amplification; d) ASV1 sequenced from microfluidics PCR amplification. Abundances are measured as relative abundances after a total sum scaling normalisation, within the respective amplicon. Each dot represents one sample, samples from the same individual are connected with gray lines. The mean for each day post infection is depicted as a diamond. Colours represent the different days post infection. Note the difference in the scale of the y-axis in a) and c) vs b) and d).</w:t>
      </w:r>
    </w:p>
    <w:p>
      <w:pPr>
        <w:pStyle w:val="TextBody"/>
        <w:bidi w:val="0"/>
        <w:spacing w:lineRule="auto" w:line="576" w:before="0" w:after="0"/>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5407025"/>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6120130" cy="5407025"/>
                    </a:xfrm>
                    <a:prstGeom prst="rect">
                      <a:avLst/>
                    </a:prstGeom>
                  </pic:spPr>
                </pic:pic>
              </a:graphicData>
            </a:graphic>
          </wp:anchor>
        </w:drawing>
      </w:r>
      <w:r>
        <w:rPr>
          <w:caps w:val="false"/>
          <w:smallCaps w:val="false"/>
          <w:strike w:val="false"/>
          <w:dstrike w:val="false"/>
          <w:color w:val="000000"/>
          <w:u w:val="none"/>
          <w:effect w:val="none"/>
          <w:shd w:fill="auto" w:val="clear"/>
        </w:rPr>
        <w:t> </w:t>
      </w:r>
    </w:p>
    <w:p>
      <w:pPr>
        <w:pStyle w:val="TextBody"/>
        <w:bidi w:val="0"/>
        <w:spacing w:lineRule="auto" w:line="576" w:before="0" w:after="0"/>
        <w:rPr>
          <w:caps w:val="false"/>
          <w:smallCaps w:val="false"/>
          <w:strike w:val="false"/>
          <w:dstrike w:val="false"/>
          <w:color w:val="000000"/>
          <w:u w:val="none"/>
          <w:effect w:val="none"/>
          <w:shd w:fill="auto" w:val="clear"/>
        </w:rPr>
      </w:pPr>
      <w:r>
        <w:rPr>
          <w:caps w:val="false"/>
          <w:smallCaps w:val="false"/>
          <w:strike w:val="false"/>
          <w:dstrike w:val="false"/>
          <w:color w:val="000000"/>
          <w:u w:val="none"/>
          <w:effect w:val="none"/>
          <w:shd w:fill="auto" w:val="clea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auto"/>
    <w:pitch w:val="default"/>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LibreOffice/7.3.7.2$Linux_X86_64 LibreOffice_project/30$Build-2</Application>
  <AppVersion>15.0000</AppVersion>
  <Pages>4</Pages>
  <Words>349</Words>
  <Characters>2012</Characters>
  <CharactersWithSpaces>2320</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2023-03-24T08:48:43Z</dcterms:created>
  <dc:creator/>
  <dc:description/>
  <dc:language>en-US</dc:language>
  <cp:lastModifiedBy/>
  <dcterms:modified xsi:type="dcterms:W3CDTF">2023-03-24T14:47:57Z</dcterms:modified>
  <cp:revision>2</cp:revision>
  <dc:subject/>
  <dc:title/>
</cp:coreProperties>
</file>