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A00499" w14:textId="34440D3E" w:rsidR="00D31009" w:rsidRDefault="00D31009" w:rsidP="00D31009">
      <w:pPr>
        <w:kinsoku w:val="0"/>
        <w:overflowPunct w:val="0"/>
        <w:jc w:val="lef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Information for:</w:t>
      </w:r>
    </w:p>
    <w:p w14:paraId="258BBA75" w14:textId="77777777" w:rsidR="00D31009" w:rsidRDefault="00D31009" w:rsidP="00D31009">
      <w:pPr>
        <w:kinsoku w:val="0"/>
        <w:overflowPunct w:val="0"/>
        <w:jc w:val="left"/>
        <w:rPr>
          <w:rFonts w:ascii="Arial" w:hAnsi="Arial" w:cs="Arial"/>
          <w:b/>
          <w:bCs/>
          <w:sz w:val="28"/>
          <w:szCs w:val="28"/>
        </w:rPr>
      </w:pPr>
    </w:p>
    <w:p w14:paraId="46A6B27D" w14:textId="13DD22C6" w:rsidR="00D31009" w:rsidRPr="007E19E0" w:rsidRDefault="00D31009" w:rsidP="00D31009">
      <w:pPr>
        <w:kinsoku w:val="0"/>
        <w:overflowPunct w:val="0"/>
        <w:jc w:val="left"/>
        <w:rPr>
          <w:rFonts w:ascii="Arial" w:hAnsi="Arial" w:cs="Arial"/>
          <w:b/>
          <w:bCs/>
          <w:sz w:val="28"/>
          <w:szCs w:val="28"/>
        </w:rPr>
      </w:pPr>
      <w:r w:rsidRPr="007E19E0">
        <w:rPr>
          <w:rFonts w:ascii="Arial" w:hAnsi="Arial" w:cs="Arial"/>
          <w:b/>
          <w:bCs/>
          <w:sz w:val="28"/>
          <w:szCs w:val="28"/>
        </w:rPr>
        <w:t xml:space="preserve">A novel application of bubble-eye strain of </w:t>
      </w:r>
      <w:r w:rsidRPr="007E19E0">
        <w:rPr>
          <w:rFonts w:ascii="Arial" w:eastAsiaTheme="minorHAnsi" w:hAnsi="Arial" w:cs="Arial"/>
          <w:b/>
          <w:bCs/>
          <w:i/>
          <w:iCs/>
          <w:color w:val="212121"/>
          <w:sz w:val="28"/>
          <w:szCs w:val="28"/>
          <w:shd w:val="clear" w:color="auto" w:fill="FFFFFF"/>
        </w:rPr>
        <w:t xml:space="preserve">Carassius auratus </w:t>
      </w:r>
      <w:r w:rsidRPr="007E19E0">
        <w:rPr>
          <w:rFonts w:ascii="Arial" w:hAnsi="Arial" w:cs="Arial"/>
          <w:b/>
          <w:bCs/>
          <w:sz w:val="28"/>
          <w:szCs w:val="28"/>
        </w:rPr>
        <w:t xml:space="preserve">for </w:t>
      </w:r>
      <w:r w:rsidRPr="007E19E0">
        <w:rPr>
          <w:rFonts w:ascii="Arial" w:hAnsi="Arial" w:cs="Arial"/>
          <w:b/>
          <w:bCs/>
          <w:i/>
          <w:iCs/>
          <w:sz w:val="28"/>
          <w:szCs w:val="28"/>
        </w:rPr>
        <w:t>ex vivo</w:t>
      </w:r>
      <w:r w:rsidRPr="007E19E0">
        <w:rPr>
          <w:rFonts w:ascii="Arial" w:hAnsi="Arial" w:cs="Arial"/>
          <w:b/>
          <w:bCs/>
          <w:sz w:val="28"/>
          <w:szCs w:val="28"/>
        </w:rPr>
        <w:t xml:space="preserve"> fish immunological studies</w:t>
      </w:r>
    </w:p>
    <w:p w14:paraId="041A4972" w14:textId="77777777" w:rsidR="00D31009" w:rsidRPr="007E19E0" w:rsidRDefault="00D31009" w:rsidP="00D31009">
      <w:pPr>
        <w:spacing w:line="276" w:lineRule="auto"/>
        <w:rPr>
          <w:rFonts w:ascii="Arial" w:eastAsia="Hiragino Mincho Pro W3" w:hAnsi="Arial" w:cs="Arial"/>
          <w:b/>
          <w:bCs/>
          <w:sz w:val="22"/>
        </w:rPr>
      </w:pPr>
      <w:proofErr w:type="spellStart"/>
      <w:r w:rsidRPr="007E19E0">
        <w:rPr>
          <w:rFonts w:ascii="Arial" w:eastAsia="Hiragino Mincho Pro W3" w:hAnsi="Arial" w:cs="Arial"/>
          <w:b/>
          <w:bCs/>
          <w:sz w:val="22"/>
        </w:rPr>
        <w:t>Hiroto</w:t>
      </w:r>
      <w:proofErr w:type="spellEnd"/>
      <w:r w:rsidRPr="007E19E0">
        <w:rPr>
          <w:rFonts w:ascii="Arial" w:eastAsia="Hiragino Mincho Pro W3" w:hAnsi="Arial" w:cs="Arial"/>
          <w:b/>
          <w:bCs/>
          <w:sz w:val="22"/>
        </w:rPr>
        <w:t xml:space="preserve"> Nakajima</w:t>
      </w:r>
      <w:r w:rsidRPr="007E19E0">
        <w:rPr>
          <w:rFonts w:ascii="Arial" w:eastAsia="Hiragino Mincho Pro W3" w:hAnsi="Arial" w:cs="Arial"/>
          <w:b/>
          <w:bCs/>
          <w:sz w:val="22"/>
          <w:vertAlign w:val="superscript"/>
        </w:rPr>
        <w:t>1,2</w:t>
      </w:r>
      <w:r w:rsidRPr="007E19E0">
        <w:rPr>
          <w:rFonts w:ascii="Arial" w:eastAsia="Hiragino Mincho Pro W3" w:hAnsi="Arial" w:cs="Arial"/>
          <w:b/>
          <w:bCs/>
          <w:sz w:val="22"/>
        </w:rPr>
        <w:t>, Atsushi Miyashita</w:t>
      </w:r>
      <w:r w:rsidRPr="007E19E0">
        <w:rPr>
          <w:rFonts w:ascii="Arial" w:eastAsia="Hiragino Mincho Pro W3" w:hAnsi="Arial" w:cs="Arial"/>
          <w:b/>
          <w:bCs/>
          <w:sz w:val="22"/>
          <w:vertAlign w:val="superscript"/>
        </w:rPr>
        <w:t>1</w:t>
      </w:r>
      <w:r w:rsidRPr="007E19E0">
        <w:rPr>
          <w:rFonts w:ascii="Arial" w:eastAsia="Hiragino Mincho Pro W3" w:hAnsi="Arial" w:cs="Arial"/>
          <w:b/>
          <w:bCs/>
          <w:sz w:val="22"/>
        </w:rPr>
        <w:t>, Hiroshi Hamamoto</w:t>
      </w:r>
      <w:r w:rsidRPr="007E19E0">
        <w:rPr>
          <w:rFonts w:ascii="Arial" w:eastAsia="Hiragino Mincho Pro W3" w:hAnsi="Arial" w:cs="Arial"/>
          <w:b/>
          <w:bCs/>
          <w:sz w:val="22"/>
          <w:vertAlign w:val="superscript"/>
        </w:rPr>
        <w:t>1</w:t>
      </w:r>
      <w:r w:rsidRPr="007E19E0">
        <w:rPr>
          <w:rFonts w:ascii="Arial" w:eastAsia="Hiragino Mincho Pro W3" w:hAnsi="Arial" w:cs="Arial"/>
          <w:b/>
          <w:bCs/>
          <w:sz w:val="22"/>
        </w:rPr>
        <w:t>, and Kazuhisa Sekimizu</w:t>
      </w:r>
      <w:r w:rsidRPr="007E19E0">
        <w:rPr>
          <w:rFonts w:ascii="Arial" w:eastAsia="Hiragino Mincho Pro W3" w:hAnsi="Arial" w:cs="Arial"/>
          <w:b/>
          <w:bCs/>
          <w:sz w:val="22"/>
          <w:vertAlign w:val="superscript"/>
        </w:rPr>
        <w:t>1,</w:t>
      </w:r>
      <w:proofErr w:type="gramStart"/>
      <w:r w:rsidRPr="007E19E0">
        <w:rPr>
          <w:rFonts w:ascii="Arial" w:eastAsia="Hiragino Mincho Pro W3" w:hAnsi="Arial" w:cs="Arial"/>
          <w:b/>
          <w:bCs/>
          <w:sz w:val="22"/>
          <w:vertAlign w:val="superscript"/>
        </w:rPr>
        <w:t>2,*</w:t>
      </w:r>
      <w:proofErr w:type="gramEnd"/>
      <w:r w:rsidRPr="007E19E0">
        <w:rPr>
          <w:rFonts w:ascii="Arial" w:eastAsia="Hiragino Mincho Pro W3" w:hAnsi="Arial" w:cs="Arial"/>
          <w:b/>
          <w:bCs/>
          <w:sz w:val="22"/>
        </w:rPr>
        <w:t>.</w:t>
      </w:r>
    </w:p>
    <w:p w14:paraId="7F803A54" w14:textId="77777777" w:rsidR="00D31009" w:rsidRPr="007E19E0" w:rsidRDefault="00D31009" w:rsidP="00D31009">
      <w:pPr>
        <w:spacing w:line="276" w:lineRule="auto"/>
        <w:jc w:val="center"/>
        <w:rPr>
          <w:rFonts w:ascii="Arial" w:eastAsia="Hiragino Mincho Pro W3" w:hAnsi="Arial" w:cs="Arial"/>
          <w:sz w:val="22"/>
        </w:rPr>
      </w:pPr>
    </w:p>
    <w:p w14:paraId="754AB740" w14:textId="77777777" w:rsidR="00D31009" w:rsidRPr="007E19E0" w:rsidRDefault="00D31009" w:rsidP="00D31009">
      <w:pPr>
        <w:spacing w:line="276" w:lineRule="auto"/>
        <w:rPr>
          <w:rFonts w:ascii="Arial" w:hAnsi="Arial" w:cs="Arial"/>
          <w:sz w:val="22"/>
        </w:rPr>
      </w:pPr>
      <w:r w:rsidRPr="007E19E0">
        <w:rPr>
          <w:rFonts w:ascii="Arial" w:hAnsi="Arial" w:cs="Arial"/>
          <w:sz w:val="22"/>
        </w:rPr>
        <w:t xml:space="preserve">1. Institute of Medical Mycology, </w:t>
      </w:r>
      <w:proofErr w:type="spellStart"/>
      <w:r w:rsidRPr="007E19E0">
        <w:rPr>
          <w:rFonts w:ascii="Arial" w:hAnsi="Arial" w:cs="Arial"/>
          <w:sz w:val="22"/>
        </w:rPr>
        <w:t>Teikyo</w:t>
      </w:r>
      <w:proofErr w:type="spellEnd"/>
      <w:r w:rsidRPr="007E19E0">
        <w:rPr>
          <w:rFonts w:ascii="Arial" w:hAnsi="Arial" w:cs="Arial"/>
          <w:sz w:val="22"/>
        </w:rPr>
        <w:t xml:space="preserve"> University, Tokyo, Japan.</w:t>
      </w:r>
    </w:p>
    <w:p w14:paraId="4E651380" w14:textId="77777777" w:rsidR="00D31009" w:rsidRPr="007E19E0" w:rsidRDefault="00D31009" w:rsidP="00D31009">
      <w:pPr>
        <w:spacing w:line="276" w:lineRule="auto"/>
        <w:rPr>
          <w:rFonts w:ascii="Arial" w:eastAsia="Hiragino Mincho Pro W3" w:hAnsi="Arial" w:cs="Arial"/>
          <w:sz w:val="22"/>
        </w:rPr>
      </w:pPr>
      <w:r w:rsidRPr="007E19E0">
        <w:rPr>
          <w:rFonts w:ascii="Arial" w:hAnsi="Arial" w:cs="Arial"/>
          <w:sz w:val="22"/>
        </w:rPr>
        <w:t>2. Genome Pharmaceuticals Institute Co., Ltd., Tokyo, Japan.</w:t>
      </w:r>
    </w:p>
    <w:p w14:paraId="16A9FC14" w14:textId="77777777" w:rsidR="00D31009" w:rsidRPr="007E19E0" w:rsidRDefault="00D31009" w:rsidP="00D31009">
      <w:pPr>
        <w:spacing w:line="276" w:lineRule="auto"/>
        <w:rPr>
          <w:rFonts w:ascii="Arial" w:hAnsi="Arial" w:cs="Arial"/>
          <w:sz w:val="22"/>
        </w:rPr>
      </w:pPr>
      <w:r w:rsidRPr="007E19E0">
        <w:rPr>
          <w:rFonts w:ascii="Arial" w:hAnsi="Arial" w:cs="Arial"/>
          <w:b/>
          <w:bCs/>
          <w:sz w:val="22"/>
        </w:rPr>
        <w:t>*</w:t>
      </w:r>
      <w:r w:rsidRPr="007E19E0">
        <w:rPr>
          <w:rFonts w:ascii="Arial" w:hAnsi="Arial" w:cs="Arial"/>
          <w:sz w:val="22"/>
        </w:rPr>
        <w:t xml:space="preserve"> sekimizu@main.teikyo-u.ac.jp</w:t>
      </w:r>
    </w:p>
    <w:p w14:paraId="50B278FE" w14:textId="21416452" w:rsidR="00986FD8" w:rsidRDefault="00986FD8"/>
    <w:p w14:paraId="64B24F04" w14:textId="278E3342" w:rsidR="002368FE" w:rsidRDefault="002368FE"/>
    <w:p w14:paraId="5F29B340" w14:textId="523EC079" w:rsidR="002368FE" w:rsidRDefault="002368FE">
      <w:pPr>
        <w:widowControl/>
        <w:jc w:val="left"/>
      </w:pPr>
      <w:r>
        <w:br w:type="page"/>
      </w:r>
    </w:p>
    <w:p w14:paraId="49AE06E5" w14:textId="77777777" w:rsidR="002368FE" w:rsidRDefault="002368FE" w:rsidP="002368FE">
      <w:pPr>
        <w:kinsoku w:val="0"/>
        <w:overflowPunct w:val="0"/>
        <w:rPr>
          <w:rFonts w:ascii="Times New Roman" w:hAnsi="Times New Roman" w:cs="Times New Roman"/>
          <w:b/>
          <w:sz w:val="22"/>
        </w:rPr>
      </w:pPr>
    </w:p>
    <w:p w14:paraId="4B7504A0" w14:textId="78A59840" w:rsidR="002368FE" w:rsidRDefault="002368FE" w:rsidP="002368FE">
      <w:pPr>
        <w:kinsoku w:val="0"/>
        <w:overflowPunct w:val="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03CED30E" wp14:editId="3B980A51">
            <wp:extent cx="5943600" cy="44049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49029" w14:textId="344B652B" w:rsidR="002368FE" w:rsidRPr="006321FD" w:rsidRDefault="002368FE" w:rsidP="002368FE">
      <w:pPr>
        <w:kinsoku w:val="0"/>
        <w:overflowPunct w:val="0"/>
        <w:rPr>
          <w:rFonts w:ascii="Times New Roman" w:hAnsi="Times New Roman" w:cs="Times New Roman"/>
          <w:sz w:val="22"/>
        </w:rPr>
      </w:pPr>
      <w:r w:rsidRPr="006321FD">
        <w:rPr>
          <w:rFonts w:ascii="Times New Roman" w:hAnsi="Times New Roman" w:cs="Times New Roman"/>
          <w:b/>
          <w:bCs/>
          <w:sz w:val="22"/>
        </w:rPr>
        <w:t>Figure</w:t>
      </w:r>
      <w:r>
        <w:rPr>
          <w:rFonts w:ascii="Times New Roman" w:hAnsi="Times New Roman" w:cs="Times New Roman"/>
          <w:b/>
          <w:bCs/>
          <w:sz w:val="22"/>
        </w:rPr>
        <w:t xml:space="preserve"> S1</w:t>
      </w:r>
      <w:r w:rsidRPr="006321FD">
        <w:rPr>
          <w:rFonts w:ascii="Times New Roman" w:hAnsi="Times New Roman" w:cs="Times New Roman"/>
          <w:b/>
          <w:bCs/>
          <w:sz w:val="22"/>
        </w:rPr>
        <w:t xml:space="preserve">. Stable expression of pro-inflammatory cytokines in </w:t>
      </w:r>
      <w:r w:rsidRPr="006321FD">
        <w:rPr>
          <w:rFonts w:ascii="Times New Roman" w:hAnsi="Times New Roman" w:cs="Times New Roman"/>
          <w:b/>
          <w:bCs/>
          <w:i/>
          <w:iCs/>
          <w:sz w:val="22"/>
        </w:rPr>
        <w:t>ex vivo</w:t>
      </w:r>
      <w:r w:rsidRPr="006321FD">
        <w:rPr>
          <w:rFonts w:ascii="Times New Roman" w:hAnsi="Times New Roman" w:cs="Times New Roman"/>
          <w:b/>
          <w:bCs/>
          <w:sz w:val="22"/>
        </w:rPr>
        <w:t xml:space="preserve"> eye-sac cell culture.</w:t>
      </w:r>
      <w:r w:rsidRPr="006321FD">
        <w:rPr>
          <w:rFonts w:ascii="Times New Roman" w:hAnsi="Times New Roman" w:cs="Times New Roman"/>
          <w:sz w:val="22"/>
        </w:rPr>
        <w:t xml:space="preserve"> Eye-sac cells collected from bubble-eye goldfish were cultured with heat-killed </w:t>
      </w:r>
      <w:r w:rsidRPr="006321FD">
        <w:rPr>
          <w:rFonts w:ascii="Times New Roman" w:hAnsi="Times New Roman" w:cs="Times New Roman"/>
          <w:i/>
          <w:sz w:val="22"/>
        </w:rPr>
        <w:t>P. aeruginosa</w:t>
      </w:r>
      <w:r w:rsidRPr="006321FD">
        <w:rPr>
          <w:rFonts w:ascii="Times New Roman" w:hAnsi="Times New Roman" w:cs="Times New Roman"/>
          <w:sz w:val="22"/>
        </w:rPr>
        <w:t xml:space="preserve"> (PAO</w:t>
      </w:r>
      <w:bookmarkStart w:id="0" w:name="_Hlk47516102"/>
      <w:r w:rsidRPr="006321FD">
        <w:rPr>
          <w:rFonts w:ascii="Times New Roman" w:hAnsi="Times New Roman" w:cs="Times New Roman"/>
          <w:sz w:val="22"/>
        </w:rPr>
        <w:t>1</w:t>
      </w:r>
      <w:bookmarkEnd w:id="0"/>
      <w:r w:rsidRPr="006321FD">
        <w:rPr>
          <w:rFonts w:ascii="Times New Roman" w:hAnsi="Times New Roman" w:cs="Times New Roman"/>
          <w:sz w:val="22"/>
        </w:rPr>
        <w:t>) or saline at 25℃ (8 x 10</w:t>
      </w:r>
      <w:r w:rsidRPr="006321FD">
        <w:rPr>
          <w:rFonts w:ascii="Times New Roman" w:hAnsi="Times New Roman" w:cs="Times New Roman"/>
          <w:sz w:val="22"/>
          <w:vertAlign w:val="superscript"/>
        </w:rPr>
        <w:t>4</w:t>
      </w:r>
      <w:r w:rsidRPr="006321FD">
        <w:rPr>
          <w:rFonts w:ascii="Times New Roman" w:hAnsi="Times New Roman" w:cs="Times New Roman"/>
          <w:sz w:val="22"/>
        </w:rPr>
        <w:t xml:space="preserve">/0.8 mL/well). Gene expressions of pro-inflammatory cytokines at 2, 4, and 6 hours after the adding of heat-killed </w:t>
      </w:r>
      <w:r w:rsidRPr="006321FD">
        <w:rPr>
          <w:rFonts w:ascii="Times New Roman" w:hAnsi="Times New Roman" w:cs="Times New Roman"/>
          <w:i/>
          <w:sz w:val="22"/>
        </w:rPr>
        <w:t>P. aeruginosa</w:t>
      </w:r>
      <w:r w:rsidRPr="006321FD">
        <w:rPr>
          <w:rFonts w:ascii="Times New Roman" w:hAnsi="Times New Roman" w:cs="Times New Roman"/>
          <w:sz w:val="22"/>
        </w:rPr>
        <w:t xml:space="preserve"> cells or saline into the media are shown in the figure. The values were normalized to EF1α. </w:t>
      </w:r>
    </w:p>
    <w:p w14:paraId="41BB3B41" w14:textId="52D09646" w:rsidR="002368FE" w:rsidRDefault="002368FE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2721D4E5" w14:textId="51BDFA2F" w:rsidR="002368FE" w:rsidRPr="006321FD" w:rsidRDefault="002368FE" w:rsidP="002368FE">
      <w:pPr>
        <w:kinsoku w:val="0"/>
        <w:overflowPunct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033C381" wp14:editId="371A06E6">
            <wp:extent cx="5943600" cy="41357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3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CF598" w14:textId="47193F70" w:rsidR="002368FE" w:rsidRDefault="002368FE" w:rsidP="002368FE">
      <w:pPr>
        <w:kinsoku w:val="0"/>
        <w:overflowPunct w:val="0"/>
        <w:rPr>
          <w:rFonts w:ascii="Times New Roman" w:hAnsi="Times New Roman" w:cs="Times New Roman"/>
          <w:sz w:val="22"/>
        </w:rPr>
      </w:pPr>
      <w:r w:rsidRPr="006321FD">
        <w:rPr>
          <w:rFonts w:ascii="Times New Roman" w:hAnsi="Times New Roman" w:cs="Times New Roman"/>
          <w:b/>
          <w:bCs/>
          <w:sz w:val="22"/>
        </w:rPr>
        <w:t>Figure</w:t>
      </w:r>
      <w:r>
        <w:rPr>
          <w:rFonts w:ascii="Times New Roman" w:hAnsi="Times New Roman" w:cs="Times New Roman"/>
          <w:b/>
          <w:bCs/>
          <w:sz w:val="22"/>
        </w:rPr>
        <w:t xml:space="preserve"> S2</w:t>
      </w:r>
      <w:r w:rsidRPr="006321FD">
        <w:rPr>
          <w:rFonts w:ascii="Times New Roman" w:hAnsi="Times New Roman" w:cs="Times New Roman"/>
          <w:b/>
          <w:bCs/>
          <w:sz w:val="22"/>
        </w:rPr>
        <w:t xml:space="preserve">. Dose-dependent </w:t>
      </w:r>
      <w:r w:rsidRPr="006321FD">
        <w:rPr>
          <w:rFonts w:ascii="Times New Roman" w:hAnsi="Times New Roman" w:cs="Times New Roman"/>
          <w:b/>
          <w:bCs/>
          <w:i/>
          <w:iCs/>
          <w:sz w:val="22"/>
        </w:rPr>
        <w:t>ex vivo</w:t>
      </w:r>
      <w:r w:rsidRPr="006321FD">
        <w:rPr>
          <w:rFonts w:ascii="Times New Roman" w:hAnsi="Times New Roman" w:cs="Times New Roman"/>
          <w:b/>
          <w:bCs/>
          <w:sz w:val="22"/>
        </w:rPr>
        <w:t xml:space="preserve"> induction of pro-inflammatory cytokines in the eye-sac cells.</w:t>
      </w:r>
      <w:r w:rsidRPr="006321FD">
        <w:rPr>
          <w:rFonts w:ascii="Times New Roman" w:hAnsi="Times New Roman" w:cs="Times New Roman"/>
          <w:sz w:val="22"/>
        </w:rPr>
        <w:t xml:space="preserve"> Eye-sac cells collected from bubble-eye goldfish were cultured with heat-killed </w:t>
      </w:r>
      <w:r w:rsidRPr="006321FD">
        <w:rPr>
          <w:rFonts w:ascii="Times New Roman" w:hAnsi="Times New Roman" w:cs="Times New Roman"/>
          <w:i/>
          <w:sz w:val="22"/>
        </w:rPr>
        <w:t>P. aeruginosa</w:t>
      </w:r>
      <w:r w:rsidRPr="006321FD">
        <w:rPr>
          <w:rFonts w:ascii="Times New Roman" w:hAnsi="Times New Roman" w:cs="Times New Roman"/>
          <w:sz w:val="22"/>
        </w:rPr>
        <w:t xml:space="preserve"> (PAO1; three doses in the figure) or saline (0µL in the figure) at 25℃ (8 x 10</w:t>
      </w:r>
      <w:r w:rsidRPr="006321FD">
        <w:rPr>
          <w:rFonts w:ascii="Times New Roman" w:hAnsi="Times New Roman" w:cs="Times New Roman"/>
          <w:sz w:val="22"/>
          <w:vertAlign w:val="superscript"/>
        </w:rPr>
        <w:t>4</w:t>
      </w:r>
      <w:r w:rsidRPr="006321FD">
        <w:rPr>
          <w:rFonts w:ascii="Times New Roman" w:hAnsi="Times New Roman" w:cs="Times New Roman"/>
          <w:sz w:val="22"/>
        </w:rPr>
        <w:t xml:space="preserve">/0.8 mL/well). Gene expressions of pro-inflammatory cytokines are shown in the figure. The values were normalized to EF1α. </w:t>
      </w:r>
    </w:p>
    <w:p w14:paraId="2EA3847B" w14:textId="77777777" w:rsidR="002368FE" w:rsidRDefault="002368FE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E9BB91C" w14:textId="77777777" w:rsidR="002368FE" w:rsidRPr="006321FD" w:rsidRDefault="002368FE" w:rsidP="002368FE">
      <w:pPr>
        <w:kinsoku w:val="0"/>
        <w:overflowPunct w:val="0"/>
        <w:rPr>
          <w:rFonts w:ascii="Times New Roman" w:hAnsi="Times New Roman" w:cs="Times New Roman"/>
          <w:sz w:val="22"/>
        </w:rPr>
      </w:pPr>
    </w:p>
    <w:p w14:paraId="25C69EEA" w14:textId="7C8776EC" w:rsidR="002368FE" w:rsidRDefault="002368FE" w:rsidP="002368FE">
      <w:pPr>
        <w:kinsoku w:val="0"/>
        <w:overflowPunct w:val="0"/>
        <w:rPr>
          <w:rFonts w:ascii="Times New Roman" w:hAnsi="Times New Roman" w:cs="Times New Roman"/>
          <w:b/>
          <w:bCs/>
          <w:sz w:val="22"/>
        </w:rPr>
      </w:pPr>
    </w:p>
    <w:p w14:paraId="73EA45F9" w14:textId="6073230B" w:rsidR="002368FE" w:rsidRDefault="002368FE" w:rsidP="002368FE">
      <w:pPr>
        <w:kinsoku w:val="0"/>
        <w:overflowPunct w:val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drawing>
          <wp:inline distT="0" distB="0" distL="0" distR="0" wp14:anchorId="3C14491E" wp14:editId="75F55350">
            <wp:extent cx="5943600" cy="38957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B308D" w14:textId="77777777" w:rsidR="002368FE" w:rsidRPr="006321FD" w:rsidRDefault="002368FE" w:rsidP="002368FE">
      <w:pPr>
        <w:kinsoku w:val="0"/>
        <w:overflowPunct w:val="0"/>
        <w:rPr>
          <w:rFonts w:ascii="Times New Roman" w:hAnsi="Times New Roman" w:cs="Times New Roman"/>
          <w:sz w:val="22"/>
        </w:rPr>
      </w:pPr>
      <w:r w:rsidRPr="006321FD">
        <w:rPr>
          <w:rFonts w:ascii="Times New Roman" w:hAnsi="Times New Roman" w:cs="Times New Roman"/>
          <w:b/>
          <w:bCs/>
          <w:sz w:val="22"/>
        </w:rPr>
        <w:t>Figure</w:t>
      </w:r>
      <w:r>
        <w:rPr>
          <w:rFonts w:ascii="Times New Roman" w:hAnsi="Times New Roman" w:cs="Times New Roman"/>
          <w:b/>
          <w:bCs/>
          <w:sz w:val="22"/>
        </w:rPr>
        <w:t xml:space="preserve"> S3</w:t>
      </w:r>
      <w:r w:rsidRPr="006321FD">
        <w:rPr>
          <w:rFonts w:ascii="Times New Roman" w:hAnsi="Times New Roman" w:cs="Times New Roman"/>
          <w:b/>
          <w:bCs/>
          <w:sz w:val="22"/>
        </w:rPr>
        <w:t>. Temperature-dependent suppression of pro-inflammatory cytokine induction of the eye-sac cells.</w:t>
      </w:r>
      <w:r w:rsidRPr="006321FD">
        <w:rPr>
          <w:rFonts w:ascii="Times New Roman" w:hAnsi="Times New Roman" w:cs="Times New Roman"/>
          <w:sz w:val="22"/>
        </w:rPr>
        <w:t xml:space="preserve">  Eye-sac cells collected from untreated bubble-eye goldfish were cultured with heat-killed </w:t>
      </w:r>
      <w:r w:rsidRPr="006321FD">
        <w:rPr>
          <w:rFonts w:ascii="Times New Roman" w:hAnsi="Times New Roman" w:cs="Times New Roman"/>
          <w:i/>
          <w:sz w:val="22"/>
        </w:rPr>
        <w:t>P. aeruginosa</w:t>
      </w:r>
      <w:r w:rsidRPr="006321FD">
        <w:rPr>
          <w:rFonts w:ascii="Times New Roman" w:hAnsi="Times New Roman" w:cs="Times New Roman"/>
          <w:sz w:val="22"/>
        </w:rPr>
        <w:t xml:space="preserve"> or saline at 25ºC, 29ºC, or 33ºC as indicated in the figure for four hours (8 x 10</w:t>
      </w:r>
      <w:r w:rsidRPr="006321FD">
        <w:rPr>
          <w:rFonts w:ascii="Times New Roman" w:hAnsi="Times New Roman" w:cs="Times New Roman"/>
          <w:sz w:val="22"/>
          <w:vertAlign w:val="superscript"/>
        </w:rPr>
        <w:t>4</w:t>
      </w:r>
      <w:r w:rsidRPr="006321FD">
        <w:rPr>
          <w:rFonts w:ascii="Times New Roman" w:hAnsi="Times New Roman" w:cs="Times New Roman"/>
          <w:sz w:val="22"/>
        </w:rPr>
        <w:t>/0.8 mL/well). Gene expressions of pro-inflammatory cytokines are shown in the figure. The values were normalized to EF1α.</w:t>
      </w:r>
    </w:p>
    <w:p w14:paraId="4C6ACCA8" w14:textId="7A0A468B" w:rsidR="002368FE" w:rsidRDefault="002368FE"/>
    <w:sectPr w:rsidR="002368FE">
      <w:footerReference w:type="even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42C50" w14:textId="77777777" w:rsidR="00F74E48" w:rsidRDefault="00F74E48" w:rsidP="002368FE">
      <w:r>
        <w:separator/>
      </w:r>
    </w:p>
  </w:endnote>
  <w:endnote w:type="continuationSeparator" w:id="0">
    <w:p w14:paraId="02286DE6" w14:textId="77777777" w:rsidR="00F74E48" w:rsidRDefault="00F74E48" w:rsidP="00236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ragino Mincho Pro W3">
    <w:altName w:val="﷽﷽﷽﷽﷽﷽﷽﷽ Mincho Pro W3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72958666"/>
      <w:docPartObj>
        <w:docPartGallery w:val="Page Numbers (Bottom of Page)"/>
        <w:docPartUnique/>
      </w:docPartObj>
    </w:sdtPr>
    <w:sdtContent>
      <w:p w14:paraId="6D824015" w14:textId="386E80C0" w:rsidR="002368FE" w:rsidRDefault="002368FE" w:rsidP="004F0A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EE6AC0" w14:textId="77777777" w:rsidR="002368FE" w:rsidRDefault="002368FE" w:rsidP="002368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042639440"/>
      <w:docPartObj>
        <w:docPartGallery w:val="Page Numbers (Bottom of Page)"/>
        <w:docPartUnique/>
      </w:docPartObj>
    </w:sdtPr>
    <w:sdtContent>
      <w:p w14:paraId="6BE2C544" w14:textId="01F5EAD6" w:rsidR="002368FE" w:rsidRDefault="002368FE" w:rsidP="004F0A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65CFD3" w14:textId="77777777" w:rsidR="002368FE" w:rsidRDefault="002368FE" w:rsidP="002368F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33558E" w14:textId="77777777" w:rsidR="00F74E48" w:rsidRDefault="00F74E48" w:rsidP="002368FE">
      <w:r>
        <w:separator/>
      </w:r>
    </w:p>
  </w:footnote>
  <w:footnote w:type="continuationSeparator" w:id="0">
    <w:p w14:paraId="06468104" w14:textId="77777777" w:rsidR="00F74E48" w:rsidRDefault="00F74E48" w:rsidP="00236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009"/>
    <w:rsid w:val="000158F1"/>
    <w:rsid w:val="001D5D5F"/>
    <w:rsid w:val="002368FE"/>
    <w:rsid w:val="00657EB0"/>
    <w:rsid w:val="006F4419"/>
    <w:rsid w:val="007227B2"/>
    <w:rsid w:val="00986FD8"/>
    <w:rsid w:val="00A164E3"/>
    <w:rsid w:val="00D31009"/>
    <w:rsid w:val="00E009FF"/>
    <w:rsid w:val="00E36BB5"/>
    <w:rsid w:val="00EA2D44"/>
    <w:rsid w:val="00EC69B3"/>
    <w:rsid w:val="00F74E48"/>
    <w:rsid w:val="00FC5A77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E9E51"/>
  <w15:chartTrackingRefBased/>
  <w15:docId w15:val="{00C662F4-F430-E74B-8135-E2A8B980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009"/>
    <w:pPr>
      <w:widowControl w:val="0"/>
      <w:jc w:val="both"/>
    </w:pPr>
    <w:rPr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368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68FE"/>
    <w:rPr>
      <w:kern w:val="2"/>
      <w:sz w:val="21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2368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Atsushi Miyashita</dc:creator>
  <cp:keywords/>
  <dc:description/>
  <cp:lastModifiedBy>Atsushi Miyashita</cp:lastModifiedBy>
  <cp:revision>4</cp:revision>
  <dcterms:created xsi:type="dcterms:W3CDTF">2021-03-05T03:52:00Z</dcterms:created>
  <dcterms:modified xsi:type="dcterms:W3CDTF">2021-03-05T03:56:00Z</dcterms:modified>
</cp:coreProperties>
</file>