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951F7" w14:textId="77777777" w:rsidR="00F342FA" w:rsidRPr="004D7BEF" w:rsidRDefault="00520BB7" w:rsidP="00F342FA">
      <w:pPr>
        <w:pStyle w:val="Appendix"/>
        <w:numPr>
          <w:ilvl w:val="0"/>
          <w:numId w:val="0"/>
        </w:numPr>
        <w:rPr>
          <w:lang w:eastAsia="ja-JP"/>
        </w:rPr>
      </w:pPr>
      <w:r>
        <w:t>Supplementary Information</w:t>
      </w:r>
      <w:r w:rsidR="00F342FA">
        <w:t xml:space="preserve"> </w:t>
      </w:r>
      <w:r w:rsidR="00F342FA">
        <w:rPr>
          <w:lang w:eastAsia="ja-JP"/>
        </w:rPr>
        <w:t>Comparing ambition of EU companies with science-based targets to EU regulation-imposed reductions</w:t>
      </w:r>
    </w:p>
    <w:p w14:paraId="38525FCD" w14:textId="77777777" w:rsidR="00520BB7" w:rsidRDefault="00520BB7" w:rsidP="00520BB7">
      <w:pPr>
        <w:pStyle w:val="Heading1"/>
      </w:pPr>
      <w:r>
        <w:t>GHG emissions, SBTi EU branches and ETS installations</w:t>
      </w:r>
    </w:p>
    <w:tbl>
      <w:tblPr>
        <w:tblW w:w="5000" w:type="pct"/>
        <w:tblLayout w:type="fixed"/>
        <w:tblLook w:val="04A0" w:firstRow="1" w:lastRow="0" w:firstColumn="1" w:lastColumn="0" w:noHBand="0" w:noVBand="1"/>
      </w:tblPr>
      <w:tblGrid>
        <w:gridCol w:w="1796"/>
        <w:gridCol w:w="1261"/>
        <w:gridCol w:w="1081"/>
        <w:gridCol w:w="1081"/>
        <w:gridCol w:w="1077"/>
        <w:gridCol w:w="722"/>
        <w:gridCol w:w="989"/>
        <w:gridCol w:w="718"/>
        <w:gridCol w:w="625"/>
      </w:tblGrid>
      <w:tr w:rsidR="00E71926" w:rsidRPr="00E71926" w14:paraId="25A0880F" w14:textId="77777777" w:rsidTr="00E71926">
        <w:trPr>
          <w:trHeight w:val="1200"/>
        </w:trPr>
        <w:tc>
          <w:tcPr>
            <w:tcW w:w="960" w:type="pct"/>
            <w:tcBorders>
              <w:top w:val="single" w:sz="4" w:space="0" w:color="auto"/>
              <w:left w:val="single" w:sz="4" w:space="0" w:color="auto"/>
              <w:bottom w:val="single" w:sz="4" w:space="0" w:color="auto"/>
              <w:right w:val="nil"/>
            </w:tcBorders>
            <w:shd w:val="clear" w:color="auto" w:fill="auto"/>
            <w:noWrap/>
            <w:vAlign w:val="bottom"/>
            <w:hideMark/>
          </w:tcPr>
          <w:p w14:paraId="5A271796"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Source</w:t>
            </w:r>
          </w:p>
        </w:tc>
        <w:tc>
          <w:tcPr>
            <w:tcW w:w="674" w:type="pct"/>
            <w:tcBorders>
              <w:top w:val="single" w:sz="4" w:space="0" w:color="auto"/>
              <w:left w:val="nil"/>
              <w:bottom w:val="single" w:sz="4" w:space="0" w:color="auto"/>
              <w:right w:val="single" w:sz="4" w:space="0" w:color="auto"/>
            </w:tcBorders>
            <w:shd w:val="clear" w:color="auto" w:fill="auto"/>
            <w:noWrap/>
            <w:vAlign w:val="bottom"/>
            <w:hideMark/>
          </w:tcPr>
          <w:p w14:paraId="28C0AC09"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Policy instrument coverage</w:t>
            </w:r>
          </w:p>
        </w:tc>
        <w:tc>
          <w:tcPr>
            <w:tcW w:w="578" w:type="pct"/>
            <w:tcBorders>
              <w:top w:val="single" w:sz="4" w:space="0" w:color="auto"/>
              <w:left w:val="nil"/>
              <w:bottom w:val="single" w:sz="4" w:space="0" w:color="auto"/>
              <w:right w:val="nil"/>
            </w:tcBorders>
            <w:shd w:val="clear" w:color="auto" w:fill="auto"/>
            <w:noWrap/>
            <w:vAlign w:val="bottom"/>
            <w:hideMark/>
          </w:tcPr>
          <w:p w14:paraId="0294A73F"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Scope 1 emission</w:t>
            </w:r>
          </w:p>
        </w:tc>
        <w:tc>
          <w:tcPr>
            <w:tcW w:w="578" w:type="pct"/>
            <w:tcBorders>
              <w:top w:val="single" w:sz="4" w:space="0" w:color="auto"/>
              <w:left w:val="nil"/>
              <w:bottom w:val="single" w:sz="4" w:space="0" w:color="auto"/>
              <w:right w:val="nil"/>
            </w:tcBorders>
            <w:shd w:val="clear" w:color="auto" w:fill="auto"/>
            <w:noWrap/>
            <w:vAlign w:val="bottom"/>
            <w:hideMark/>
          </w:tcPr>
          <w:p w14:paraId="1BE0C46D"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Scope 2 emissions</w:t>
            </w:r>
          </w:p>
        </w:tc>
        <w:tc>
          <w:tcPr>
            <w:tcW w:w="576" w:type="pct"/>
            <w:tcBorders>
              <w:top w:val="single" w:sz="4" w:space="0" w:color="auto"/>
              <w:left w:val="nil"/>
              <w:bottom w:val="single" w:sz="4" w:space="0" w:color="auto"/>
              <w:right w:val="nil"/>
            </w:tcBorders>
            <w:shd w:val="clear" w:color="auto" w:fill="auto"/>
            <w:noWrap/>
            <w:vAlign w:val="bottom"/>
            <w:hideMark/>
          </w:tcPr>
          <w:p w14:paraId="18DC4758"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Total emissions</w:t>
            </w:r>
          </w:p>
        </w:tc>
        <w:tc>
          <w:tcPr>
            <w:tcW w:w="386" w:type="pct"/>
            <w:tcBorders>
              <w:top w:val="single" w:sz="4" w:space="0" w:color="auto"/>
              <w:left w:val="single" w:sz="4" w:space="0" w:color="auto"/>
              <w:bottom w:val="single" w:sz="4" w:space="0" w:color="auto"/>
              <w:right w:val="nil"/>
            </w:tcBorders>
            <w:shd w:val="clear" w:color="auto" w:fill="auto"/>
            <w:vAlign w:val="bottom"/>
            <w:hideMark/>
          </w:tcPr>
          <w:p w14:paraId="55A9B8DC"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Nr. of SBTi companies</w:t>
            </w:r>
          </w:p>
        </w:tc>
        <w:tc>
          <w:tcPr>
            <w:tcW w:w="529" w:type="pct"/>
            <w:tcBorders>
              <w:top w:val="single" w:sz="4" w:space="0" w:color="auto"/>
              <w:left w:val="nil"/>
              <w:bottom w:val="single" w:sz="4" w:space="0" w:color="auto"/>
              <w:right w:val="single" w:sz="4" w:space="0" w:color="auto"/>
            </w:tcBorders>
            <w:shd w:val="clear" w:color="auto" w:fill="auto"/>
            <w:vAlign w:val="bottom"/>
            <w:hideMark/>
          </w:tcPr>
          <w:p w14:paraId="6B25AB1B"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Nr. of SBTi branches</w:t>
            </w:r>
          </w:p>
        </w:tc>
        <w:tc>
          <w:tcPr>
            <w:tcW w:w="384" w:type="pct"/>
            <w:tcBorders>
              <w:top w:val="single" w:sz="4" w:space="0" w:color="auto"/>
              <w:left w:val="nil"/>
              <w:bottom w:val="single" w:sz="4" w:space="0" w:color="auto"/>
              <w:right w:val="nil"/>
            </w:tcBorders>
            <w:shd w:val="clear" w:color="auto" w:fill="auto"/>
            <w:vAlign w:val="bottom"/>
            <w:hideMark/>
          </w:tcPr>
          <w:p w14:paraId="1F222D30"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Nr. of ETS accountholders</w:t>
            </w:r>
          </w:p>
        </w:tc>
        <w:tc>
          <w:tcPr>
            <w:tcW w:w="334" w:type="pct"/>
            <w:tcBorders>
              <w:top w:val="single" w:sz="4" w:space="0" w:color="auto"/>
              <w:left w:val="nil"/>
              <w:bottom w:val="single" w:sz="4" w:space="0" w:color="auto"/>
              <w:right w:val="single" w:sz="4" w:space="0" w:color="auto"/>
            </w:tcBorders>
            <w:shd w:val="clear" w:color="auto" w:fill="auto"/>
            <w:vAlign w:val="bottom"/>
            <w:hideMark/>
          </w:tcPr>
          <w:p w14:paraId="7D2C4002" w14:textId="77777777" w:rsidR="001E2A1F" w:rsidRPr="00DE71FA" w:rsidRDefault="001E2A1F" w:rsidP="006C0130">
            <w:pPr>
              <w:spacing w:after="0" w:line="240" w:lineRule="auto"/>
              <w:rPr>
                <w:rFonts w:ascii="Calibri" w:eastAsia="Times New Roman" w:hAnsi="Calibri" w:cs="Calibri"/>
                <w:b/>
                <w:bCs/>
                <w:color w:val="000000"/>
                <w:sz w:val="20"/>
                <w:szCs w:val="20"/>
                <w:lang w:eastAsia="en-GB"/>
              </w:rPr>
            </w:pPr>
            <w:r w:rsidRPr="00DE71FA">
              <w:rPr>
                <w:rFonts w:ascii="Calibri" w:eastAsia="Times New Roman" w:hAnsi="Calibri" w:cs="Calibri"/>
                <w:b/>
                <w:bCs/>
                <w:color w:val="000000"/>
                <w:sz w:val="20"/>
                <w:szCs w:val="20"/>
                <w:lang w:eastAsia="en-GB"/>
              </w:rPr>
              <w:t>Nr. of ETS installations</w:t>
            </w:r>
          </w:p>
        </w:tc>
      </w:tr>
      <w:tr w:rsidR="00E71926" w:rsidRPr="00DE71FA" w14:paraId="4922EC2C" w14:textId="77777777" w:rsidTr="00E71926">
        <w:trPr>
          <w:trHeight w:val="300"/>
        </w:trPr>
        <w:tc>
          <w:tcPr>
            <w:tcW w:w="960" w:type="pct"/>
            <w:tcBorders>
              <w:top w:val="nil"/>
              <w:left w:val="single" w:sz="4" w:space="0" w:color="auto"/>
              <w:bottom w:val="nil"/>
              <w:right w:val="nil"/>
            </w:tcBorders>
            <w:shd w:val="clear" w:color="000000" w:fill="D9D9D9"/>
            <w:noWrap/>
            <w:vAlign w:val="bottom"/>
            <w:hideMark/>
          </w:tcPr>
          <w:p w14:paraId="1A9080B1"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SBTi companies without ETS installations</w:t>
            </w:r>
          </w:p>
        </w:tc>
        <w:tc>
          <w:tcPr>
            <w:tcW w:w="674" w:type="pct"/>
            <w:tcBorders>
              <w:top w:val="nil"/>
              <w:left w:val="nil"/>
              <w:bottom w:val="nil"/>
              <w:right w:val="single" w:sz="4" w:space="0" w:color="auto"/>
            </w:tcBorders>
            <w:shd w:val="clear" w:color="000000" w:fill="D9D9D9"/>
            <w:noWrap/>
            <w:vAlign w:val="bottom"/>
            <w:hideMark/>
          </w:tcPr>
          <w:p w14:paraId="34A5C697"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EU ESR</w:t>
            </w:r>
          </w:p>
        </w:tc>
        <w:tc>
          <w:tcPr>
            <w:tcW w:w="578" w:type="pct"/>
            <w:tcBorders>
              <w:top w:val="nil"/>
              <w:left w:val="nil"/>
              <w:bottom w:val="nil"/>
              <w:right w:val="nil"/>
            </w:tcBorders>
            <w:shd w:val="clear" w:color="000000" w:fill="D9D9D9"/>
            <w:noWrap/>
            <w:vAlign w:val="bottom"/>
            <w:hideMark/>
          </w:tcPr>
          <w:p w14:paraId="56C062D9"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52 </w:t>
            </w:r>
          </w:p>
        </w:tc>
        <w:tc>
          <w:tcPr>
            <w:tcW w:w="578" w:type="pct"/>
            <w:tcBorders>
              <w:top w:val="nil"/>
              <w:left w:val="nil"/>
              <w:bottom w:val="nil"/>
              <w:right w:val="nil"/>
            </w:tcBorders>
            <w:shd w:val="clear" w:color="000000" w:fill="D9D9D9"/>
            <w:noWrap/>
            <w:vAlign w:val="bottom"/>
            <w:hideMark/>
          </w:tcPr>
          <w:p w14:paraId="2D9D106D"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76" w:type="pct"/>
            <w:tcBorders>
              <w:top w:val="nil"/>
              <w:left w:val="nil"/>
              <w:bottom w:val="nil"/>
              <w:right w:val="nil"/>
            </w:tcBorders>
            <w:shd w:val="clear" w:color="000000" w:fill="D9D9D9"/>
            <w:noWrap/>
            <w:vAlign w:val="bottom"/>
            <w:hideMark/>
          </w:tcPr>
          <w:p w14:paraId="7D8BE728"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52 </w:t>
            </w:r>
          </w:p>
        </w:tc>
        <w:tc>
          <w:tcPr>
            <w:tcW w:w="386" w:type="pct"/>
            <w:tcBorders>
              <w:top w:val="nil"/>
              <w:left w:val="single" w:sz="4" w:space="0" w:color="auto"/>
              <w:bottom w:val="nil"/>
              <w:right w:val="nil"/>
            </w:tcBorders>
            <w:shd w:val="clear" w:color="000000" w:fill="D9D9D9"/>
            <w:vAlign w:val="bottom"/>
            <w:hideMark/>
          </w:tcPr>
          <w:p w14:paraId="7B2FE742"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142 </w:t>
            </w:r>
          </w:p>
        </w:tc>
        <w:tc>
          <w:tcPr>
            <w:tcW w:w="529" w:type="pct"/>
            <w:tcBorders>
              <w:top w:val="nil"/>
              <w:left w:val="nil"/>
              <w:bottom w:val="nil"/>
              <w:right w:val="single" w:sz="4" w:space="0" w:color="auto"/>
            </w:tcBorders>
            <w:shd w:val="clear" w:color="000000" w:fill="D9D9D9"/>
            <w:vAlign w:val="bottom"/>
            <w:hideMark/>
          </w:tcPr>
          <w:p w14:paraId="77C7C762"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713 </w:t>
            </w:r>
          </w:p>
        </w:tc>
        <w:tc>
          <w:tcPr>
            <w:tcW w:w="384" w:type="pct"/>
            <w:tcBorders>
              <w:top w:val="nil"/>
              <w:left w:val="nil"/>
              <w:bottom w:val="nil"/>
              <w:right w:val="nil"/>
            </w:tcBorders>
            <w:shd w:val="clear" w:color="000000" w:fill="D9D9D9"/>
            <w:noWrap/>
            <w:vAlign w:val="bottom"/>
            <w:hideMark/>
          </w:tcPr>
          <w:p w14:paraId="4638F6E8"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34" w:type="pct"/>
            <w:tcBorders>
              <w:top w:val="nil"/>
              <w:left w:val="nil"/>
              <w:bottom w:val="nil"/>
              <w:right w:val="single" w:sz="4" w:space="0" w:color="auto"/>
            </w:tcBorders>
            <w:shd w:val="clear" w:color="000000" w:fill="D9D9D9"/>
            <w:noWrap/>
            <w:vAlign w:val="bottom"/>
            <w:hideMark/>
          </w:tcPr>
          <w:p w14:paraId="12650950"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r>
      <w:tr w:rsidR="00E71926" w:rsidRPr="00DE71FA" w14:paraId="56E988AB" w14:textId="77777777" w:rsidTr="00E71926">
        <w:trPr>
          <w:trHeight w:val="300"/>
        </w:trPr>
        <w:tc>
          <w:tcPr>
            <w:tcW w:w="960" w:type="pct"/>
            <w:tcBorders>
              <w:top w:val="nil"/>
              <w:left w:val="single" w:sz="4" w:space="0" w:color="auto"/>
              <w:bottom w:val="nil"/>
              <w:right w:val="nil"/>
            </w:tcBorders>
            <w:shd w:val="clear" w:color="000000" w:fill="D9D9D9"/>
            <w:noWrap/>
            <w:vAlign w:val="bottom"/>
            <w:hideMark/>
          </w:tcPr>
          <w:p w14:paraId="5BCB30F8"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roofErr w:type="spellStart"/>
            <w:r w:rsidRPr="00DE71FA">
              <w:rPr>
                <w:rFonts w:ascii="Calibri" w:eastAsia="Times New Roman" w:hAnsi="Calibri" w:cs="Calibri"/>
                <w:color w:val="000000"/>
                <w:lang w:eastAsia="en-GB"/>
              </w:rPr>
              <w:t>purhcased</w:t>
            </w:r>
            <w:proofErr w:type="spellEnd"/>
            <w:r w:rsidRPr="00DE71FA">
              <w:rPr>
                <w:rFonts w:ascii="Calibri" w:eastAsia="Times New Roman" w:hAnsi="Calibri" w:cs="Calibri"/>
                <w:color w:val="000000"/>
                <w:lang w:eastAsia="en-GB"/>
              </w:rPr>
              <w:t xml:space="preserve"> </w:t>
            </w:r>
            <w:proofErr w:type="spellStart"/>
            <w:r w:rsidRPr="00DE71FA">
              <w:rPr>
                <w:rFonts w:ascii="Calibri" w:eastAsia="Times New Roman" w:hAnsi="Calibri" w:cs="Calibri"/>
                <w:color w:val="000000"/>
                <w:lang w:eastAsia="en-GB"/>
              </w:rPr>
              <w:t>electricty</w:t>
            </w:r>
            <w:proofErr w:type="spellEnd"/>
            <w:r w:rsidRPr="00DE71FA">
              <w:rPr>
                <w:rFonts w:ascii="Calibri" w:eastAsia="Times New Roman" w:hAnsi="Calibri" w:cs="Calibri"/>
                <w:color w:val="000000"/>
                <w:lang w:eastAsia="en-GB"/>
              </w:rPr>
              <w:t xml:space="preserve"> by SBTi companies covered by ETS)</w:t>
            </w:r>
          </w:p>
        </w:tc>
        <w:tc>
          <w:tcPr>
            <w:tcW w:w="674" w:type="pct"/>
            <w:tcBorders>
              <w:top w:val="nil"/>
              <w:left w:val="nil"/>
              <w:bottom w:val="nil"/>
              <w:right w:val="single" w:sz="4" w:space="0" w:color="auto"/>
            </w:tcBorders>
            <w:shd w:val="clear" w:color="000000" w:fill="D9D9D9"/>
            <w:noWrap/>
            <w:vAlign w:val="bottom"/>
            <w:hideMark/>
          </w:tcPr>
          <w:p w14:paraId="1D2283E5"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EU ETS</w:t>
            </w:r>
          </w:p>
        </w:tc>
        <w:tc>
          <w:tcPr>
            <w:tcW w:w="578" w:type="pct"/>
            <w:tcBorders>
              <w:top w:val="nil"/>
              <w:left w:val="nil"/>
              <w:bottom w:val="nil"/>
              <w:right w:val="nil"/>
            </w:tcBorders>
            <w:shd w:val="clear" w:color="000000" w:fill="D9D9D9"/>
            <w:noWrap/>
            <w:vAlign w:val="bottom"/>
            <w:hideMark/>
          </w:tcPr>
          <w:p w14:paraId="502AADF3"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78" w:type="pct"/>
            <w:tcBorders>
              <w:top w:val="nil"/>
              <w:left w:val="nil"/>
              <w:bottom w:val="nil"/>
              <w:right w:val="nil"/>
            </w:tcBorders>
            <w:shd w:val="clear" w:color="000000" w:fill="D9D9D9"/>
            <w:noWrap/>
            <w:vAlign w:val="bottom"/>
            <w:hideMark/>
          </w:tcPr>
          <w:p w14:paraId="1060213E"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12 </w:t>
            </w:r>
          </w:p>
        </w:tc>
        <w:tc>
          <w:tcPr>
            <w:tcW w:w="576" w:type="pct"/>
            <w:tcBorders>
              <w:top w:val="nil"/>
              <w:left w:val="nil"/>
              <w:bottom w:val="nil"/>
              <w:right w:val="single" w:sz="4" w:space="0" w:color="auto"/>
            </w:tcBorders>
            <w:shd w:val="clear" w:color="000000" w:fill="D9D9D9"/>
            <w:noWrap/>
            <w:vAlign w:val="bottom"/>
            <w:hideMark/>
          </w:tcPr>
          <w:p w14:paraId="52E7F275"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12 </w:t>
            </w:r>
          </w:p>
        </w:tc>
        <w:tc>
          <w:tcPr>
            <w:tcW w:w="386" w:type="pct"/>
            <w:tcBorders>
              <w:top w:val="nil"/>
              <w:left w:val="nil"/>
              <w:bottom w:val="nil"/>
              <w:right w:val="nil"/>
            </w:tcBorders>
            <w:shd w:val="clear" w:color="000000" w:fill="D9D9D9"/>
            <w:noWrap/>
            <w:vAlign w:val="center"/>
            <w:hideMark/>
          </w:tcPr>
          <w:p w14:paraId="274D4F6B" w14:textId="77777777" w:rsidR="001E2A1F" w:rsidRPr="00DE71FA" w:rsidRDefault="001E2A1F" w:rsidP="006C0130">
            <w:pPr>
              <w:spacing w:after="0" w:line="240" w:lineRule="auto"/>
              <w:jc w:val="center"/>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29" w:type="pct"/>
            <w:tcBorders>
              <w:top w:val="nil"/>
              <w:left w:val="nil"/>
              <w:bottom w:val="nil"/>
              <w:right w:val="single" w:sz="4" w:space="0" w:color="auto"/>
            </w:tcBorders>
            <w:shd w:val="clear" w:color="000000" w:fill="D9D9D9"/>
            <w:noWrap/>
            <w:vAlign w:val="center"/>
            <w:hideMark/>
          </w:tcPr>
          <w:p w14:paraId="5BEC7856" w14:textId="77777777" w:rsidR="001E2A1F" w:rsidRPr="00DE71FA" w:rsidRDefault="001E2A1F" w:rsidP="006C0130">
            <w:pPr>
              <w:spacing w:after="0" w:line="240" w:lineRule="auto"/>
              <w:jc w:val="center"/>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84" w:type="pct"/>
            <w:tcBorders>
              <w:top w:val="nil"/>
              <w:left w:val="nil"/>
              <w:bottom w:val="nil"/>
              <w:right w:val="nil"/>
            </w:tcBorders>
            <w:shd w:val="clear" w:color="000000" w:fill="D9D9D9"/>
            <w:noWrap/>
            <w:vAlign w:val="bottom"/>
            <w:hideMark/>
          </w:tcPr>
          <w:p w14:paraId="19D16B7D"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34" w:type="pct"/>
            <w:tcBorders>
              <w:top w:val="nil"/>
              <w:left w:val="nil"/>
              <w:bottom w:val="nil"/>
              <w:right w:val="single" w:sz="4" w:space="0" w:color="auto"/>
            </w:tcBorders>
            <w:shd w:val="clear" w:color="000000" w:fill="D9D9D9"/>
            <w:noWrap/>
            <w:vAlign w:val="bottom"/>
            <w:hideMark/>
          </w:tcPr>
          <w:p w14:paraId="121551A3"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r>
      <w:tr w:rsidR="00E71926" w:rsidRPr="00DE71FA" w14:paraId="2035F765" w14:textId="77777777" w:rsidTr="00E71926">
        <w:trPr>
          <w:trHeight w:val="300"/>
        </w:trPr>
        <w:tc>
          <w:tcPr>
            <w:tcW w:w="960" w:type="pct"/>
            <w:tcBorders>
              <w:top w:val="nil"/>
              <w:left w:val="single" w:sz="4" w:space="0" w:color="auto"/>
              <w:bottom w:val="single" w:sz="4" w:space="0" w:color="auto"/>
              <w:right w:val="nil"/>
            </w:tcBorders>
            <w:shd w:val="clear" w:color="auto" w:fill="auto"/>
            <w:noWrap/>
            <w:vAlign w:val="bottom"/>
            <w:hideMark/>
          </w:tcPr>
          <w:p w14:paraId="582CF9A3"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SUB-TOTAL SBTi companies without ETS installations</w:t>
            </w:r>
          </w:p>
        </w:tc>
        <w:tc>
          <w:tcPr>
            <w:tcW w:w="674" w:type="pct"/>
            <w:tcBorders>
              <w:top w:val="nil"/>
              <w:left w:val="nil"/>
              <w:bottom w:val="single" w:sz="4" w:space="0" w:color="auto"/>
              <w:right w:val="single" w:sz="4" w:space="0" w:color="auto"/>
            </w:tcBorders>
            <w:shd w:val="clear" w:color="auto" w:fill="auto"/>
            <w:noWrap/>
            <w:vAlign w:val="bottom"/>
            <w:hideMark/>
          </w:tcPr>
          <w:p w14:paraId="5071C32C"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78" w:type="pct"/>
            <w:tcBorders>
              <w:top w:val="nil"/>
              <w:left w:val="nil"/>
              <w:bottom w:val="single" w:sz="4" w:space="0" w:color="auto"/>
              <w:right w:val="nil"/>
            </w:tcBorders>
            <w:shd w:val="clear" w:color="auto" w:fill="auto"/>
            <w:noWrap/>
            <w:vAlign w:val="bottom"/>
            <w:hideMark/>
          </w:tcPr>
          <w:p w14:paraId="37594A79"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52 </w:t>
            </w:r>
          </w:p>
        </w:tc>
        <w:tc>
          <w:tcPr>
            <w:tcW w:w="578" w:type="pct"/>
            <w:tcBorders>
              <w:top w:val="nil"/>
              <w:left w:val="nil"/>
              <w:bottom w:val="single" w:sz="4" w:space="0" w:color="auto"/>
              <w:right w:val="nil"/>
            </w:tcBorders>
            <w:shd w:val="clear" w:color="auto" w:fill="auto"/>
            <w:noWrap/>
            <w:vAlign w:val="bottom"/>
            <w:hideMark/>
          </w:tcPr>
          <w:p w14:paraId="778AD57A"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12 </w:t>
            </w:r>
          </w:p>
        </w:tc>
        <w:tc>
          <w:tcPr>
            <w:tcW w:w="576" w:type="pct"/>
            <w:tcBorders>
              <w:top w:val="nil"/>
              <w:left w:val="nil"/>
              <w:bottom w:val="single" w:sz="4" w:space="0" w:color="auto"/>
              <w:right w:val="single" w:sz="4" w:space="0" w:color="auto"/>
            </w:tcBorders>
            <w:shd w:val="clear" w:color="auto" w:fill="auto"/>
            <w:noWrap/>
            <w:vAlign w:val="bottom"/>
            <w:hideMark/>
          </w:tcPr>
          <w:p w14:paraId="242C9B23"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64 </w:t>
            </w:r>
          </w:p>
        </w:tc>
        <w:tc>
          <w:tcPr>
            <w:tcW w:w="386" w:type="pct"/>
            <w:tcBorders>
              <w:top w:val="nil"/>
              <w:left w:val="nil"/>
              <w:bottom w:val="single" w:sz="4" w:space="0" w:color="auto"/>
              <w:right w:val="nil"/>
            </w:tcBorders>
            <w:shd w:val="clear" w:color="auto" w:fill="auto"/>
            <w:noWrap/>
            <w:vAlign w:val="bottom"/>
            <w:hideMark/>
          </w:tcPr>
          <w:p w14:paraId="5E486441"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29" w:type="pct"/>
            <w:tcBorders>
              <w:top w:val="nil"/>
              <w:left w:val="nil"/>
              <w:bottom w:val="single" w:sz="4" w:space="0" w:color="auto"/>
              <w:right w:val="single" w:sz="4" w:space="0" w:color="auto"/>
            </w:tcBorders>
            <w:shd w:val="clear" w:color="auto" w:fill="auto"/>
            <w:noWrap/>
            <w:vAlign w:val="bottom"/>
            <w:hideMark/>
          </w:tcPr>
          <w:p w14:paraId="1A3B09F3"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84" w:type="pct"/>
            <w:tcBorders>
              <w:top w:val="nil"/>
              <w:left w:val="nil"/>
              <w:bottom w:val="single" w:sz="4" w:space="0" w:color="auto"/>
              <w:right w:val="nil"/>
            </w:tcBorders>
            <w:shd w:val="clear" w:color="auto" w:fill="auto"/>
            <w:noWrap/>
            <w:vAlign w:val="bottom"/>
            <w:hideMark/>
          </w:tcPr>
          <w:p w14:paraId="65F97E2D"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34" w:type="pct"/>
            <w:tcBorders>
              <w:top w:val="nil"/>
              <w:left w:val="nil"/>
              <w:bottom w:val="single" w:sz="4" w:space="0" w:color="auto"/>
              <w:right w:val="single" w:sz="4" w:space="0" w:color="auto"/>
            </w:tcBorders>
            <w:shd w:val="clear" w:color="auto" w:fill="auto"/>
            <w:noWrap/>
            <w:vAlign w:val="bottom"/>
            <w:hideMark/>
          </w:tcPr>
          <w:p w14:paraId="2F6A6874"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r>
      <w:tr w:rsidR="00E71926" w:rsidRPr="00DE71FA" w14:paraId="7000E7E7" w14:textId="77777777" w:rsidTr="00E71926">
        <w:trPr>
          <w:trHeight w:val="300"/>
        </w:trPr>
        <w:tc>
          <w:tcPr>
            <w:tcW w:w="960" w:type="pct"/>
            <w:tcBorders>
              <w:top w:val="single" w:sz="4" w:space="0" w:color="auto"/>
              <w:left w:val="single" w:sz="4" w:space="0" w:color="auto"/>
              <w:bottom w:val="nil"/>
              <w:right w:val="nil"/>
            </w:tcBorders>
            <w:shd w:val="clear" w:color="auto" w:fill="D9D9D9" w:themeFill="background1" w:themeFillShade="D9"/>
            <w:noWrap/>
            <w:vAlign w:val="bottom"/>
            <w:hideMark/>
          </w:tcPr>
          <w:p w14:paraId="51609B95"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SBTi companies with ETS installations</w:t>
            </w:r>
          </w:p>
        </w:tc>
        <w:tc>
          <w:tcPr>
            <w:tcW w:w="674" w:type="pct"/>
            <w:tcBorders>
              <w:top w:val="single" w:sz="4" w:space="0" w:color="auto"/>
              <w:left w:val="nil"/>
              <w:bottom w:val="nil"/>
              <w:right w:val="single" w:sz="4" w:space="0" w:color="auto"/>
            </w:tcBorders>
            <w:shd w:val="clear" w:color="auto" w:fill="D9D9D9" w:themeFill="background1" w:themeFillShade="D9"/>
            <w:noWrap/>
            <w:vAlign w:val="bottom"/>
            <w:hideMark/>
          </w:tcPr>
          <w:p w14:paraId="023D7E52"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EU ESR</w:t>
            </w:r>
          </w:p>
        </w:tc>
        <w:tc>
          <w:tcPr>
            <w:tcW w:w="578" w:type="pct"/>
            <w:tcBorders>
              <w:top w:val="single" w:sz="4" w:space="0" w:color="auto"/>
              <w:left w:val="nil"/>
              <w:bottom w:val="nil"/>
              <w:right w:val="nil"/>
            </w:tcBorders>
            <w:shd w:val="clear" w:color="auto" w:fill="D9D9D9" w:themeFill="background1" w:themeFillShade="D9"/>
            <w:noWrap/>
            <w:vAlign w:val="bottom"/>
            <w:hideMark/>
          </w:tcPr>
          <w:p w14:paraId="0C23C571"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94 </w:t>
            </w:r>
          </w:p>
        </w:tc>
        <w:tc>
          <w:tcPr>
            <w:tcW w:w="578" w:type="pct"/>
            <w:tcBorders>
              <w:top w:val="single" w:sz="4" w:space="0" w:color="auto"/>
              <w:left w:val="nil"/>
              <w:bottom w:val="nil"/>
              <w:right w:val="nil"/>
            </w:tcBorders>
            <w:shd w:val="clear" w:color="auto" w:fill="D9D9D9" w:themeFill="background1" w:themeFillShade="D9"/>
            <w:noWrap/>
            <w:vAlign w:val="bottom"/>
            <w:hideMark/>
          </w:tcPr>
          <w:p w14:paraId="535A35A0"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76" w:type="pct"/>
            <w:tcBorders>
              <w:top w:val="single" w:sz="4" w:space="0" w:color="auto"/>
              <w:left w:val="nil"/>
              <w:bottom w:val="nil"/>
              <w:right w:val="nil"/>
            </w:tcBorders>
            <w:shd w:val="clear" w:color="auto" w:fill="D9D9D9" w:themeFill="background1" w:themeFillShade="D9"/>
            <w:noWrap/>
            <w:vAlign w:val="bottom"/>
            <w:hideMark/>
          </w:tcPr>
          <w:p w14:paraId="46C82716"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94 </w:t>
            </w:r>
          </w:p>
        </w:tc>
        <w:tc>
          <w:tcPr>
            <w:tcW w:w="386" w:type="pct"/>
            <w:vMerge w:val="restart"/>
            <w:tcBorders>
              <w:top w:val="single" w:sz="4" w:space="0" w:color="auto"/>
              <w:left w:val="single" w:sz="4" w:space="0" w:color="auto"/>
              <w:bottom w:val="single" w:sz="4" w:space="0" w:color="000000"/>
              <w:right w:val="nil"/>
            </w:tcBorders>
            <w:shd w:val="clear" w:color="auto" w:fill="D9D9D9" w:themeFill="background1" w:themeFillShade="D9"/>
            <w:noWrap/>
            <w:vAlign w:val="center"/>
            <w:hideMark/>
          </w:tcPr>
          <w:p w14:paraId="07905E19" w14:textId="77777777" w:rsidR="001E2A1F" w:rsidRPr="00DE71FA" w:rsidRDefault="001E2A1F" w:rsidP="006C0130">
            <w:pPr>
              <w:spacing w:after="0" w:line="240" w:lineRule="auto"/>
              <w:jc w:val="center"/>
              <w:rPr>
                <w:rFonts w:ascii="Calibri" w:eastAsia="Times New Roman" w:hAnsi="Calibri" w:cs="Calibri"/>
                <w:lang w:eastAsia="en-GB"/>
              </w:rPr>
            </w:pPr>
            <w:r w:rsidRPr="00DE71FA">
              <w:rPr>
                <w:rFonts w:ascii="Calibri" w:eastAsia="Times New Roman" w:hAnsi="Calibri" w:cs="Calibri"/>
                <w:lang w:eastAsia="en-GB"/>
              </w:rPr>
              <w:t xml:space="preserve">                                        58 </w:t>
            </w:r>
          </w:p>
        </w:tc>
        <w:tc>
          <w:tcPr>
            <w:tcW w:w="529" w:type="pct"/>
            <w:vMerge w:val="restart"/>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14:paraId="48769629" w14:textId="77777777" w:rsidR="001E2A1F" w:rsidRPr="00DE71FA" w:rsidRDefault="001E2A1F" w:rsidP="006C0130">
            <w:pPr>
              <w:spacing w:after="0" w:line="240" w:lineRule="auto"/>
              <w:jc w:val="center"/>
              <w:rPr>
                <w:rFonts w:ascii="Calibri" w:eastAsia="Times New Roman" w:hAnsi="Calibri" w:cs="Calibri"/>
                <w:lang w:eastAsia="en-GB"/>
              </w:rPr>
            </w:pPr>
            <w:r w:rsidRPr="00DE71FA">
              <w:rPr>
                <w:rFonts w:ascii="Calibri" w:eastAsia="Times New Roman" w:hAnsi="Calibri" w:cs="Calibri"/>
                <w:lang w:eastAsia="en-GB"/>
              </w:rPr>
              <w:t xml:space="preserve">                               354 </w:t>
            </w:r>
          </w:p>
        </w:tc>
        <w:tc>
          <w:tcPr>
            <w:tcW w:w="384" w:type="pct"/>
            <w:tcBorders>
              <w:top w:val="single" w:sz="4" w:space="0" w:color="auto"/>
              <w:left w:val="nil"/>
              <w:bottom w:val="nil"/>
              <w:right w:val="nil"/>
            </w:tcBorders>
            <w:shd w:val="clear" w:color="auto" w:fill="D9D9D9" w:themeFill="background1" w:themeFillShade="D9"/>
            <w:noWrap/>
            <w:vAlign w:val="bottom"/>
            <w:hideMark/>
          </w:tcPr>
          <w:p w14:paraId="086B7BC3"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334" w:type="pct"/>
            <w:tcBorders>
              <w:top w:val="single" w:sz="4" w:space="0" w:color="auto"/>
              <w:left w:val="nil"/>
              <w:bottom w:val="nil"/>
              <w:right w:val="single" w:sz="4" w:space="0" w:color="auto"/>
            </w:tcBorders>
            <w:shd w:val="clear" w:color="auto" w:fill="D9D9D9" w:themeFill="background1" w:themeFillShade="D9"/>
            <w:noWrap/>
            <w:vAlign w:val="bottom"/>
            <w:hideMark/>
          </w:tcPr>
          <w:p w14:paraId="1E77ABA7"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r>
      <w:tr w:rsidR="00E71926" w:rsidRPr="00DE71FA" w14:paraId="4D7D8E01" w14:textId="77777777" w:rsidTr="00E71926">
        <w:trPr>
          <w:trHeight w:val="300"/>
        </w:trPr>
        <w:tc>
          <w:tcPr>
            <w:tcW w:w="960" w:type="pct"/>
            <w:tcBorders>
              <w:top w:val="nil"/>
              <w:left w:val="single" w:sz="4" w:space="0" w:color="auto"/>
              <w:bottom w:val="single" w:sz="4" w:space="0" w:color="auto"/>
              <w:right w:val="nil"/>
            </w:tcBorders>
            <w:shd w:val="clear" w:color="auto" w:fill="D9D9D9" w:themeFill="background1" w:themeFillShade="D9"/>
            <w:noWrap/>
            <w:vAlign w:val="bottom"/>
            <w:hideMark/>
          </w:tcPr>
          <w:p w14:paraId="6DCD78A2"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674" w:type="pct"/>
            <w:tcBorders>
              <w:top w:val="nil"/>
              <w:left w:val="nil"/>
              <w:bottom w:val="single" w:sz="4" w:space="0" w:color="auto"/>
              <w:right w:val="single" w:sz="4" w:space="0" w:color="auto"/>
            </w:tcBorders>
            <w:shd w:val="clear" w:color="auto" w:fill="D9D9D9" w:themeFill="background1" w:themeFillShade="D9"/>
            <w:noWrap/>
            <w:vAlign w:val="bottom"/>
            <w:hideMark/>
          </w:tcPr>
          <w:p w14:paraId="7E99D875"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EU ETS</w:t>
            </w:r>
          </w:p>
        </w:tc>
        <w:tc>
          <w:tcPr>
            <w:tcW w:w="578" w:type="pct"/>
            <w:tcBorders>
              <w:top w:val="nil"/>
              <w:left w:val="nil"/>
              <w:bottom w:val="single" w:sz="4" w:space="0" w:color="auto"/>
              <w:right w:val="nil"/>
            </w:tcBorders>
            <w:shd w:val="clear" w:color="auto" w:fill="D9D9D9" w:themeFill="background1" w:themeFillShade="D9"/>
            <w:noWrap/>
            <w:vAlign w:val="bottom"/>
            <w:hideMark/>
          </w:tcPr>
          <w:p w14:paraId="6F11F936"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72 </w:t>
            </w:r>
          </w:p>
        </w:tc>
        <w:tc>
          <w:tcPr>
            <w:tcW w:w="578" w:type="pct"/>
            <w:tcBorders>
              <w:top w:val="nil"/>
              <w:left w:val="nil"/>
              <w:bottom w:val="single" w:sz="4" w:space="0" w:color="auto"/>
              <w:right w:val="nil"/>
            </w:tcBorders>
            <w:shd w:val="clear" w:color="auto" w:fill="D9D9D9" w:themeFill="background1" w:themeFillShade="D9"/>
            <w:noWrap/>
            <w:vAlign w:val="bottom"/>
            <w:hideMark/>
          </w:tcPr>
          <w:p w14:paraId="1F927E70"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14 </w:t>
            </w:r>
          </w:p>
        </w:tc>
        <w:tc>
          <w:tcPr>
            <w:tcW w:w="576" w:type="pct"/>
            <w:tcBorders>
              <w:top w:val="nil"/>
              <w:left w:val="nil"/>
              <w:bottom w:val="single" w:sz="4" w:space="0" w:color="auto"/>
              <w:right w:val="nil"/>
            </w:tcBorders>
            <w:shd w:val="clear" w:color="auto" w:fill="D9D9D9" w:themeFill="background1" w:themeFillShade="D9"/>
            <w:noWrap/>
            <w:vAlign w:val="bottom"/>
            <w:hideMark/>
          </w:tcPr>
          <w:p w14:paraId="52093EDE"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85 </w:t>
            </w:r>
          </w:p>
        </w:tc>
        <w:tc>
          <w:tcPr>
            <w:tcW w:w="386" w:type="pct"/>
            <w:vMerge/>
            <w:tcBorders>
              <w:top w:val="nil"/>
              <w:left w:val="single" w:sz="4" w:space="0" w:color="auto"/>
              <w:bottom w:val="single" w:sz="4" w:space="0" w:color="000000"/>
              <w:right w:val="nil"/>
            </w:tcBorders>
            <w:shd w:val="clear" w:color="auto" w:fill="D9D9D9" w:themeFill="background1" w:themeFillShade="D9"/>
            <w:vAlign w:val="center"/>
            <w:hideMark/>
          </w:tcPr>
          <w:p w14:paraId="47BD9C9F" w14:textId="77777777" w:rsidR="001E2A1F" w:rsidRPr="00DE71FA" w:rsidRDefault="001E2A1F" w:rsidP="006C0130">
            <w:pPr>
              <w:spacing w:after="0" w:line="240" w:lineRule="auto"/>
              <w:rPr>
                <w:rFonts w:ascii="Calibri" w:eastAsia="Times New Roman" w:hAnsi="Calibri" w:cs="Calibri"/>
                <w:lang w:eastAsia="en-GB"/>
              </w:rPr>
            </w:pPr>
          </w:p>
        </w:tc>
        <w:tc>
          <w:tcPr>
            <w:tcW w:w="529" w:type="pct"/>
            <w:vMerge/>
            <w:tcBorders>
              <w:top w:val="nil"/>
              <w:left w:val="nil"/>
              <w:bottom w:val="single" w:sz="4" w:space="0" w:color="000000"/>
              <w:right w:val="single" w:sz="4" w:space="0" w:color="auto"/>
            </w:tcBorders>
            <w:shd w:val="clear" w:color="auto" w:fill="D9D9D9" w:themeFill="background1" w:themeFillShade="D9"/>
            <w:vAlign w:val="center"/>
            <w:hideMark/>
          </w:tcPr>
          <w:p w14:paraId="502E4EA9" w14:textId="77777777" w:rsidR="001E2A1F" w:rsidRPr="00DE71FA" w:rsidRDefault="001E2A1F" w:rsidP="006C0130">
            <w:pPr>
              <w:spacing w:after="0" w:line="240" w:lineRule="auto"/>
              <w:rPr>
                <w:rFonts w:ascii="Calibri" w:eastAsia="Times New Roman" w:hAnsi="Calibri" w:cs="Calibri"/>
                <w:lang w:eastAsia="en-GB"/>
              </w:rPr>
            </w:pPr>
          </w:p>
        </w:tc>
        <w:tc>
          <w:tcPr>
            <w:tcW w:w="384" w:type="pct"/>
            <w:tcBorders>
              <w:top w:val="nil"/>
              <w:left w:val="nil"/>
              <w:bottom w:val="single" w:sz="4" w:space="0" w:color="auto"/>
              <w:right w:val="nil"/>
            </w:tcBorders>
            <w:shd w:val="clear" w:color="auto" w:fill="D9D9D9" w:themeFill="background1" w:themeFillShade="D9"/>
            <w:noWrap/>
            <w:vAlign w:val="bottom"/>
            <w:hideMark/>
          </w:tcPr>
          <w:p w14:paraId="1B8C8D80"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210</w:t>
            </w:r>
          </w:p>
        </w:tc>
        <w:tc>
          <w:tcPr>
            <w:tcW w:w="334" w:type="pct"/>
            <w:tcBorders>
              <w:top w:val="nil"/>
              <w:left w:val="nil"/>
              <w:bottom w:val="single" w:sz="4" w:space="0" w:color="auto"/>
              <w:right w:val="single" w:sz="4" w:space="0" w:color="auto"/>
            </w:tcBorders>
            <w:shd w:val="clear" w:color="auto" w:fill="D9D9D9" w:themeFill="background1" w:themeFillShade="D9"/>
            <w:noWrap/>
            <w:vAlign w:val="bottom"/>
            <w:hideMark/>
          </w:tcPr>
          <w:p w14:paraId="7A1D34BF"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443</w:t>
            </w:r>
          </w:p>
        </w:tc>
      </w:tr>
      <w:tr w:rsidR="00E71926" w:rsidRPr="00DE71FA" w14:paraId="72E025FA" w14:textId="77777777" w:rsidTr="00E71926">
        <w:trPr>
          <w:trHeight w:val="300"/>
        </w:trPr>
        <w:tc>
          <w:tcPr>
            <w:tcW w:w="960" w:type="pct"/>
            <w:tcBorders>
              <w:top w:val="nil"/>
              <w:left w:val="single" w:sz="4" w:space="0" w:color="auto"/>
              <w:bottom w:val="single" w:sz="4" w:space="0" w:color="auto"/>
              <w:right w:val="nil"/>
            </w:tcBorders>
            <w:shd w:val="clear" w:color="auto" w:fill="auto"/>
            <w:noWrap/>
            <w:vAlign w:val="bottom"/>
            <w:hideMark/>
          </w:tcPr>
          <w:p w14:paraId="64BD97B3"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SUB-TOTAL SBTi companies with ETS installations</w:t>
            </w:r>
          </w:p>
        </w:tc>
        <w:tc>
          <w:tcPr>
            <w:tcW w:w="674" w:type="pct"/>
            <w:tcBorders>
              <w:top w:val="nil"/>
              <w:left w:val="nil"/>
              <w:bottom w:val="single" w:sz="4" w:space="0" w:color="auto"/>
              <w:right w:val="single" w:sz="4" w:space="0" w:color="auto"/>
            </w:tcBorders>
            <w:shd w:val="clear" w:color="auto" w:fill="auto"/>
            <w:noWrap/>
            <w:vAlign w:val="bottom"/>
            <w:hideMark/>
          </w:tcPr>
          <w:p w14:paraId="587197FA"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78" w:type="pct"/>
            <w:tcBorders>
              <w:top w:val="nil"/>
              <w:left w:val="nil"/>
              <w:bottom w:val="single" w:sz="4" w:space="0" w:color="auto"/>
              <w:right w:val="nil"/>
            </w:tcBorders>
            <w:shd w:val="clear" w:color="auto" w:fill="auto"/>
            <w:noWrap/>
            <w:vAlign w:val="bottom"/>
            <w:hideMark/>
          </w:tcPr>
          <w:p w14:paraId="18E02585"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165 </w:t>
            </w:r>
          </w:p>
        </w:tc>
        <w:tc>
          <w:tcPr>
            <w:tcW w:w="578" w:type="pct"/>
            <w:tcBorders>
              <w:top w:val="nil"/>
              <w:left w:val="nil"/>
              <w:bottom w:val="single" w:sz="4" w:space="0" w:color="auto"/>
              <w:right w:val="nil"/>
            </w:tcBorders>
            <w:shd w:val="clear" w:color="auto" w:fill="auto"/>
            <w:noWrap/>
            <w:vAlign w:val="bottom"/>
            <w:hideMark/>
          </w:tcPr>
          <w:p w14:paraId="6A0C0EAB"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14 </w:t>
            </w:r>
          </w:p>
        </w:tc>
        <w:tc>
          <w:tcPr>
            <w:tcW w:w="576" w:type="pct"/>
            <w:tcBorders>
              <w:top w:val="nil"/>
              <w:left w:val="nil"/>
              <w:bottom w:val="single" w:sz="4" w:space="0" w:color="auto"/>
              <w:right w:val="single" w:sz="4" w:space="0" w:color="auto"/>
            </w:tcBorders>
            <w:shd w:val="clear" w:color="auto" w:fill="auto"/>
            <w:noWrap/>
            <w:vAlign w:val="bottom"/>
            <w:hideMark/>
          </w:tcPr>
          <w:p w14:paraId="6B9BAE87"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179 </w:t>
            </w:r>
          </w:p>
        </w:tc>
        <w:tc>
          <w:tcPr>
            <w:tcW w:w="386" w:type="pct"/>
            <w:tcBorders>
              <w:top w:val="nil"/>
              <w:left w:val="nil"/>
              <w:bottom w:val="single" w:sz="4" w:space="0" w:color="auto"/>
              <w:right w:val="nil"/>
            </w:tcBorders>
            <w:shd w:val="clear" w:color="auto" w:fill="auto"/>
            <w:noWrap/>
            <w:vAlign w:val="bottom"/>
            <w:hideMark/>
          </w:tcPr>
          <w:p w14:paraId="4E836D46"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29" w:type="pct"/>
            <w:tcBorders>
              <w:top w:val="nil"/>
              <w:left w:val="nil"/>
              <w:bottom w:val="single" w:sz="4" w:space="0" w:color="auto"/>
              <w:right w:val="single" w:sz="4" w:space="0" w:color="auto"/>
            </w:tcBorders>
            <w:shd w:val="clear" w:color="auto" w:fill="auto"/>
            <w:noWrap/>
            <w:vAlign w:val="bottom"/>
            <w:hideMark/>
          </w:tcPr>
          <w:p w14:paraId="2303F691"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84" w:type="pct"/>
            <w:tcBorders>
              <w:top w:val="nil"/>
              <w:left w:val="nil"/>
              <w:bottom w:val="single" w:sz="4" w:space="0" w:color="auto"/>
              <w:right w:val="nil"/>
            </w:tcBorders>
            <w:shd w:val="clear" w:color="auto" w:fill="auto"/>
            <w:noWrap/>
            <w:vAlign w:val="bottom"/>
            <w:hideMark/>
          </w:tcPr>
          <w:p w14:paraId="6A16CDDF"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34" w:type="pct"/>
            <w:tcBorders>
              <w:top w:val="nil"/>
              <w:left w:val="nil"/>
              <w:bottom w:val="single" w:sz="4" w:space="0" w:color="auto"/>
              <w:right w:val="single" w:sz="4" w:space="0" w:color="auto"/>
            </w:tcBorders>
            <w:shd w:val="clear" w:color="auto" w:fill="auto"/>
            <w:noWrap/>
            <w:vAlign w:val="bottom"/>
            <w:hideMark/>
          </w:tcPr>
          <w:p w14:paraId="07E4E2DE"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r>
      <w:tr w:rsidR="00E71926" w:rsidRPr="00DE71FA" w14:paraId="43A9654B" w14:textId="77777777" w:rsidTr="00E71926">
        <w:trPr>
          <w:trHeight w:val="300"/>
        </w:trPr>
        <w:tc>
          <w:tcPr>
            <w:tcW w:w="960"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1C1DE507"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Total SBTi EU branches</w:t>
            </w:r>
          </w:p>
        </w:tc>
        <w:tc>
          <w:tcPr>
            <w:tcW w:w="67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1E8051A"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578" w:type="pct"/>
            <w:tcBorders>
              <w:top w:val="single" w:sz="4" w:space="0" w:color="auto"/>
              <w:left w:val="nil"/>
              <w:bottom w:val="single" w:sz="4" w:space="0" w:color="auto"/>
              <w:right w:val="nil"/>
            </w:tcBorders>
            <w:shd w:val="clear" w:color="auto" w:fill="BFBFBF" w:themeFill="background1" w:themeFillShade="BF"/>
            <w:noWrap/>
            <w:vAlign w:val="bottom"/>
            <w:hideMark/>
          </w:tcPr>
          <w:p w14:paraId="7D187BD3"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217 </w:t>
            </w:r>
          </w:p>
        </w:tc>
        <w:tc>
          <w:tcPr>
            <w:tcW w:w="578" w:type="pct"/>
            <w:tcBorders>
              <w:top w:val="single" w:sz="4" w:space="0" w:color="auto"/>
              <w:left w:val="nil"/>
              <w:bottom w:val="single" w:sz="4" w:space="0" w:color="auto"/>
              <w:right w:val="nil"/>
            </w:tcBorders>
            <w:shd w:val="clear" w:color="auto" w:fill="BFBFBF" w:themeFill="background1" w:themeFillShade="BF"/>
            <w:noWrap/>
            <w:vAlign w:val="bottom"/>
            <w:hideMark/>
          </w:tcPr>
          <w:p w14:paraId="2F535580"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25 </w:t>
            </w:r>
          </w:p>
        </w:tc>
        <w:tc>
          <w:tcPr>
            <w:tcW w:w="576" w:type="pct"/>
            <w:tcBorders>
              <w:top w:val="single" w:sz="4" w:space="0" w:color="auto"/>
              <w:left w:val="nil"/>
              <w:bottom w:val="single" w:sz="4" w:space="0" w:color="auto"/>
              <w:right w:val="nil"/>
            </w:tcBorders>
            <w:shd w:val="clear" w:color="auto" w:fill="BFBFBF" w:themeFill="background1" w:themeFillShade="BF"/>
            <w:noWrap/>
            <w:vAlign w:val="bottom"/>
            <w:hideMark/>
          </w:tcPr>
          <w:p w14:paraId="2B03CF1E"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xml:space="preserve">                                                 243 </w:t>
            </w:r>
          </w:p>
        </w:tc>
        <w:tc>
          <w:tcPr>
            <w:tcW w:w="386"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4C2D6D8A"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200 </w:t>
            </w:r>
          </w:p>
        </w:tc>
        <w:tc>
          <w:tcPr>
            <w:tcW w:w="529"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5D03774"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xml:space="preserve">                           1,067 </w:t>
            </w:r>
          </w:p>
        </w:tc>
        <w:tc>
          <w:tcPr>
            <w:tcW w:w="384" w:type="pct"/>
            <w:tcBorders>
              <w:top w:val="single" w:sz="4" w:space="0" w:color="auto"/>
              <w:left w:val="nil"/>
              <w:bottom w:val="single" w:sz="4" w:space="0" w:color="auto"/>
              <w:right w:val="nil"/>
            </w:tcBorders>
            <w:shd w:val="clear" w:color="auto" w:fill="BFBFBF" w:themeFill="background1" w:themeFillShade="BF"/>
            <w:noWrap/>
            <w:vAlign w:val="bottom"/>
            <w:hideMark/>
          </w:tcPr>
          <w:p w14:paraId="1FEC1B55"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34" w:type="pct"/>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FE15C94"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r>
      <w:tr w:rsidR="00E71926" w:rsidRPr="00DE71FA" w14:paraId="27986E3D" w14:textId="77777777" w:rsidTr="00E71926">
        <w:trPr>
          <w:trHeight w:val="300"/>
        </w:trPr>
        <w:tc>
          <w:tcPr>
            <w:tcW w:w="960" w:type="pct"/>
            <w:tcBorders>
              <w:top w:val="single" w:sz="4" w:space="0" w:color="auto"/>
              <w:left w:val="single" w:sz="4" w:space="0" w:color="auto"/>
              <w:bottom w:val="single" w:sz="4" w:space="0" w:color="auto"/>
              <w:right w:val="nil"/>
            </w:tcBorders>
            <w:shd w:val="clear" w:color="auto" w:fill="auto"/>
            <w:noWrap/>
            <w:vAlign w:val="bottom"/>
            <w:hideMark/>
          </w:tcPr>
          <w:p w14:paraId="549FCBAE"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Coverage companies with ETS installations in SBTi</w:t>
            </w:r>
          </w:p>
        </w:tc>
        <w:tc>
          <w:tcPr>
            <w:tcW w:w="674" w:type="pct"/>
            <w:tcBorders>
              <w:top w:val="single" w:sz="4" w:space="0" w:color="auto"/>
              <w:left w:val="nil"/>
              <w:bottom w:val="single" w:sz="4" w:space="0" w:color="auto"/>
              <w:right w:val="single" w:sz="4" w:space="0" w:color="auto"/>
            </w:tcBorders>
            <w:shd w:val="clear" w:color="auto" w:fill="auto"/>
            <w:noWrap/>
            <w:vAlign w:val="bottom"/>
            <w:hideMark/>
          </w:tcPr>
          <w:p w14:paraId="1155BF76"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578" w:type="pct"/>
            <w:tcBorders>
              <w:top w:val="single" w:sz="4" w:space="0" w:color="auto"/>
              <w:left w:val="nil"/>
              <w:bottom w:val="single" w:sz="4" w:space="0" w:color="auto"/>
              <w:right w:val="nil"/>
            </w:tcBorders>
            <w:shd w:val="clear" w:color="auto" w:fill="auto"/>
            <w:noWrap/>
            <w:vAlign w:val="bottom"/>
            <w:hideMark/>
          </w:tcPr>
          <w:p w14:paraId="219EBEE7"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76%</w:t>
            </w:r>
          </w:p>
        </w:tc>
        <w:tc>
          <w:tcPr>
            <w:tcW w:w="578" w:type="pct"/>
            <w:tcBorders>
              <w:top w:val="single" w:sz="4" w:space="0" w:color="auto"/>
              <w:left w:val="nil"/>
              <w:bottom w:val="single" w:sz="4" w:space="0" w:color="auto"/>
              <w:right w:val="nil"/>
            </w:tcBorders>
            <w:shd w:val="clear" w:color="auto" w:fill="auto"/>
            <w:noWrap/>
            <w:vAlign w:val="bottom"/>
            <w:hideMark/>
          </w:tcPr>
          <w:p w14:paraId="620E5DC3"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54%</w:t>
            </w:r>
          </w:p>
        </w:tc>
        <w:tc>
          <w:tcPr>
            <w:tcW w:w="576" w:type="pct"/>
            <w:tcBorders>
              <w:top w:val="single" w:sz="4" w:space="0" w:color="auto"/>
              <w:left w:val="nil"/>
              <w:bottom w:val="single" w:sz="4" w:space="0" w:color="auto"/>
              <w:right w:val="single" w:sz="4" w:space="0" w:color="auto"/>
            </w:tcBorders>
            <w:shd w:val="clear" w:color="auto" w:fill="auto"/>
            <w:noWrap/>
            <w:vAlign w:val="bottom"/>
            <w:hideMark/>
          </w:tcPr>
          <w:p w14:paraId="5C2FE45F"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74%</w:t>
            </w:r>
          </w:p>
        </w:tc>
        <w:tc>
          <w:tcPr>
            <w:tcW w:w="386" w:type="pct"/>
            <w:tcBorders>
              <w:top w:val="single" w:sz="4" w:space="0" w:color="auto"/>
              <w:left w:val="nil"/>
              <w:bottom w:val="single" w:sz="4" w:space="0" w:color="auto"/>
              <w:right w:val="nil"/>
            </w:tcBorders>
            <w:shd w:val="clear" w:color="auto" w:fill="auto"/>
            <w:noWrap/>
            <w:vAlign w:val="bottom"/>
            <w:hideMark/>
          </w:tcPr>
          <w:p w14:paraId="3458E4E2"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14:paraId="515179CF"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384" w:type="pct"/>
            <w:tcBorders>
              <w:top w:val="single" w:sz="4" w:space="0" w:color="auto"/>
              <w:left w:val="nil"/>
              <w:bottom w:val="single" w:sz="4" w:space="0" w:color="auto"/>
              <w:right w:val="nil"/>
            </w:tcBorders>
            <w:shd w:val="clear" w:color="auto" w:fill="auto"/>
            <w:noWrap/>
            <w:vAlign w:val="bottom"/>
            <w:hideMark/>
          </w:tcPr>
          <w:p w14:paraId="3DBACD85"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14:paraId="426B408E"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r>
      <w:tr w:rsidR="00E71926" w:rsidRPr="00DE71FA" w14:paraId="31A7EB56" w14:textId="77777777" w:rsidTr="00E71926">
        <w:trPr>
          <w:trHeight w:val="300"/>
        </w:trPr>
        <w:tc>
          <w:tcPr>
            <w:tcW w:w="960" w:type="pct"/>
            <w:tcBorders>
              <w:top w:val="nil"/>
              <w:left w:val="single" w:sz="4" w:space="0" w:color="auto"/>
              <w:bottom w:val="nil"/>
              <w:right w:val="nil"/>
            </w:tcBorders>
            <w:shd w:val="clear" w:color="auto" w:fill="auto"/>
            <w:noWrap/>
            <w:vAlign w:val="bottom"/>
            <w:hideMark/>
          </w:tcPr>
          <w:p w14:paraId="1DC9EE28"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Coverage of ESR in SBTi</w:t>
            </w:r>
          </w:p>
        </w:tc>
        <w:tc>
          <w:tcPr>
            <w:tcW w:w="674" w:type="pct"/>
            <w:tcBorders>
              <w:top w:val="nil"/>
              <w:left w:val="nil"/>
              <w:bottom w:val="nil"/>
              <w:right w:val="single" w:sz="4" w:space="0" w:color="auto"/>
            </w:tcBorders>
            <w:shd w:val="clear" w:color="auto" w:fill="auto"/>
            <w:noWrap/>
            <w:vAlign w:val="bottom"/>
            <w:hideMark/>
          </w:tcPr>
          <w:p w14:paraId="66C23FC2"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578" w:type="pct"/>
            <w:tcBorders>
              <w:top w:val="nil"/>
              <w:left w:val="nil"/>
              <w:bottom w:val="nil"/>
              <w:right w:val="nil"/>
            </w:tcBorders>
            <w:shd w:val="clear" w:color="auto" w:fill="auto"/>
            <w:noWrap/>
            <w:vAlign w:val="bottom"/>
            <w:hideMark/>
          </w:tcPr>
          <w:p w14:paraId="4514DD67"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67%</w:t>
            </w:r>
          </w:p>
        </w:tc>
        <w:tc>
          <w:tcPr>
            <w:tcW w:w="578" w:type="pct"/>
            <w:tcBorders>
              <w:top w:val="nil"/>
              <w:left w:val="nil"/>
              <w:bottom w:val="nil"/>
              <w:right w:val="nil"/>
            </w:tcBorders>
            <w:shd w:val="clear" w:color="auto" w:fill="auto"/>
            <w:noWrap/>
            <w:vAlign w:val="bottom"/>
            <w:hideMark/>
          </w:tcPr>
          <w:p w14:paraId="4C7E8FC9"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0%</w:t>
            </w:r>
          </w:p>
        </w:tc>
        <w:tc>
          <w:tcPr>
            <w:tcW w:w="576" w:type="pct"/>
            <w:tcBorders>
              <w:top w:val="nil"/>
              <w:left w:val="nil"/>
              <w:bottom w:val="nil"/>
              <w:right w:val="nil"/>
            </w:tcBorders>
            <w:shd w:val="clear" w:color="auto" w:fill="auto"/>
            <w:noWrap/>
            <w:vAlign w:val="bottom"/>
            <w:hideMark/>
          </w:tcPr>
          <w:p w14:paraId="2E5EE3EB"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60%</w:t>
            </w:r>
          </w:p>
        </w:tc>
        <w:tc>
          <w:tcPr>
            <w:tcW w:w="386" w:type="pct"/>
            <w:tcBorders>
              <w:top w:val="nil"/>
              <w:left w:val="single" w:sz="4" w:space="0" w:color="auto"/>
              <w:bottom w:val="nil"/>
              <w:right w:val="nil"/>
            </w:tcBorders>
            <w:shd w:val="clear" w:color="auto" w:fill="auto"/>
            <w:noWrap/>
            <w:vAlign w:val="bottom"/>
            <w:hideMark/>
          </w:tcPr>
          <w:p w14:paraId="095A764E"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529" w:type="pct"/>
            <w:tcBorders>
              <w:top w:val="nil"/>
              <w:left w:val="nil"/>
              <w:bottom w:val="nil"/>
              <w:right w:val="single" w:sz="4" w:space="0" w:color="auto"/>
            </w:tcBorders>
            <w:shd w:val="clear" w:color="auto" w:fill="auto"/>
            <w:noWrap/>
            <w:vAlign w:val="bottom"/>
            <w:hideMark/>
          </w:tcPr>
          <w:p w14:paraId="6E795032"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384" w:type="pct"/>
            <w:tcBorders>
              <w:top w:val="nil"/>
              <w:left w:val="nil"/>
              <w:bottom w:val="nil"/>
              <w:right w:val="nil"/>
            </w:tcBorders>
            <w:shd w:val="clear" w:color="auto" w:fill="auto"/>
            <w:noWrap/>
            <w:vAlign w:val="bottom"/>
            <w:hideMark/>
          </w:tcPr>
          <w:p w14:paraId="3F068167" w14:textId="77777777" w:rsidR="001E2A1F" w:rsidRPr="00DE71FA" w:rsidRDefault="001E2A1F" w:rsidP="006C0130">
            <w:pPr>
              <w:spacing w:after="0" w:line="240" w:lineRule="auto"/>
              <w:rPr>
                <w:rFonts w:ascii="Calibri" w:eastAsia="Times New Roman" w:hAnsi="Calibri" w:cs="Calibri"/>
                <w:color w:val="000000"/>
                <w:lang w:eastAsia="en-GB"/>
              </w:rPr>
            </w:pPr>
          </w:p>
        </w:tc>
        <w:tc>
          <w:tcPr>
            <w:tcW w:w="334" w:type="pct"/>
            <w:tcBorders>
              <w:top w:val="nil"/>
              <w:left w:val="nil"/>
              <w:bottom w:val="nil"/>
              <w:right w:val="single" w:sz="4" w:space="0" w:color="auto"/>
            </w:tcBorders>
            <w:shd w:val="clear" w:color="auto" w:fill="auto"/>
            <w:noWrap/>
            <w:vAlign w:val="bottom"/>
            <w:hideMark/>
          </w:tcPr>
          <w:p w14:paraId="779F3457"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r>
      <w:tr w:rsidR="00E71926" w:rsidRPr="00DE71FA" w14:paraId="0DE148DC" w14:textId="77777777" w:rsidTr="00E71926">
        <w:trPr>
          <w:trHeight w:val="300"/>
        </w:trPr>
        <w:tc>
          <w:tcPr>
            <w:tcW w:w="960" w:type="pct"/>
            <w:tcBorders>
              <w:top w:val="nil"/>
              <w:left w:val="single" w:sz="4" w:space="0" w:color="auto"/>
              <w:bottom w:val="single" w:sz="4" w:space="0" w:color="auto"/>
              <w:right w:val="nil"/>
            </w:tcBorders>
            <w:shd w:val="clear" w:color="auto" w:fill="auto"/>
            <w:noWrap/>
            <w:vAlign w:val="bottom"/>
            <w:hideMark/>
          </w:tcPr>
          <w:p w14:paraId="11FC144B"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Coverage of ETS in SBTi</w:t>
            </w:r>
          </w:p>
        </w:tc>
        <w:tc>
          <w:tcPr>
            <w:tcW w:w="674" w:type="pct"/>
            <w:tcBorders>
              <w:top w:val="nil"/>
              <w:left w:val="nil"/>
              <w:bottom w:val="single" w:sz="4" w:space="0" w:color="auto"/>
              <w:right w:val="single" w:sz="4" w:space="0" w:color="auto"/>
            </w:tcBorders>
            <w:shd w:val="clear" w:color="auto" w:fill="auto"/>
            <w:noWrap/>
            <w:vAlign w:val="bottom"/>
            <w:hideMark/>
          </w:tcPr>
          <w:p w14:paraId="0EA330C1"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578" w:type="pct"/>
            <w:tcBorders>
              <w:top w:val="nil"/>
              <w:left w:val="nil"/>
              <w:bottom w:val="single" w:sz="4" w:space="0" w:color="auto"/>
              <w:right w:val="nil"/>
            </w:tcBorders>
            <w:shd w:val="clear" w:color="auto" w:fill="auto"/>
            <w:noWrap/>
            <w:vAlign w:val="bottom"/>
            <w:hideMark/>
          </w:tcPr>
          <w:p w14:paraId="259215BC"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33%</w:t>
            </w:r>
          </w:p>
        </w:tc>
        <w:tc>
          <w:tcPr>
            <w:tcW w:w="578" w:type="pct"/>
            <w:tcBorders>
              <w:top w:val="nil"/>
              <w:left w:val="nil"/>
              <w:bottom w:val="single" w:sz="4" w:space="0" w:color="auto"/>
              <w:right w:val="nil"/>
            </w:tcBorders>
            <w:shd w:val="clear" w:color="auto" w:fill="auto"/>
            <w:noWrap/>
            <w:vAlign w:val="bottom"/>
            <w:hideMark/>
          </w:tcPr>
          <w:p w14:paraId="70589AEC"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100%</w:t>
            </w:r>
          </w:p>
        </w:tc>
        <w:tc>
          <w:tcPr>
            <w:tcW w:w="576" w:type="pct"/>
            <w:tcBorders>
              <w:top w:val="nil"/>
              <w:left w:val="nil"/>
              <w:bottom w:val="single" w:sz="4" w:space="0" w:color="auto"/>
              <w:right w:val="nil"/>
            </w:tcBorders>
            <w:shd w:val="clear" w:color="auto" w:fill="auto"/>
            <w:noWrap/>
            <w:vAlign w:val="bottom"/>
            <w:hideMark/>
          </w:tcPr>
          <w:p w14:paraId="123C3078" w14:textId="77777777" w:rsidR="001E2A1F" w:rsidRPr="00DE71FA" w:rsidRDefault="001E2A1F" w:rsidP="006C0130">
            <w:pPr>
              <w:spacing w:after="0" w:line="240" w:lineRule="auto"/>
              <w:jc w:val="right"/>
              <w:rPr>
                <w:rFonts w:ascii="Calibri" w:eastAsia="Times New Roman" w:hAnsi="Calibri" w:cs="Calibri"/>
                <w:lang w:eastAsia="en-GB"/>
              </w:rPr>
            </w:pPr>
            <w:r w:rsidRPr="00DE71FA">
              <w:rPr>
                <w:rFonts w:ascii="Calibri" w:eastAsia="Times New Roman" w:hAnsi="Calibri" w:cs="Calibri"/>
                <w:lang w:eastAsia="en-GB"/>
              </w:rPr>
              <w:t>40%</w:t>
            </w:r>
          </w:p>
        </w:tc>
        <w:tc>
          <w:tcPr>
            <w:tcW w:w="386" w:type="pct"/>
            <w:tcBorders>
              <w:top w:val="nil"/>
              <w:left w:val="single" w:sz="4" w:space="0" w:color="auto"/>
              <w:bottom w:val="single" w:sz="4" w:space="0" w:color="auto"/>
              <w:right w:val="nil"/>
            </w:tcBorders>
            <w:shd w:val="clear" w:color="auto" w:fill="auto"/>
            <w:noWrap/>
            <w:vAlign w:val="bottom"/>
            <w:hideMark/>
          </w:tcPr>
          <w:p w14:paraId="2A1C3241"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529" w:type="pct"/>
            <w:tcBorders>
              <w:top w:val="nil"/>
              <w:left w:val="nil"/>
              <w:bottom w:val="single" w:sz="4" w:space="0" w:color="auto"/>
              <w:right w:val="single" w:sz="4" w:space="0" w:color="auto"/>
            </w:tcBorders>
            <w:shd w:val="clear" w:color="auto" w:fill="auto"/>
            <w:noWrap/>
            <w:vAlign w:val="bottom"/>
            <w:hideMark/>
          </w:tcPr>
          <w:p w14:paraId="16C0A61B" w14:textId="77777777" w:rsidR="001E2A1F" w:rsidRPr="00DE71FA" w:rsidRDefault="001E2A1F" w:rsidP="006C0130">
            <w:pPr>
              <w:spacing w:after="0" w:line="240" w:lineRule="auto"/>
              <w:rPr>
                <w:rFonts w:ascii="Calibri" w:eastAsia="Times New Roman" w:hAnsi="Calibri" w:cs="Calibri"/>
                <w:lang w:eastAsia="en-GB"/>
              </w:rPr>
            </w:pPr>
            <w:r w:rsidRPr="00DE71FA">
              <w:rPr>
                <w:rFonts w:ascii="Calibri" w:eastAsia="Times New Roman" w:hAnsi="Calibri" w:cs="Calibri"/>
                <w:lang w:eastAsia="en-GB"/>
              </w:rPr>
              <w:t> </w:t>
            </w:r>
          </w:p>
        </w:tc>
        <w:tc>
          <w:tcPr>
            <w:tcW w:w="384" w:type="pct"/>
            <w:tcBorders>
              <w:top w:val="nil"/>
              <w:left w:val="nil"/>
              <w:bottom w:val="single" w:sz="4" w:space="0" w:color="auto"/>
              <w:right w:val="nil"/>
            </w:tcBorders>
            <w:shd w:val="clear" w:color="auto" w:fill="auto"/>
            <w:noWrap/>
            <w:vAlign w:val="bottom"/>
            <w:hideMark/>
          </w:tcPr>
          <w:p w14:paraId="77B12003"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c>
          <w:tcPr>
            <w:tcW w:w="334" w:type="pct"/>
            <w:tcBorders>
              <w:top w:val="nil"/>
              <w:left w:val="nil"/>
              <w:bottom w:val="single" w:sz="4" w:space="0" w:color="auto"/>
              <w:right w:val="single" w:sz="4" w:space="0" w:color="auto"/>
            </w:tcBorders>
            <w:shd w:val="clear" w:color="auto" w:fill="auto"/>
            <w:noWrap/>
            <w:vAlign w:val="bottom"/>
            <w:hideMark/>
          </w:tcPr>
          <w:p w14:paraId="61261ADC" w14:textId="77777777" w:rsidR="001E2A1F" w:rsidRPr="00DE71FA" w:rsidRDefault="001E2A1F" w:rsidP="006C0130">
            <w:pPr>
              <w:spacing w:after="0" w:line="240" w:lineRule="auto"/>
              <w:rPr>
                <w:rFonts w:ascii="Calibri" w:eastAsia="Times New Roman" w:hAnsi="Calibri" w:cs="Calibri"/>
                <w:color w:val="000000"/>
                <w:lang w:eastAsia="en-GB"/>
              </w:rPr>
            </w:pPr>
            <w:r w:rsidRPr="00DE71FA">
              <w:rPr>
                <w:rFonts w:ascii="Calibri" w:eastAsia="Times New Roman" w:hAnsi="Calibri" w:cs="Calibri"/>
                <w:color w:val="000000"/>
                <w:lang w:eastAsia="en-GB"/>
              </w:rPr>
              <w:t> </w:t>
            </w:r>
          </w:p>
        </w:tc>
      </w:tr>
    </w:tbl>
    <w:p w14:paraId="2B6867E6" w14:textId="77777777" w:rsidR="00520BB7" w:rsidRPr="009464F0" w:rsidRDefault="00520BB7" w:rsidP="00520BB7">
      <w:pPr>
        <w:pStyle w:val="Caption"/>
        <w:spacing w:line="480" w:lineRule="auto"/>
      </w:pPr>
      <w:proofErr w:type="spellStart"/>
      <w:r>
        <w:t>Table_SI</w:t>
      </w:r>
      <w:proofErr w:type="spellEnd"/>
      <w:r>
        <w:t xml:space="preserve"> </w:t>
      </w:r>
      <w:r>
        <w:fldChar w:fldCharType="begin"/>
      </w:r>
      <w:r>
        <w:instrText xml:space="preserve"> SEQ Table_SI \* ARABIC </w:instrText>
      </w:r>
      <w:r>
        <w:fldChar w:fldCharType="separate"/>
      </w:r>
      <w:r>
        <w:rPr>
          <w:noProof/>
        </w:rPr>
        <w:t>1</w:t>
      </w:r>
      <w:r>
        <w:rPr>
          <w:noProof/>
        </w:rPr>
        <w:fldChar w:fldCharType="end"/>
      </w:r>
      <w:r w:rsidRPr="009464F0">
        <w:rPr>
          <w:lang w:val="en-GB"/>
        </w:rPr>
        <w:t xml:space="preserve"> </w:t>
      </w:r>
      <w:r w:rsidRPr="004D7BEF">
        <w:rPr>
          <w:lang w:val="en-GB"/>
        </w:rPr>
        <w:t>Total GHG emissions</w:t>
      </w:r>
      <w:r>
        <w:rPr>
          <w:lang w:val="en-GB"/>
        </w:rPr>
        <w:t xml:space="preserve">, number of companies/branches and account holders/installations </w:t>
      </w:r>
      <w:r w:rsidRPr="004D7BEF">
        <w:rPr>
          <w:lang w:val="en-GB"/>
        </w:rPr>
        <w:t>for companies in this assessment, including overlap in 2019 between SBTi and ETS and ESR emissions (MtCO</w:t>
      </w:r>
      <w:r w:rsidRPr="004D7BEF">
        <w:rPr>
          <w:vertAlign w:val="subscript"/>
          <w:lang w:val="en-GB"/>
        </w:rPr>
        <w:t>2</w:t>
      </w:r>
      <w:r w:rsidRPr="004D7BEF">
        <w:rPr>
          <w:lang w:val="en-GB"/>
        </w:rPr>
        <w:t>eq)</w:t>
      </w:r>
    </w:p>
    <w:p w14:paraId="5F66A191" w14:textId="1ECF9C1E" w:rsidR="00520BB7" w:rsidRDefault="00520BB7" w:rsidP="00520BB7">
      <w:pPr>
        <w:pStyle w:val="Heading1"/>
      </w:pPr>
      <w:r w:rsidRPr="004D7BEF">
        <w:lastRenderedPageBreak/>
        <w:t xml:space="preserve">Methodology </w:t>
      </w:r>
      <w:r w:rsidR="00D65D5B">
        <w:t>to establish</w:t>
      </w:r>
      <w:r w:rsidRPr="004D7BEF">
        <w:t xml:space="preserve"> </w:t>
      </w:r>
      <w:r>
        <w:t>coverage of SBTi companies in ETS regulation</w:t>
      </w:r>
    </w:p>
    <w:p w14:paraId="7F512EA9" w14:textId="77777777" w:rsidR="00520BB7" w:rsidRDefault="00520BB7" w:rsidP="00520BB7">
      <w:pPr>
        <w:spacing w:line="480" w:lineRule="auto"/>
        <w:rPr>
          <w:lang w:val="en-GB" w:eastAsia="ja-JP"/>
        </w:rPr>
      </w:pPr>
      <w:r>
        <w:rPr>
          <w:lang w:val="en-GB" w:eastAsia="ja-JP"/>
        </w:rPr>
        <w:t>Company names participating in ETS and their emissions were retrieved in</w:t>
      </w:r>
      <w:r w:rsidRPr="00A70132">
        <w:rPr>
          <w:lang w:val="en-GB" w:eastAsia="ja-JP"/>
        </w:rPr>
        <w:t xml:space="preserve"> two attempts, for which results were combined. The first retrieved data direct from the EUTL online database, and the second used data from EUETS.INFO </w:t>
      </w:r>
      <w:r w:rsidRPr="00A70132">
        <w:rPr>
          <w:lang w:val="en-GB" w:eastAsia="ja-JP"/>
        </w:rPr>
        <w:fldChar w:fldCharType="begin" w:fldLock="1"/>
      </w:r>
      <w:r w:rsidRPr="00A70132">
        <w:rPr>
          <w:lang w:val="en-GB" w:eastAsia="ja-JP"/>
        </w:rPr>
        <w:instrText>ADDIN CSL_CITATION {"citationItems":[{"id":"ITEM-1","itemData":{"URL":"https://euets.info/background","author":[{"dropping-particle":"","family":"EUETS.INFO","given":"","non-dropping-particle":"","parse-names":false,"suffix":""}],"id":"ITEM-1","issued":{"date-parts":[["2022"]]},"title":"Track Carbon Trade in Europe","type":"webpage"},"suppress-author":1,"uris":["http://www.mendeley.com/documents/?uuid=b71838d8-a4bb-468f-b492-42732fc629cc"]}],"mendeley":{"formattedCitation":"(2022)","plainTextFormattedCitation":"(2022)","previouslyFormattedCitation":"(2022)"},"properties":{"noteIndex":0},"schema":"https://github.com/citation-style-language/schema/raw/master/csl-citation.json"}</w:instrText>
      </w:r>
      <w:r w:rsidRPr="00A70132">
        <w:rPr>
          <w:lang w:val="en-GB" w:eastAsia="ja-JP"/>
        </w:rPr>
        <w:fldChar w:fldCharType="separate"/>
      </w:r>
      <w:r w:rsidRPr="00A70132">
        <w:rPr>
          <w:noProof/>
          <w:lang w:val="en-GB" w:eastAsia="ja-JP"/>
        </w:rPr>
        <w:t>(2022)</w:t>
      </w:r>
      <w:r w:rsidRPr="00A70132">
        <w:rPr>
          <w:lang w:val="en-GB" w:eastAsia="ja-JP"/>
        </w:rPr>
        <w:fldChar w:fldCharType="end"/>
      </w:r>
      <w:r w:rsidRPr="00A70132">
        <w:rPr>
          <w:lang w:val="en-GB" w:eastAsia="ja-JP"/>
        </w:rPr>
        <w:t xml:space="preserve"> which processes EUTL data and adds additional information (see Supplementary Information).</w:t>
      </w:r>
      <w:r>
        <w:rPr>
          <w:lang w:val="en-GB" w:eastAsia="ja-JP"/>
        </w:rPr>
        <w:t xml:space="preserve"> </w:t>
      </w:r>
      <w:r w:rsidRPr="00A70132">
        <w:rPr>
          <w:lang w:val="en-GB"/>
        </w:rPr>
        <w:t xml:space="preserve">This data is collected, processed and made available on the website EUETS.INFO </w:t>
      </w:r>
      <w:r w:rsidRPr="00A70132">
        <w:rPr>
          <w:lang w:val="en-GB"/>
        </w:rPr>
        <w:fldChar w:fldCharType="begin" w:fldLock="1"/>
      </w:r>
      <w:r w:rsidRPr="00A70132">
        <w:rPr>
          <w:lang w:val="en-GB"/>
        </w:rPr>
        <w:instrText>ADDIN CSL_CITATION {"citationItems":[{"id":"ITEM-1","itemData":{"author":[{"dropping-particle":"","family":"Abrell","given":"J.","non-dropping-particle":"","parse-names":false,"suffix":""}],"id":"ITEM-1","issued":{"date-parts":[["2021"]]},"title":"Database for the European Union Transaction Log","type":"article"},"uris":["http://www.mendeley.com/documents/?uuid=30b8b670-018e-41c4-91fe-230046c1c491"]}],"mendeley":{"formattedCitation":"(Abrell, 2021)","plainTextFormattedCitation":"(Abrell, 2021)","previouslyFormattedCitation":"(Abrell, 2021)"},"properties":{"noteIndex":0},"schema":"https://github.com/citation-style-language/schema/raw/master/csl-citation.json"}</w:instrText>
      </w:r>
      <w:r w:rsidRPr="00A70132">
        <w:rPr>
          <w:lang w:val="en-GB"/>
        </w:rPr>
        <w:fldChar w:fldCharType="separate"/>
      </w:r>
      <w:r w:rsidRPr="00A70132">
        <w:rPr>
          <w:noProof/>
          <w:lang w:val="en-GB"/>
        </w:rPr>
        <w:t>(Abrell, 2021)</w:t>
      </w:r>
      <w:r w:rsidRPr="00A70132">
        <w:rPr>
          <w:lang w:val="en-GB"/>
        </w:rPr>
        <w:fldChar w:fldCharType="end"/>
      </w:r>
      <w:r w:rsidRPr="00A70132">
        <w:rPr>
          <w:lang w:val="en-GB"/>
        </w:rPr>
        <w:t xml:space="preserve">. </w:t>
      </w:r>
      <w:r w:rsidRPr="00A70132">
        <w:rPr>
          <w:lang w:val="en-GB" w:eastAsia="ja-JP"/>
        </w:rPr>
        <w:t>From this dataset we only included Operator Holding Accounts which are installations that are able to receive, transfer and surrender allowances and therefore obliged to fall under ETS and which have not been closed.</w:t>
      </w:r>
    </w:p>
    <w:p w14:paraId="6877F451" w14:textId="77777777" w:rsidR="00520BB7" w:rsidRPr="004D7BEF" w:rsidRDefault="00520BB7" w:rsidP="00520BB7">
      <w:pPr>
        <w:spacing w:line="480" w:lineRule="auto"/>
        <w:rPr>
          <w:lang w:val="en-GB"/>
        </w:rPr>
      </w:pPr>
      <w:r w:rsidRPr="004D7BEF">
        <w:rPr>
          <w:lang w:val="en-GB"/>
        </w:rPr>
        <w:t>To match the company names from ETS and SBTi companies, the unique names of the account</w:t>
      </w:r>
      <w:r>
        <w:rPr>
          <w:lang w:val="en-GB"/>
        </w:rPr>
        <w:t xml:space="preserve"> </w:t>
      </w:r>
      <w:r w:rsidRPr="004D7BEF">
        <w:rPr>
          <w:lang w:val="en-GB"/>
        </w:rPr>
        <w:t xml:space="preserve">holders were collected from </w:t>
      </w:r>
      <w:r>
        <w:rPr>
          <w:lang w:val="en-GB"/>
        </w:rPr>
        <w:t>two</w:t>
      </w:r>
      <w:r w:rsidRPr="004D7BEF">
        <w:rPr>
          <w:lang w:val="en-GB"/>
        </w:rPr>
        <w:t xml:space="preserve"> ETS databases. In addition, the unique SBTi names were collected from the from the 2020 survey </w:t>
      </w:r>
      <w:r w:rsidRPr="004D7BEF">
        <w:rPr>
          <w:lang w:val="en-GB"/>
        </w:rPr>
        <w:fldChar w:fldCharType="begin" w:fldLock="1"/>
      </w:r>
      <w:r>
        <w:rPr>
          <w:lang w:val="en-GB"/>
        </w:rPr>
        <w:instrText>ADDIN CSL_CITATION {"citationItems":[{"id":"ITEM-1","itemData":{"author":[{"dropping-particle":"","family":"CDP","given":"","non-dropping-particle":"","parse-names":false,"suffix":""}],"id":"ITEM-1","issued":{"date-parts":[["2020"]]},"publisher":"CDP","title":"CDP Climate Change 2020 Questionnaire","type":"report"},"uris":["http://www.mendeley.com/documents/?uuid=d8eeef4f-433f-41a7-8024-92a957491a9c"]}],"mendeley":{"formattedCitation":"(CDP, 2020b)","plainTextFormattedCitation":"(CDP, 2020b)","previouslyFormattedCitation":"(CDP, 2020b)"},"properties":{"noteIndex":0},"schema":"https://github.com/citation-style-language/schema/raw/master/csl-citation.json"}</w:instrText>
      </w:r>
      <w:r w:rsidRPr="004D7BEF">
        <w:rPr>
          <w:lang w:val="en-GB"/>
        </w:rPr>
        <w:fldChar w:fldCharType="separate"/>
      </w:r>
      <w:r w:rsidRPr="00E10118">
        <w:rPr>
          <w:noProof/>
          <w:lang w:val="en-GB"/>
        </w:rPr>
        <w:t>(CDP, 2020b)</w:t>
      </w:r>
      <w:r w:rsidRPr="004D7BEF">
        <w:rPr>
          <w:lang w:val="en-GB"/>
        </w:rPr>
        <w:fldChar w:fldCharType="end"/>
      </w:r>
      <w:r w:rsidRPr="004D7BEF">
        <w:rPr>
          <w:lang w:val="en-GB"/>
        </w:rPr>
        <w:t xml:space="preserve"> dataset, which was cleaned and disaggregated to country level by CDP. This dataset was filtered to only include EU Member States and companies that have SBTi approved emissions reduction targets. The latter is available information as CDP is one of the founders of SBTi. </w:t>
      </w:r>
    </w:p>
    <w:p w14:paraId="5CE4A90E" w14:textId="77777777" w:rsidR="00520BB7" w:rsidRPr="004D7BEF" w:rsidRDefault="00520BB7" w:rsidP="00520BB7">
      <w:pPr>
        <w:spacing w:line="480" w:lineRule="auto"/>
        <w:rPr>
          <w:lang w:val="en-GB"/>
        </w:rPr>
      </w:pPr>
      <w:r w:rsidRPr="004D7BEF">
        <w:rPr>
          <w:lang w:val="en-GB"/>
        </w:rPr>
        <w:t xml:space="preserve">Matching the company names used in the EUTL and CDP dataset is not straightforward due to different company names used. This is especially the case for multinational (holding) companies with different brands and sub-companies. This can be small differences such as including or excluding the abbreviation for a public limited company (plc, AG, NV), abbreviated names. If a company used different names that are different, we are not able to identify a match. This might be improved in further research, by using unique identifiers such as VAT registration or ORBIS firm identifiers. We conducted two name matching exercises. The first was based on the official EUTL dataset for which an R-script read the available XML files and names were matched with the Microsoft Fuzzy Lookup Add-in for Excel. The second exercise made use of the data provided by EUTS.INFO which was cleaned and in which </w:t>
      </w:r>
      <w:r>
        <w:rPr>
          <w:lang w:val="en-GB"/>
        </w:rPr>
        <w:t>account holder</w:t>
      </w:r>
      <w:r w:rsidRPr="004D7BEF">
        <w:rPr>
          <w:lang w:val="en-GB"/>
        </w:rPr>
        <w:t xml:space="preserve"> names </w:t>
      </w:r>
      <w:r w:rsidRPr="004D7BEF">
        <w:rPr>
          <w:lang w:val="en-GB"/>
        </w:rPr>
        <w:lastRenderedPageBreak/>
        <w:t xml:space="preserve">between different ETS periods were matched. In the second assessment we have used the name matching algorithm from Nijhuis </w:t>
      </w:r>
      <w:r w:rsidRPr="004D7BEF">
        <w:rPr>
          <w:lang w:val="en-GB"/>
        </w:rPr>
        <w:fldChar w:fldCharType="begin" w:fldLock="1"/>
      </w:r>
      <w:r w:rsidRPr="004D7BEF">
        <w:rPr>
          <w:lang w:val="en-GB"/>
        </w:rPr>
        <w:instrText>ADDIN CSL_CITATION {"citationItems":[{"id":"ITEM-1","itemData":{"author":[{"dropping-particle":"","family":"Nijhuis","given":"M.","non-dropping-particle":"","parse-names":false,"suffix":""}],"id":"ITEM-1","issued":{"date-parts":[["2022"]]},"title":"Company Name Matching","type":"article"},"suppress-author":1,"uris":["http://www.mendeley.com/documents/?uuid=d506b3e1-9972-4faf-b4a6-a4a56a5730e8"]}],"mendeley":{"formattedCitation":"(2022)","plainTextFormattedCitation":"(2022)","previouslyFormattedCitation":"(2022)"},"properties":{"noteIndex":0},"schema":"https://github.com/citation-style-language/schema/raw/master/csl-citation.json"}</w:instrText>
      </w:r>
      <w:r w:rsidRPr="004D7BEF">
        <w:rPr>
          <w:lang w:val="en-GB"/>
        </w:rPr>
        <w:fldChar w:fldCharType="separate"/>
      </w:r>
      <w:r w:rsidRPr="004D7BEF">
        <w:rPr>
          <w:noProof/>
          <w:lang w:val="en-GB"/>
        </w:rPr>
        <w:t>(2022)</w:t>
      </w:r>
      <w:r w:rsidRPr="004D7BEF">
        <w:rPr>
          <w:lang w:val="en-GB"/>
        </w:rPr>
        <w:fldChar w:fldCharType="end"/>
      </w:r>
      <w:r w:rsidRPr="004D7BEF">
        <w:rPr>
          <w:lang w:val="en-GB"/>
        </w:rPr>
        <w:t xml:space="preserve"> that first removes punctation, common legal business suffixes and common words, and then enable the use of  different fuzzy string matching algorithms. We matched SBTi company names with EUTL names, and vice versa using three different combinations of fuzzy string matching algorithms. The result is collected an all names that have a match of 75% or higher were collected and duplicates removed. The result from both exercises was a list of EUTL </w:t>
      </w:r>
      <w:r>
        <w:rPr>
          <w:lang w:val="en-GB"/>
        </w:rPr>
        <w:t>account holder</w:t>
      </w:r>
      <w:r w:rsidRPr="004D7BEF">
        <w:rPr>
          <w:lang w:val="en-GB"/>
        </w:rPr>
        <w:t xml:space="preserve"> names that each correspond to one SBTi company names, which were combined. Note that one SBTi company can be linked to different EUTL </w:t>
      </w:r>
      <w:r>
        <w:rPr>
          <w:lang w:val="en-GB"/>
        </w:rPr>
        <w:t>account holder</w:t>
      </w:r>
      <w:r w:rsidRPr="004D7BEF">
        <w:rPr>
          <w:lang w:val="en-GB"/>
        </w:rPr>
        <w:t>s that often represent one geographical location of a company.</w:t>
      </w:r>
    </w:p>
    <w:p w14:paraId="4B3671ED" w14:textId="77777777" w:rsidR="00520BB7" w:rsidRPr="004D7BEF" w:rsidRDefault="00520BB7" w:rsidP="00520BB7">
      <w:pPr>
        <w:pStyle w:val="Heading1"/>
      </w:pPr>
      <w:r w:rsidRPr="004D7BEF">
        <w:t>Calculating emissions pathways</w:t>
      </w:r>
    </w:p>
    <w:p w14:paraId="02BD63E6" w14:textId="77777777" w:rsidR="00520BB7" w:rsidRPr="004D7BEF" w:rsidRDefault="00520BB7" w:rsidP="00520BB7">
      <w:pPr>
        <w:spacing w:line="480" w:lineRule="auto"/>
        <w:rPr>
          <w:lang w:val="en-GB"/>
        </w:rPr>
      </w:pPr>
      <w:r w:rsidRPr="004D7BEF">
        <w:rPr>
          <w:lang w:val="en-GB"/>
        </w:rPr>
        <w:t xml:space="preserve">The </w:t>
      </w:r>
      <w:r>
        <w:rPr>
          <w:lang w:val="en-GB"/>
        </w:rPr>
        <w:t>storyline and broad assumptions for the</w:t>
      </w:r>
      <w:r w:rsidRPr="004D7BEF">
        <w:rPr>
          <w:lang w:val="en-GB"/>
        </w:rPr>
        <w:t xml:space="preserve"> </w:t>
      </w:r>
      <w:r>
        <w:rPr>
          <w:lang w:val="en-GB"/>
        </w:rPr>
        <w:t>three</w:t>
      </w:r>
      <w:r w:rsidRPr="004D7BEF">
        <w:rPr>
          <w:lang w:val="en-GB"/>
        </w:rPr>
        <w:t xml:space="preserve"> scenarios</w:t>
      </w:r>
      <w:r>
        <w:rPr>
          <w:lang w:val="en-GB"/>
        </w:rPr>
        <w:t xml:space="preserve"> analysed are explained in Section 1.2. This section shows how the emissions pathways are constructed. The starting point are the 2019 emissions from the CDP dataset.</w:t>
      </w:r>
    </w:p>
    <w:p w14:paraId="36AE1704" w14:textId="77777777" w:rsidR="00520BB7" w:rsidRPr="004D7BEF" w:rsidRDefault="00520BB7" w:rsidP="00520BB7">
      <w:pPr>
        <w:pStyle w:val="ListParagraph"/>
        <w:numPr>
          <w:ilvl w:val="0"/>
          <w:numId w:val="1"/>
        </w:numPr>
        <w:spacing w:line="480" w:lineRule="auto"/>
        <w:rPr>
          <w:lang w:val="en-GB"/>
        </w:rPr>
      </w:pPr>
      <w:r>
        <w:rPr>
          <w:lang w:val="en-GB"/>
        </w:rPr>
        <w:t>The c</w:t>
      </w:r>
      <w:r w:rsidRPr="004D7BEF">
        <w:rPr>
          <w:lang w:val="en-GB"/>
        </w:rPr>
        <w:t>urrent policies scenario (CPS) represents the emissions based on the implementation of EU policies. Th</w:t>
      </w:r>
      <w:r>
        <w:rPr>
          <w:lang w:val="en-GB"/>
        </w:rPr>
        <w:t xml:space="preserve">e annual reductions for ETS and ESR over the period 2019-2030 used for the </w:t>
      </w:r>
      <w:r w:rsidRPr="004D7BEF">
        <w:rPr>
          <w:lang w:val="en-GB"/>
        </w:rPr>
        <w:t xml:space="preserve">projections </w:t>
      </w:r>
      <w:r>
        <w:rPr>
          <w:lang w:val="en-GB"/>
        </w:rPr>
        <w:t>are based on official EU projections from</w:t>
      </w:r>
      <w:r w:rsidRPr="004D7BEF">
        <w:rPr>
          <w:lang w:val="en-GB"/>
        </w:rPr>
        <w:t xml:space="preserve"> EEA </w:t>
      </w:r>
      <w:r w:rsidRPr="004D7BEF">
        <w:rPr>
          <w:lang w:val="en-GB"/>
        </w:rPr>
        <w:fldChar w:fldCharType="begin" w:fldLock="1"/>
      </w:r>
      <w:r>
        <w:rPr>
          <w:lang w:val="en-GB"/>
        </w:rPr>
        <w:instrText>ADDIN CSL_CITATION {"citationItems":[{"id":"ITEM-1","itemData":{"URL":"https://www.eea.europa.eu/data-and-maps/figures/eu-27-effort-sharing-ets-1","author":[{"dropping-particle":"","family":"EEA","given":"","non-dropping-particle":"","parse-names":false,"suffix":""}],"id":"ITEM-1","issued":{"date-parts":[["2021"]]},"title":"EU-27 Effort Sharing, ETS, LULUCF trends and projections","type":"webpage"},"suppress-author":1,"uris":["http://www.mendeley.com/documents/?uuid=64a9f00c-02dc-4952-b98b-e6a86ef48179"]},{"id":"ITEM-2","itemData":{"URL":"https://www.eea.europa.eu/data-and-maps/data/greenhouse-gas-emission-projections-for-8","author":[{"dropping-particle":"","family":"EEA","given":"","non-dropping-particle":"","parse-names":false,"suffix":""}],"id":"ITEM-2","issued":{"date-parts":[["2021"]]},"title":"Member States' greenhouse gas (GHG) emission projections","type":"webpage"},"suppress-author":1,"uris":["http://www.mendeley.com/documents/?uuid=62c1d2b5-1575-48f7-8c71-77f9c280e87e"]}],"mendeley":{"formattedCitation":"(2021a, 2021b)","plainTextFormattedCitation":"(2021a, 2021b)","previouslyFormattedCitation":"(2021a, 2021b)"},"properties":{"noteIndex":0},"schema":"https://github.com/citation-style-language/schema/raw/master/csl-citation.json"}</w:instrText>
      </w:r>
      <w:r w:rsidRPr="004D7BEF">
        <w:rPr>
          <w:lang w:val="en-GB"/>
        </w:rPr>
        <w:fldChar w:fldCharType="separate"/>
      </w:r>
      <w:r w:rsidRPr="00F903A0">
        <w:rPr>
          <w:noProof/>
          <w:lang w:val="en-GB"/>
        </w:rPr>
        <w:t>(2021a, 2021b)</w:t>
      </w:r>
      <w:r w:rsidRPr="004D7BEF">
        <w:rPr>
          <w:lang w:val="en-GB"/>
        </w:rPr>
        <w:fldChar w:fldCharType="end"/>
      </w:r>
      <w:r w:rsidRPr="004D7BEF">
        <w:rPr>
          <w:lang w:val="en-GB"/>
        </w:rPr>
        <w:t>. The most recent reporting year emissions (2019) decline to 2030 with either annual ESR reductions or ETS reductions (see</w:t>
      </w:r>
      <w:r>
        <w:rPr>
          <w:lang w:val="en-GB"/>
        </w:rPr>
        <w:t xml:space="preserve"> Table S.1)</w:t>
      </w:r>
      <w:r w:rsidRPr="004D7BEF">
        <w:rPr>
          <w:lang w:val="en-GB"/>
        </w:rPr>
        <w:t>. The categorisation of emissions is based on whether these companies own ETS installations (retrieved with name matching) and if these are reported as scope 1 or scope 2 emissions.</w:t>
      </w:r>
    </w:p>
    <w:p w14:paraId="4FB5D197" w14:textId="77777777" w:rsidR="00520BB7" w:rsidRPr="004D7BEF" w:rsidRDefault="00520BB7" w:rsidP="00520BB7">
      <w:pPr>
        <w:pStyle w:val="ListParagraph"/>
        <w:numPr>
          <w:ilvl w:val="0"/>
          <w:numId w:val="1"/>
        </w:numPr>
        <w:spacing w:line="480" w:lineRule="auto"/>
        <w:rPr>
          <w:lang w:val="en-GB"/>
        </w:rPr>
      </w:pPr>
      <w:r w:rsidRPr="004D7BEF">
        <w:rPr>
          <w:lang w:val="en-GB"/>
        </w:rPr>
        <w:t xml:space="preserve">In the Current policies plus </w:t>
      </w:r>
      <w:r>
        <w:rPr>
          <w:lang w:val="en-GB"/>
        </w:rPr>
        <w:t>approved SBTi targets scenario</w:t>
      </w:r>
      <w:r w:rsidRPr="004D7BEF">
        <w:rPr>
          <w:lang w:val="en-GB"/>
        </w:rPr>
        <w:t xml:space="preserve"> (</w:t>
      </w:r>
      <w:proofErr w:type="spellStart"/>
      <w:r w:rsidRPr="004D7BEF">
        <w:rPr>
          <w:lang w:val="en-GB"/>
        </w:rPr>
        <w:t>CPS+SBT</w:t>
      </w:r>
      <w:r>
        <w:rPr>
          <w:lang w:val="en-GB"/>
        </w:rPr>
        <w:t>i</w:t>
      </w:r>
      <w:proofErr w:type="spellEnd"/>
      <w:r>
        <w:rPr>
          <w:lang w:val="en-GB"/>
        </w:rPr>
        <w:t xml:space="preserve"> and </w:t>
      </w:r>
      <w:proofErr w:type="spellStart"/>
      <w:r>
        <w:rPr>
          <w:lang w:val="en-GB"/>
        </w:rPr>
        <w:t>CPS+SBTi</w:t>
      </w:r>
      <w:proofErr w:type="spellEnd"/>
      <w:r>
        <w:rPr>
          <w:lang w:val="en-GB"/>
        </w:rPr>
        <w:t>+</w:t>
      </w:r>
      <w:r w:rsidRPr="004D7BEF">
        <w:rPr>
          <w:lang w:val="en-GB"/>
        </w:rPr>
        <w:t xml:space="preserve">) it is assumed that companies achieve their voluntary targets (reported to CDP) and after that emissions decline with either annual ETS or ESR reductions in the same way as the CPS. The latter is done to make sure that no additional reduction relative to the CPS occur after the target </w:t>
      </w:r>
      <w:r w:rsidRPr="004D7BEF">
        <w:rPr>
          <w:lang w:val="en-GB"/>
        </w:rPr>
        <w:lastRenderedPageBreak/>
        <w:t>year.</w:t>
      </w:r>
      <w:r>
        <w:rPr>
          <w:lang w:val="en-GB"/>
        </w:rPr>
        <w:t xml:space="preserve"> For the </w:t>
      </w:r>
      <w:proofErr w:type="spellStart"/>
      <w:r>
        <w:rPr>
          <w:lang w:val="en-GB"/>
        </w:rPr>
        <w:t>CPS+SBTi</w:t>
      </w:r>
      <w:proofErr w:type="spellEnd"/>
      <w:r>
        <w:rPr>
          <w:lang w:val="en-GB"/>
        </w:rPr>
        <w:t xml:space="preserve"> scenario, the ETS reductions are set to zero, while this was not done for the </w:t>
      </w:r>
      <w:proofErr w:type="spellStart"/>
      <w:r>
        <w:rPr>
          <w:lang w:val="en-GB"/>
        </w:rPr>
        <w:t>CPS+SBTi</w:t>
      </w:r>
      <w:proofErr w:type="spellEnd"/>
      <w:r>
        <w:rPr>
          <w:lang w:val="en-GB"/>
        </w:rPr>
        <w:t>+ scenario.</w:t>
      </w:r>
    </w:p>
    <w:p w14:paraId="0D36763C" w14:textId="77777777" w:rsidR="00520BB7" w:rsidRPr="00C24568" w:rsidRDefault="00520BB7" w:rsidP="00520BB7">
      <w:pPr>
        <w:pStyle w:val="Caption"/>
        <w:keepNext/>
        <w:spacing w:line="480" w:lineRule="auto"/>
        <w:rPr>
          <w:lang w:val="en-GB"/>
        </w:rPr>
      </w:pPr>
      <w:r>
        <w:rPr>
          <w:lang w:val="en-GB"/>
        </w:rPr>
        <w:t>Table S.1.</w:t>
      </w:r>
      <w:r w:rsidRPr="00C24568">
        <w:rPr>
          <w:lang w:val="en-GB"/>
        </w:rPr>
        <w:t xml:space="preserve"> </w:t>
      </w:r>
      <w:r>
        <w:rPr>
          <w:lang w:val="en-GB"/>
        </w:rPr>
        <w:t xml:space="preserve">Projections of the CPS and </w:t>
      </w:r>
      <w:proofErr w:type="spellStart"/>
      <w:r>
        <w:rPr>
          <w:lang w:val="en-GB"/>
        </w:rPr>
        <w:t>CPS+SBTi</w:t>
      </w:r>
      <w:proofErr w:type="spellEnd"/>
      <w:r>
        <w:rPr>
          <w:lang w:val="en-GB"/>
        </w:rPr>
        <w:t xml:space="preserve"> scenario for scope 1 and 2. The starting point is 2019 and annual reductions for ETS, ESR or SBTi are used for projections to 2030. ETS and ESR reduction are retrieved from official EU projections and annualised over the period 2019-2030, while SBTi annual reductions are calculated from targets set by the company.</w:t>
      </w:r>
    </w:p>
    <w:tbl>
      <w:tblPr>
        <w:tblW w:w="461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59"/>
        <w:gridCol w:w="857"/>
        <w:gridCol w:w="921"/>
        <w:gridCol w:w="921"/>
        <w:gridCol w:w="1054"/>
        <w:gridCol w:w="1018"/>
      </w:tblGrid>
      <w:tr w:rsidR="00520BB7" w:rsidRPr="004D7BEF" w14:paraId="7CE87F74" w14:textId="77777777" w:rsidTr="00D159EB">
        <w:trPr>
          <w:trHeight w:val="300"/>
        </w:trPr>
        <w:tc>
          <w:tcPr>
            <w:tcW w:w="2236" w:type="pct"/>
            <w:shd w:val="clear" w:color="auto" w:fill="auto"/>
            <w:noWrap/>
            <w:vAlign w:val="bottom"/>
            <w:hideMark/>
          </w:tcPr>
          <w:p w14:paraId="7D62903E"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498" w:type="pct"/>
            <w:shd w:val="clear" w:color="auto" w:fill="auto"/>
            <w:noWrap/>
            <w:vAlign w:val="bottom"/>
            <w:hideMark/>
          </w:tcPr>
          <w:p w14:paraId="4944A06C"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534" w:type="pct"/>
            <w:shd w:val="clear" w:color="auto" w:fill="auto"/>
            <w:noWrap/>
            <w:vAlign w:val="bottom"/>
            <w:hideMark/>
          </w:tcPr>
          <w:p w14:paraId="68CB197C" w14:textId="77777777" w:rsidR="00520BB7" w:rsidRPr="004D7BEF" w:rsidRDefault="00520BB7" w:rsidP="00D159EB">
            <w:pPr>
              <w:spacing w:after="0" w:line="480" w:lineRule="auto"/>
              <w:rPr>
                <w:rFonts w:ascii="Calibri" w:eastAsia="Times New Roman" w:hAnsi="Calibri" w:cs="Calibri"/>
                <w:b/>
                <w:bCs/>
                <w:color w:val="000000"/>
                <w:lang w:val="en-GB" w:eastAsia="en-GB"/>
              </w:rPr>
            </w:pPr>
            <w:r w:rsidRPr="004D7BEF">
              <w:rPr>
                <w:rFonts w:ascii="Calibri" w:eastAsia="Times New Roman" w:hAnsi="Calibri" w:cs="Calibri"/>
                <w:b/>
                <w:bCs/>
                <w:color w:val="000000"/>
                <w:lang w:val="en-GB" w:eastAsia="en-GB"/>
              </w:rPr>
              <w:t>CPS</w:t>
            </w:r>
          </w:p>
        </w:tc>
        <w:tc>
          <w:tcPr>
            <w:tcW w:w="534" w:type="pct"/>
            <w:shd w:val="clear" w:color="auto" w:fill="auto"/>
            <w:noWrap/>
            <w:vAlign w:val="bottom"/>
            <w:hideMark/>
          </w:tcPr>
          <w:p w14:paraId="529DAA79" w14:textId="77777777" w:rsidR="00520BB7" w:rsidRPr="004D7BEF" w:rsidRDefault="00520BB7" w:rsidP="00D159EB">
            <w:pPr>
              <w:spacing w:after="0" w:line="480" w:lineRule="auto"/>
              <w:rPr>
                <w:rFonts w:ascii="Calibri" w:eastAsia="Times New Roman" w:hAnsi="Calibri" w:cs="Calibri"/>
                <w:b/>
                <w:bCs/>
                <w:color w:val="000000"/>
                <w:lang w:val="en-GB" w:eastAsia="en-GB"/>
              </w:rPr>
            </w:pPr>
          </w:p>
        </w:tc>
        <w:tc>
          <w:tcPr>
            <w:tcW w:w="606" w:type="pct"/>
            <w:shd w:val="clear" w:color="auto" w:fill="auto"/>
            <w:noWrap/>
            <w:vAlign w:val="bottom"/>
            <w:hideMark/>
          </w:tcPr>
          <w:p w14:paraId="05A1CA8A" w14:textId="77777777" w:rsidR="00520BB7" w:rsidRPr="004D7BEF" w:rsidRDefault="00520BB7" w:rsidP="00D159EB">
            <w:pPr>
              <w:spacing w:after="0" w:line="480" w:lineRule="auto"/>
              <w:rPr>
                <w:rFonts w:ascii="Calibri" w:eastAsia="Times New Roman" w:hAnsi="Calibri" w:cs="Calibri"/>
                <w:b/>
                <w:bCs/>
                <w:color w:val="000000"/>
                <w:lang w:val="en-GB" w:eastAsia="en-GB"/>
              </w:rPr>
            </w:pPr>
            <w:proofErr w:type="spellStart"/>
            <w:r w:rsidRPr="004D7BEF">
              <w:rPr>
                <w:rFonts w:ascii="Calibri" w:eastAsia="Times New Roman" w:hAnsi="Calibri" w:cs="Calibri"/>
                <w:b/>
                <w:bCs/>
                <w:color w:val="000000"/>
                <w:lang w:val="en-GB" w:eastAsia="en-GB"/>
              </w:rPr>
              <w:t>CPS+SBT</w:t>
            </w:r>
            <w:r>
              <w:rPr>
                <w:rFonts w:ascii="Calibri" w:eastAsia="Times New Roman" w:hAnsi="Calibri" w:cs="Calibri"/>
                <w:b/>
                <w:bCs/>
                <w:color w:val="000000"/>
                <w:lang w:val="en-GB" w:eastAsia="en-GB"/>
              </w:rPr>
              <w:t>i</w:t>
            </w:r>
            <w:proofErr w:type="spellEnd"/>
          </w:p>
        </w:tc>
        <w:tc>
          <w:tcPr>
            <w:tcW w:w="593" w:type="pct"/>
            <w:shd w:val="clear" w:color="auto" w:fill="auto"/>
            <w:noWrap/>
            <w:vAlign w:val="bottom"/>
            <w:hideMark/>
          </w:tcPr>
          <w:p w14:paraId="2AE3B6CC" w14:textId="77777777" w:rsidR="00520BB7" w:rsidRPr="004D7BEF" w:rsidRDefault="00520BB7" w:rsidP="00D159EB">
            <w:pPr>
              <w:spacing w:after="0" w:line="480" w:lineRule="auto"/>
              <w:rPr>
                <w:rFonts w:ascii="Calibri" w:eastAsia="Times New Roman" w:hAnsi="Calibri" w:cs="Calibri"/>
                <w:b/>
                <w:bCs/>
                <w:color w:val="000000"/>
                <w:lang w:val="en-GB" w:eastAsia="en-GB"/>
              </w:rPr>
            </w:pPr>
          </w:p>
        </w:tc>
      </w:tr>
      <w:tr w:rsidR="00520BB7" w:rsidRPr="004D7BEF" w14:paraId="4E3C977D" w14:textId="77777777" w:rsidTr="00D159EB">
        <w:trPr>
          <w:trHeight w:val="300"/>
        </w:trPr>
        <w:tc>
          <w:tcPr>
            <w:tcW w:w="2236" w:type="pct"/>
            <w:shd w:val="clear" w:color="auto" w:fill="auto"/>
            <w:noWrap/>
            <w:vAlign w:val="bottom"/>
            <w:hideMark/>
          </w:tcPr>
          <w:p w14:paraId="7E6E930D"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498" w:type="pct"/>
            <w:shd w:val="clear" w:color="auto" w:fill="auto"/>
            <w:noWrap/>
            <w:vAlign w:val="bottom"/>
            <w:hideMark/>
          </w:tcPr>
          <w:p w14:paraId="730C5B1F"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534" w:type="pct"/>
            <w:shd w:val="clear" w:color="auto" w:fill="auto"/>
            <w:noWrap/>
            <w:vAlign w:val="bottom"/>
            <w:hideMark/>
          </w:tcPr>
          <w:p w14:paraId="3C10A8C7" w14:textId="77777777" w:rsidR="00520BB7" w:rsidRPr="004D7BEF" w:rsidRDefault="00520BB7" w:rsidP="00D159EB">
            <w:pPr>
              <w:spacing w:after="0" w:line="480" w:lineRule="auto"/>
              <w:rPr>
                <w:rFonts w:ascii="Calibri" w:eastAsia="Times New Roman" w:hAnsi="Calibri" w:cs="Calibri"/>
                <w:b/>
                <w:bCs/>
                <w:color w:val="000000"/>
                <w:lang w:val="en-GB" w:eastAsia="en-GB"/>
              </w:rPr>
            </w:pPr>
            <w:r w:rsidRPr="004D7BEF">
              <w:rPr>
                <w:rFonts w:ascii="Calibri" w:eastAsia="Times New Roman" w:hAnsi="Calibri" w:cs="Calibri"/>
                <w:b/>
                <w:bCs/>
                <w:color w:val="000000"/>
                <w:lang w:val="en-GB" w:eastAsia="en-GB"/>
              </w:rPr>
              <w:t>Scope 1</w:t>
            </w:r>
          </w:p>
        </w:tc>
        <w:tc>
          <w:tcPr>
            <w:tcW w:w="534" w:type="pct"/>
            <w:shd w:val="clear" w:color="auto" w:fill="auto"/>
            <w:noWrap/>
            <w:vAlign w:val="bottom"/>
            <w:hideMark/>
          </w:tcPr>
          <w:p w14:paraId="66279F26" w14:textId="77777777" w:rsidR="00520BB7" w:rsidRPr="004D7BEF" w:rsidRDefault="00520BB7" w:rsidP="00D159EB">
            <w:pPr>
              <w:spacing w:after="0" w:line="480" w:lineRule="auto"/>
              <w:rPr>
                <w:rFonts w:ascii="Calibri" w:eastAsia="Times New Roman" w:hAnsi="Calibri" w:cs="Calibri"/>
                <w:b/>
                <w:bCs/>
                <w:color w:val="000000"/>
                <w:lang w:val="en-GB" w:eastAsia="en-GB"/>
              </w:rPr>
            </w:pPr>
            <w:r w:rsidRPr="004D7BEF">
              <w:rPr>
                <w:rFonts w:ascii="Calibri" w:eastAsia="Times New Roman" w:hAnsi="Calibri" w:cs="Calibri"/>
                <w:b/>
                <w:bCs/>
                <w:color w:val="000000"/>
                <w:lang w:val="en-GB" w:eastAsia="en-GB"/>
              </w:rPr>
              <w:t>Scope 2</w:t>
            </w:r>
          </w:p>
        </w:tc>
        <w:tc>
          <w:tcPr>
            <w:tcW w:w="606" w:type="pct"/>
            <w:shd w:val="clear" w:color="auto" w:fill="auto"/>
            <w:noWrap/>
            <w:vAlign w:val="bottom"/>
            <w:hideMark/>
          </w:tcPr>
          <w:p w14:paraId="1911723D" w14:textId="77777777" w:rsidR="00520BB7" w:rsidRPr="004D7BEF" w:rsidRDefault="00520BB7" w:rsidP="00D159EB">
            <w:pPr>
              <w:spacing w:after="0" w:line="480" w:lineRule="auto"/>
              <w:rPr>
                <w:rFonts w:ascii="Calibri" w:eastAsia="Times New Roman" w:hAnsi="Calibri" w:cs="Calibri"/>
                <w:b/>
                <w:bCs/>
                <w:color w:val="000000"/>
                <w:lang w:val="en-GB" w:eastAsia="en-GB"/>
              </w:rPr>
            </w:pPr>
            <w:r w:rsidRPr="004D7BEF">
              <w:rPr>
                <w:rFonts w:ascii="Calibri" w:eastAsia="Times New Roman" w:hAnsi="Calibri" w:cs="Calibri"/>
                <w:b/>
                <w:bCs/>
                <w:color w:val="000000"/>
                <w:lang w:val="en-GB" w:eastAsia="en-GB"/>
              </w:rPr>
              <w:t>Scope 1</w:t>
            </w:r>
          </w:p>
        </w:tc>
        <w:tc>
          <w:tcPr>
            <w:tcW w:w="593" w:type="pct"/>
            <w:shd w:val="clear" w:color="auto" w:fill="auto"/>
            <w:noWrap/>
            <w:vAlign w:val="bottom"/>
            <w:hideMark/>
          </w:tcPr>
          <w:p w14:paraId="4D58442F" w14:textId="77777777" w:rsidR="00520BB7" w:rsidRPr="004D7BEF" w:rsidRDefault="00520BB7" w:rsidP="00D159EB">
            <w:pPr>
              <w:spacing w:after="0" w:line="480" w:lineRule="auto"/>
              <w:rPr>
                <w:rFonts w:ascii="Calibri" w:eastAsia="Times New Roman" w:hAnsi="Calibri" w:cs="Calibri"/>
                <w:b/>
                <w:bCs/>
                <w:color w:val="000000"/>
                <w:lang w:val="en-GB" w:eastAsia="en-GB"/>
              </w:rPr>
            </w:pPr>
            <w:r w:rsidRPr="004D7BEF">
              <w:rPr>
                <w:rFonts w:ascii="Calibri" w:eastAsia="Times New Roman" w:hAnsi="Calibri" w:cs="Calibri"/>
                <w:b/>
                <w:bCs/>
                <w:color w:val="000000"/>
                <w:lang w:val="en-GB" w:eastAsia="en-GB"/>
              </w:rPr>
              <w:t>Scope 2</w:t>
            </w:r>
          </w:p>
        </w:tc>
      </w:tr>
      <w:tr w:rsidR="00520BB7" w:rsidRPr="004D7BEF" w14:paraId="4681D328" w14:textId="77777777" w:rsidTr="00D159EB">
        <w:trPr>
          <w:trHeight w:val="300"/>
        </w:trPr>
        <w:tc>
          <w:tcPr>
            <w:tcW w:w="2236" w:type="pct"/>
            <w:shd w:val="clear" w:color="auto" w:fill="auto"/>
            <w:noWrap/>
            <w:vAlign w:val="bottom"/>
            <w:hideMark/>
          </w:tcPr>
          <w:p w14:paraId="058C7D24"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SBTi companies without ETS installations</w:t>
            </w:r>
          </w:p>
        </w:tc>
        <w:tc>
          <w:tcPr>
            <w:tcW w:w="498" w:type="pct"/>
            <w:shd w:val="clear" w:color="auto" w:fill="auto"/>
            <w:noWrap/>
            <w:vAlign w:val="bottom"/>
            <w:hideMark/>
          </w:tcPr>
          <w:p w14:paraId="79A982AD"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EU ESR</w:t>
            </w:r>
          </w:p>
        </w:tc>
        <w:tc>
          <w:tcPr>
            <w:tcW w:w="534" w:type="pct"/>
            <w:shd w:val="clear" w:color="auto" w:fill="auto"/>
            <w:noWrap/>
            <w:vAlign w:val="bottom"/>
            <w:hideMark/>
          </w:tcPr>
          <w:p w14:paraId="77071451"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ESR</w:t>
            </w:r>
          </w:p>
        </w:tc>
        <w:tc>
          <w:tcPr>
            <w:tcW w:w="534" w:type="pct"/>
            <w:shd w:val="clear" w:color="auto" w:fill="auto"/>
            <w:noWrap/>
            <w:vAlign w:val="bottom"/>
            <w:hideMark/>
          </w:tcPr>
          <w:p w14:paraId="65A34FCD"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ESR</w:t>
            </w:r>
          </w:p>
        </w:tc>
        <w:tc>
          <w:tcPr>
            <w:tcW w:w="606" w:type="pct"/>
            <w:shd w:val="clear" w:color="auto" w:fill="auto"/>
            <w:noWrap/>
            <w:vAlign w:val="bottom"/>
            <w:hideMark/>
          </w:tcPr>
          <w:p w14:paraId="4539465C"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SBTi/ESR</w:t>
            </w:r>
          </w:p>
        </w:tc>
        <w:tc>
          <w:tcPr>
            <w:tcW w:w="593" w:type="pct"/>
            <w:shd w:val="clear" w:color="auto" w:fill="auto"/>
            <w:noWrap/>
            <w:vAlign w:val="bottom"/>
            <w:hideMark/>
          </w:tcPr>
          <w:p w14:paraId="414D1DED"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SBTi/ESR</w:t>
            </w:r>
          </w:p>
        </w:tc>
      </w:tr>
      <w:tr w:rsidR="00520BB7" w:rsidRPr="004D7BEF" w14:paraId="3F5592A2" w14:textId="77777777" w:rsidTr="00D159EB">
        <w:trPr>
          <w:trHeight w:val="300"/>
        </w:trPr>
        <w:tc>
          <w:tcPr>
            <w:tcW w:w="2236" w:type="pct"/>
            <w:shd w:val="clear" w:color="auto" w:fill="auto"/>
            <w:noWrap/>
            <w:vAlign w:val="bottom"/>
            <w:hideMark/>
          </w:tcPr>
          <w:p w14:paraId="7D8E78FF"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SBTi companies with ETS installations</w:t>
            </w:r>
          </w:p>
        </w:tc>
        <w:tc>
          <w:tcPr>
            <w:tcW w:w="498" w:type="pct"/>
            <w:shd w:val="clear" w:color="auto" w:fill="auto"/>
            <w:noWrap/>
            <w:vAlign w:val="bottom"/>
            <w:hideMark/>
          </w:tcPr>
          <w:p w14:paraId="5DC4DC2D"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EU ESR</w:t>
            </w:r>
          </w:p>
        </w:tc>
        <w:tc>
          <w:tcPr>
            <w:tcW w:w="534" w:type="pct"/>
            <w:shd w:val="clear" w:color="auto" w:fill="auto"/>
            <w:noWrap/>
            <w:vAlign w:val="bottom"/>
            <w:hideMark/>
          </w:tcPr>
          <w:p w14:paraId="643F88D5"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ESR</w:t>
            </w:r>
          </w:p>
        </w:tc>
        <w:tc>
          <w:tcPr>
            <w:tcW w:w="534" w:type="pct"/>
            <w:shd w:val="clear" w:color="auto" w:fill="auto"/>
            <w:noWrap/>
            <w:vAlign w:val="bottom"/>
            <w:hideMark/>
          </w:tcPr>
          <w:p w14:paraId="74712F17" w14:textId="77777777" w:rsidR="00520BB7" w:rsidRPr="004D7BEF" w:rsidRDefault="00520BB7" w:rsidP="00D159EB">
            <w:pPr>
              <w:spacing w:after="0" w:line="480" w:lineRule="auto"/>
              <w:rPr>
                <w:rFonts w:ascii="Calibri" w:eastAsia="Times New Roman" w:hAnsi="Calibri" w:cs="Calibri"/>
                <w:color w:val="000000"/>
                <w:lang w:val="en-GB" w:eastAsia="en-GB"/>
              </w:rPr>
            </w:pPr>
          </w:p>
        </w:tc>
        <w:tc>
          <w:tcPr>
            <w:tcW w:w="606" w:type="pct"/>
            <w:shd w:val="clear" w:color="auto" w:fill="auto"/>
            <w:noWrap/>
            <w:vAlign w:val="bottom"/>
            <w:hideMark/>
          </w:tcPr>
          <w:p w14:paraId="35286BC9"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SBTi/ESR</w:t>
            </w:r>
          </w:p>
        </w:tc>
        <w:tc>
          <w:tcPr>
            <w:tcW w:w="593" w:type="pct"/>
            <w:shd w:val="clear" w:color="auto" w:fill="auto"/>
            <w:noWrap/>
            <w:vAlign w:val="bottom"/>
            <w:hideMark/>
          </w:tcPr>
          <w:p w14:paraId="6ABBBD2F" w14:textId="77777777" w:rsidR="00520BB7" w:rsidRPr="004D7BEF" w:rsidRDefault="00520BB7" w:rsidP="00D159EB">
            <w:pPr>
              <w:spacing w:after="0" w:line="480" w:lineRule="auto"/>
              <w:rPr>
                <w:rFonts w:ascii="Calibri" w:eastAsia="Times New Roman" w:hAnsi="Calibri" w:cs="Calibri"/>
                <w:color w:val="000000"/>
                <w:lang w:val="en-GB" w:eastAsia="en-GB"/>
              </w:rPr>
            </w:pPr>
          </w:p>
        </w:tc>
      </w:tr>
      <w:tr w:rsidR="00520BB7" w:rsidRPr="004D7BEF" w14:paraId="5A9B95C1" w14:textId="77777777" w:rsidTr="00D159EB">
        <w:trPr>
          <w:trHeight w:val="300"/>
        </w:trPr>
        <w:tc>
          <w:tcPr>
            <w:tcW w:w="2236" w:type="pct"/>
            <w:shd w:val="clear" w:color="auto" w:fill="auto"/>
            <w:noWrap/>
            <w:vAlign w:val="bottom"/>
            <w:hideMark/>
          </w:tcPr>
          <w:p w14:paraId="50E73388"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498" w:type="pct"/>
            <w:shd w:val="clear" w:color="auto" w:fill="auto"/>
            <w:noWrap/>
            <w:vAlign w:val="bottom"/>
            <w:hideMark/>
          </w:tcPr>
          <w:p w14:paraId="50B0CAB6"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EU ETS</w:t>
            </w:r>
          </w:p>
        </w:tc>
        <w:tc>
          <w:tcPr>
            <w:tcW w:w="534" w:type="pct"/>
            <w:shd w:val="clear" w:color="auto" w:fill="auto"/>
            <w:noWrap/>
            <w:vAlign w:val="bottom"/>
            <w:hideMark/>
          </w:tcPr>
          <w:p w14:paraId="295D8DF2"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ETS</w:t>
            </w:r>
          </w:p>
        </w:tc>
        <w:tc>
          <w:tcPr>
            <w:tcW w:w="534" w:type="pct"/>
            <w:shd w:val="clear" w:color="auto" w:fill="auto"/>
            <w:noWrap/>
            <w:vAlign w:val="bottom"/>
            <w:hideMark/>
          </w:tcPr>
          <w:p w14:paraId="051B50FD"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ETS</w:t>
            </w:r>
          </w:p>
        </w:tc>
        <w:tc>
          <w:tcPr>
            <w:tcW w:w="606" w:type="pct"/>
            <w:shd w:val="clear" w:color="auto" w:fill="auto"/>
            <w:noWrap/>
            <w:vAlign w:val="bottom"/>
            <w:hideMark/>
          </w:tcPr>
          <w:p w14:paraId="03FEA5BF"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SBTi/ETS</w:t>
            </w:r>
          </w:p>
        </w:tc>
        <w:tc>
          <w:tcPr>
            <w:tcW w:w="593" w:type="pct"/>
            <w:shd w:val="clear" w:color="auto" w:fill="auto"/>
            <w:noWrap/>
            <w:vAlign w:val="bottom"/>
            <w:hideMark/>
          </w:tcPr>
          <w:p w14:paraId="5B294DD4" w14:textId="77777777" w:rsidR="00520BB7" w:rsidRPr="004D7BEF" w:rsidRDefault="00520BB7" w:rsidP="00D159EB">
            <w:pPr>
              <w:spacing w:after="0" w:line="480" w:lineRule="auto"/>
              <w:rPr>
                <w:rFonts w:ascii="Calibri" w:eastAsia="Times New Roman" w:hAnsi="Calibri" w:cs="Calibri"/>
                <w:color w:val="000000"/>
                <w:lang w:val="en-GB" w:eastAsia="en-GB"/>
              </w:rPr>
            </w:pPr>
            <w:r w:rsidRPr="004D7BEF">
              <w:rPr>
                <w:rFonts w:ascii="Calibri" w:eastAsia="Times New Roman" w:hAnsi="Calibri" w:cs="Calibri"/>
                <w:color w:val="000000"/>
                <w:lang w:val="en-GB" w:eastAsia="en-GB"/>
              </w:rPr>
              <w:t>SBTi/ETS</w:t>
            </w:r>
          </w:p>
        </w:tc>
      </w:tr>
      <w:tr w:rsidR="00520BB7" w:rsidRPr="004D7BEF" w14:paraId="17594D87" w14:textId="77777777" w:rsidTr="00D159EB">
        <w:trPr>
          <w:trHeight w:val="300"/>
        </w:trPr>
        <w:tc>
          <w:tcPr>
            <w:tcW w:w="2236" w:type="pct"/>
            <w:shd w:val="clear" w:color="auto" w:fill="auto"/>
            <w:noWrap/>
            <w:vAlign w:val="bottom"/>
            <w:hideMark/>
          </w:tcPr>
          <w:p w14:paraId="1DCD01DB"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498" w:type="pct"/>
            <w:shd w:val="clear" w:color="auto" w:fill="auto"/>
            <w:noWrap/>
            <w:vAlign w:val="bottom"/>
            <w:hideMark/>
          </w:tcPr>
          <w:p w14:paraId="5CCCE1E2"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534" w:type="pct"/>
            <w:shd w:val="clear" w:color="auto" w:fill="auto"/>
            <w:noWrap/>
            <w:vAlign w:val="bottom"/>
            <w:hideMark/>
          </w:tcPr>
          <w:p w14:paraId="3B028533"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534" w:type="pct"/>
            <w:shd w:val="clear" w:color="auto" w:fill="auto"/>
            <w:noWrap/>
            <w:vAlign w:val="bottom"/>
            <w:hideMark/>
          </w:tcPr>
          <w:p w14:paraId="6ABCD728"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606" w:type="pct"/>
            <w:shd w:val="clear" w:color="auto" w:fill="auto"/>
            <w:noWrap/>
            <w:vAlign w:val="bottom"/>
            <w:hideMark/>
          </w:tcPr>
          <w:p w14:paraId="69970D5E"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c>
          <w:tcPr>
            <w:tcW w:w="593" w:type="pct"/>
            <w:shd w:val="clear" w:color="auto" w:fill="auto"/>
            <w:noWrap/>
            <w:vAlign w:val="bottom"/>
            <w:hideMark/>
          </w:tcPr>
          <w:p w14:paraId="62E8C84E" w14:textId="77777777" w:rsidR="00520BB7" w:rsidRPr="004D7BEF" w:rsidRDefault="00520BB7" w:rsidP="00D159EB">
            <w:pPr>
              <w:spacing w:after="0" w:line="480" w:lineRule="auto"/>
              <w:rPr>
                <w:rFonts w:ascii="Times New Roman" w:eastAsia="Times New Roman" w:hAnsi="Times New Roman" w:cs="Times New Roman"/>
                <w:sz w:val="20"/>
                <w:szCs w:val="20"/>
                <w:lang w:val="en-GB" w:eastAsia="en-GB"/>
              </w:rPr>
            </w:pPr>
          </w:p>
        </w:tc>
      </w:tr>
    </w:tbl>
    <w:p w14:paraId="57FFEAD0" w14:textId="77777777" w:rsidR="00520BB7" w:rsidRPr="004D7BEF" w:rsidRDefault="00520BB7" w:rsidP="00520BB7">
      <w:pPr>
        <w:spacing w:line="480" w:lineRule="auto"/>
        <w:rPr>
          <w:lang w:val="en-GB"/>
        </w:rPr>
      </w:pPr>
    </w:p>
    <w:p w14:paraId="3EEC14ED" w14:textId="77777777" w:rsidR="0039219A" w:rsidRDefault="0039219A"/>
    <w:sectPr w:rsidR="0039219A" w:rsidSect="00191C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77B71"/>
    <w:multiLevelType w:val="hybridMultilevel"/>
    <w:tmpl w:val="FEF81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2375D"/>
    <w:multiLevelType w:val="multilevel"/>
    <w:tmpl w:val="3B6C15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66347779">
    <w:abstractNumId w:val="0"/>
  </w:num>
  <w:num w:numId="2" w16cid:durableId="449396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B7"/>
    <w:rsid w:val="001142E2"/>
    <w:rsid w:val="00191C66"/>
    <w:rsid w:val="001E2A1F"/>
    <w:rsid w:val="0039219A"/>
    <w:rsid w:val="00442473"/>
    <w:rsid w:val="00520BB7"/>
    <w:rsid w:val="009B54AC"/>
    <w:rsid w:val="00D223EE"/>
    <w:rsid w:val="00D65D5B"/>
    <w:rsid w:val="00DB7926"/>
    <w:rsid w:val="00E71926"/>
    <w:rsid w:val="00F342FA"/>
    <w:rsid w:val="00FA4C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9FF56"/>
  <w15:chartTrackingRefBased/>
  <w15:docId w15:val="{E1DC0D2B-F570-4D99-9802-90F66EBC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BB7"/>
    <w:rPr>
      <w:lang w:val="en-US"/>
    </w:rPr>
  </w:style>
  <w:style w:type="paragraph" w:styleId="Heading1">
    <w:name w:val="heading 1"/>
    <w:basedOn w:val="Normal"/>
    <w:next w:val="Normal"/>
    <w:link w:val="Heading1Char"/>
    <w:autoRedefine/>
    <w:uiPriority w:val="9"/>
    <w:qFormat/>
    <w:rsid w:val="00520BB7"/>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520BB7"/>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autoRedefine/>
    <w:uiPriority w:val="9"/>
    <w:unhideWhenUsed/>
    <w:qFormat/>
    <w:rsid w:val="00520BB7"/>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20BB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20BB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20BB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20BB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20BB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20BB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BB7"/>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520BB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20BB7"/>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520BB7"/>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520BB7"/>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520BB7"/>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520BB7"/>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520BB7"/>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520BB7"/>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520BB7"/>
    <w:pPr>
      <w:ind w:left="720"/>
      <w:contextualSpacing/>
    </w:pPr>
  </w:style>
  <w:style w:type="paragraph" w:styleId="Caption">
    <w:name w:val="caption"/>
    <w:basedOn w:val="Normal"/>
    <w:next w:val="Normal"/>
    <w:uiPriority w:val="35"/>
    <w:unhideWhenUsed/>
    <w:qFormat/>
    <w:rsid w:val="00520BB7"/>
    <w:pPr>
      <w:spacing w:after="200" w:line="240" w:lineRule="auto"/>
    </w:pPr>
    <w:rPr>
      <w:i/>
      <w:iCs/>
      <w:color w:val="44546A" w:themeColor="text2"/>
      <w:sz w:val="18"/>
      <w:szCs w:val="18"/>
    </w:rPr>
  </w:style>
  <w:style w:type="character" w:customStyle="1" w:styleId="cf01">
    <w:name w:val="cf01"/>
    <w:basedOn w:val="DefaultParagraphFont"/>
    <w:rsid w:val="00520BB7"/>
    <w:rPr>
      <w:rFonts w:ascii="Segoe UI" w:hAnsi="Segoe UI" w:cs="Segoe UI" w:hint="default"/>
      <w:sz w:val="18"/>
      <w:szCs w:val="18"/>
    </w:rPr>
  </w:style>
  <w:style w:type="paragraph" w:customStyle="1" w:styleId="Appendix">
    <w:name w:val="Appendix"/>
    <w:basedOn w:val="Heading1"/>
    <w:next w:val="Normal"/>
    <w:qFormat/>
    <w:rsid w:val="00520BB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29697818117443A197E5EE82CA04CC" ma:contentTypeVersion="" ma:contentTypeDescription="Create a new document." ma:contentTypeScope="" ma:versionID="d2bb53f7b618d1e733bb1677f74e2e8f">
  <xsd:schema xmlns:xsd="http://www.w3.org/2001/XMLSchema" xmlns:xs="http://www.w3.org/2001/XMLSchema" xmlns:p="http://schemas.microsoft.com/office/2006/metadata/properties" xmlns:ns2="177c0d21-8603-4dea-bf57-eabd5d6ac44f" xmlns:ns3="9b9cac3f-d052-4a8e-b578-2831aa81724e" targetNamespace="http://schemas.microsoft.com/office/2006/metadata/properties" ma:root="true" ma:fieldsID="f1b9b30168cb44f4e8b55c3f9041387b" ns2:_="" ns3:_="">
    <xsd:import namespace="177c0d21-8603-4dea-bf57-eabd5d6ac44f"/>
    <xsd:import namespace="9b9cac3f-d052-4a8e-b578-2831aa8172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c0d21-8603-4dea-bf57-eabd5d6ac4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e5edfc3-e898-4004-a533-3767783fc3f0}" ma:internalName="TaxCatchAll" ma:showField="CatchAllData" ma:web="177c0d21-8603-4dea-bf57-eabd5d6ac4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9cac3f-d052-4a8e-b578-2831aa8172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ee1ed9-354a-4905-b747-9b1698a9a1a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21CB1A-3BB7-49C5-A0A9-D391F9E43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c0d21-8603-4dea-bf57-eabd5d6ac44f"/>
    <ds:schemaRef ds:uri="9b9cac3f-d052-4a8e-b578-2831aa817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F14DBF-E4AD-449A-A038-F9A057BFFF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1649</Words>
  <Characters>9401</Characters>
  <Application>Microsoft Office Word</Application>
  <DocSecurity>0</DocSecurity>
  <Lines>78</Lines>
  <Paragraphs>22</Paragraphs>
  <ScaleCrop>false</ScaleCrop>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Roelfsema, M.R. (Mark)</dc:creator>
  <cp:keywords/>
  <dc:description/>
  <cp:lastModifiedBy>Roelfsema, M.R. (Mark)</cp:lastModifiedBy>
  <cp:revision>12</cp:revision>
  <dcterms:created xsi:type="dcterms:W3CDTF">2023-03-08T16:41:00Z</dcterms:created>
  <dcterms:modified xsi:type="dcterms:W3CDTF">2023-03-22T17:13:00Z</dcterms:modified>
</cp:coreProperties>
</file>