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AD83C" w14:textId="4C2A62F4" w:rsidR="001E59CB" w:rsidRDefault="001E59CB" w:rsidP="002E37EB">
      <w:pPr>
        <w:jc w:val="center"/>
        <w:rPr>
          <w:rFonts w:ascii="Times New Roman" w:hAnsi="Times New Roman"/>
          <w:b/>
          <w:bCs/>
          <w:sz w:val="28"/>
          <w:szCs w:val="28"/>
        </w:rPr>
      </w:pPr>
      <w:r w:rsidRPr="00BB5D45">
        <w:rPr>
          <w:rFonts w:ascii="Times New Roman" w:hAnsi="Times New Roman"/>
          <w:b/>
          <w:bCs/>
          <w:sz w:val="28"/>
          <w:szCs w:val="28"/>
        </w:rPr>
        <w:t xml:space="preserve">Supplementary </w:t>
      </w:r>
      <w:r w:rsidR="00E26562">
        <w:rPr>
          <w:rFonts w:ascii="Times New Roman" w:hAnsi="Times New Roman"/>
          <w:b/>
          <w:bCs/>
          <w:sz w:val="28"/>
          <w:szCs w:val="28"/>
        </w:rPr>
        <w:t>M</w:t>
      </w:r>
      <w:r w:rsidRPr="00BB5D45">
        <w:rPr>
          <w:rFonts w:ascii="Times New Roman" w:hAnsi="Times New Roman"/>
          <w:b/>
          <w:bCs/>
          <w:sz w:val="28"/>
          <w:szCs w:val="28"/>
        </w:rPr>
        <w:t xml:space="preserve">aterial </w:t>
      </w:r>
      <w:r w:rsidR="00E26562">
        <w:rPr>
          <w:rFonts w:ascii="Times New Roman" w:hAnsi="Times New Roman"/>
          <w:b/>
          <w:bCs/>
          <w:sz w:val="28"/>
          <w:szCs w:val="28"/>
        </w:rPr>
        <w:t>F</w:t>
      </w:r>
      <w:r w:rsidRPr="00BB5D45">
        <w:rPr>
          <w:rFonts w:ascii="Times New Roman" w:hAnsi="Times New Roman"/>
          <w:b/>
          <w:bCs/>
          <w:sz w:val="28"/>
          <w:szCs w:val="28"/>
        </w:rPr>
        <w:t>ile</w:t>
      </w:r>
    </w:p>
    <w:p w14:paraId="01EF5443" w14:textId="77777777" w:rsidR="002E37EB" w:rsidRDefault="002E37EB" w:rsidP="002E37EB">
      <w:pPr>
        <w:jc w:val="center"/>
        <w:rPr>
          <w:rFonts w:ascii="Times New Roman" w:hAnsi="Times New Roman"/>
          <w:b/>
          <w:bCs/>
          <w:sz w:val="28"/>
          <w:szCs w:val="28"/>
        </w:rPr>
      </w:pPr>
    </w:p>
    <w:p w14:paraId="5530CE3D" w14:textId="1FDFAE8E" w:rsidR="002E3935" w:rsidRPr="00B5376D" w:rsidRDefault="002E3935" w:rsidP="004A798D">
      <w:pPr>
        <w:spacing w:line="360" w:lineRule="auto"/>
        <w:ind w:firstLine="567"/>
        <w:jc w:val="center"/>
        <w:rPr>
          <w:rFonts w:ascii="Times New Roman" w:eastAsia="Times New Roman" w:hAnsi="Times New Roman"/>
          <w:sz w:val="32"/>
          <w:szCs w:val="32"/>
        </w:rPr>
      </w:pPr>
      <w:r>
        <w:rPr>
          <w:rFonts w:ascii="Times New Roman" w:eastAsia="Times New Roman" w:hAnsi="Times New Roman"/>
          <w:sz w:val="32"/>
          <w:szCs w:val="32"/>
        </w:rPr>
        <w:t xml:space="preserve">Enhanced electrocatalytic </w:t>
      </w:r>
      <w:r w:rsidRPr="00BF4F52">
        <w:rPr>
          <w:rFonts w:ascii="Times New Roman" w:eastAsia="Times New Roman" w:hAnsi="Times New Roman"/>
          <w:sz w:val="32"/>
          <w:szCs w:val="32"/>
        </w:rPr>
        <w:t>activity</w:t>
      </w:r>
      <w:r w:rsidR="009E1BAB">
        <w:rPr>
          <w:rFonts w:ascii="Times New Roman" w:eastAsia="Times New Roman" w:hAnsi="Times New Roman"/>
          <w:sz w:val="32"/>
          <w:szCs w:val="32"/>
        </w:rPr>
        <w:t xml:space="preserve"> of</w:t>
      </w:r>
      <w:r>
        <w:rPr>
          <w:rFonts w:ascii="Times New Roman" w:eastAsia="Times New Roman" w:hAnsi="Times New Roman"/>
          <w:sz w:val="32"/>
          <w:szCs w:val="32"/>
        </w:rPr>
        <w:t xml:space="preserve"> </w:t>
      </w:r>
      <w:r w:rsidRPr="00BF4F52">
        <w:rPr>
          <w:rFonts w:ascii="Times New Roman" w:eastAsia="Times New Roman" w:hAnsi="Times New Roman"/>
          <w:sz w:val="32"/>
          <w:szCs w:val="32"/>
        </w:rPr>
        <w:t>Fluorine Doped Tin Oxide (FTO)</w:t>
      </w:r>
      <w:r>
        <w:rPr>
          <w:rFonts w:ascii="Times New Roman" w:eastAsia="Times New Roman" w:hAnsi="Times New Roman"/>
          <w:sz w:val="32"/>
          <w:szCs w:val="32"/>
        </w:rPr>
        <w:t xml:space="preserve"> by </w:t>
      </w:r>
      <w:r w:rsidRPr="00B5376D">
        <w:rPr>
          <w:rFonts w:ascii="Times New Roman" w:eastAsia="Times New Roman" w:hAnsi="Times New Roman"/>
          <w:sz w:val="32"/>
          <w:szCs w:val="32"/>
        </w:rPr>
        <w:t>Trimetallic spinel ZnMnFeO</w:t>
      </w:r>
      <w:r w:rsidRPr="00BF4F52">
        <w:rPr>
          <w:rFonts w:ascii="Times New Roman" w:eastAsia="Times New Roman" w:hAnsi="Times New Roman"/>
          <w:sz w:val="32"/>
          <w:szCs w:val="32"/>
          <w:vertAlign w:val="subscript"/>
        </w:rPr>
        <w:t>4</w:t>
      </w:r>
      <w:r w:rsidRPr="00B5376D">
        <w:rPr>
          <w:rFonts w:ascii="Times New Roman" w:eastAsia="Times New Roman" w:hAnsi="Times New Roman"/>
          <w:sz w:val="32"/>
          <w:szCs w:val="32"/>
        </w:rPr>
        <w:t>/CoMnFeO</w:t>
      </w:r>
      <w:r w:rsidRPr="00BF4F52">
        <w:rPr>
          <w:rFonts w:ascii="Times New Roman" w:eastAsia="Times New Roman" w:hAnsi="Times New Roman"/>
          <w:sz w:val="32"/>
          <w:szCs w:val="32"/>
          <w:vertAlign w:val="subscript"/>
        </w:rPr>
        <w:t>4</w:t>
      </w:r>
      <w:r w:rsidRPr="00B5376D">
        <w:rPr>
          <w:rFonts w:ascii="Times New Roman" w:eastAsia="Times New Roman" w:hAnsi="Times New Roman"/>
          <w:sz w:val="32"/>
          <w:szCs w:val="32"/>
        </w:rPr>
        <w:t xml:space="preserve"> nanoparticles as a novel electrochemical sensor </w:t>
      </w:r>
      <w:bookmarkStart w:id="0" w:name="_GoBack"/>
      <w:bookmarkEnd w:id="0"/>
    </w:p>
    <w:p w14:paraId="4C64D2A6" w14:textId="77777777" w:rsidR="002E3935" w:rsidRDefault="002E3935" w:rsidP="002E3935">
      <w:pPr>
        <w:spacing w:before="240" w:after="240" w:line="360" w:lineRule="auto"/>
        <w:jc w:val="both"/>
        <w:rPr>
          <w:rFonts w:asciiTheme="majorBidi" w:eastAsia="Times New Roman" w:hAnsiTheme="majorBidi" w:cstheme="majorBidi"/>
          <w:b/>
          <w:bCs/>
          <w:color w:val="000000"/>
          <w:sz w:val="24"/>
          <w:szCs w:val="24"/>
        </w:rPr>
      </w:pPr>
    </w:p>
    <w:p w14:paraId="52F21800" w14:textId="77777777" w:rsidR="002E3935" w:rsidRPr="00B5376D" w:rsidRDefault="004959B0" w:rsidP="002E3935">
      <w:pPr>
        <w:pStyle w:val="Authors"/>
        <w:adjustRightInd w:val="0"/>
        <w:snapToGrid w:val="0"/>
        <w:spacing w:line="360" w:lineRule="auto"/>
        <w:rPr>
          <w:i/>
          <w:iCs/>
          <w:color w:val="000000"/>
          <w:lang w:eastAsia="zh-CN"/>
        </w:rPr>
      </w:pPr>
      <w:hyperlink r:id="rId7" w:history="1">
        <w:r w:rsidR="002E3935" w:rsidRPr="00B5376D">
          <w:rPr>
            <w:i/>
            <w:iCs/>
            <w:color w:val="000000"/>
            <w:lang w:eastAsia="zh-CN"/>
          </w:rPr>
          <w:t>Jalal Niazi Saei</w:t>
        </w:r>
      </w:hyperlink>
      <w:r w:rsidR="002E3935" w:rsidRPr="00B5376D">
        <w:rPr>
          <w:i/>
          <w:iCs/>
          <w:color w:val="000000"/>
          <w:vertAlign w:val="superscript"/>
          <w:lang w:eastAsia="zh-CN"/>
        </w:rPr>
        <w:t>1</w:t>
      </w:r>
      <w:r w:rsidR="002E3935" w:rsidRPr="00B5376D">
        <w:rPr>
          <w:i/>
          <w:iCs/>
          <w:color w:val="000000"/>
          <w:lang w:eastAsia="zh-CN"/>
        </w:rPr>
        <w:t>, Karim Asadpour-Zeynali</w:t>
      </w:r>
      <w:r w:rsidR="002E3935" w:rsidRPr="00B5376D">
        <w:rPr>
          <w:i/>
          <w:iCs/>
          <w:color w:val="000000"/>
          <w:vertAlign w:val="superscript"/>
          <w:lang w:eastAsia="zh-CN"/>
        </w:rPr>
        <w:t>1,2</w:t>
      </w:r>
      <w:r w:rsidR="002E3935" w:rsidRPr="00B5376D">
        <w:rPr>
          <w:i/>
          <w:iCs/>
          <w:vertAlign w:val="superscript"/>
          <w:lang w:eastAsia="zh-CN"/>
        </w:rPr>
        <w:footnoteReference w:customMarkFollows="1" w:id="1"/>
        <w:sym w:font="Symbol" w:char="F02A"/>
      </w:r>
    </w:p>
    <w:p w14:paraId="2C8F8ED8" w14:textId="77777777" w:rsidR="002E3935" w:rsidRPr="0087673F" w:rsidRDefault="002E3935" w:rsidP="002E3935">
      <w:pPr>
        <w:autoSpaceDE w:val="0"/>
        <w:autoSpaceDN w:val="0"/>
        <w:adjustRightInd w:val="0"/>
        <w:jc w:val="center"/>
        <w:rPr>
          <w:rFonts w:ascii="Times New Roman" w:hAnsi="Times New Roman"/>
          <w:i/>
          <w:iCs/>
          <w:color w:val="000000"/>
          <w:sz w:val="24"/>
          <w:szCs w:val="24"/>
          <w:lang w:bidi="fa-IR"/>
        </w:rPr>
      </w:pPr>
      <w:r w:rsidRPr="0087673F">
        <w:rPr>
          <w:rFonts w:ascii="Times New Roman" w:hAnsi="Times New Roman"/>
          <w:i/>
          <w:iCs/>
          <w:color w:val="000000"/>
          <w:sz w:val="24"/>
          <w:szCs w:val="24"/>
          <w:vertAlign w:val="superscript"/>
          <w:lang w:bidi="fa-IR"/>
        </w:rPr>
        <w:t>1</w:t>
      </w:r>
      <w:r w:rsidRPr="0087673F">
        <w:rPr>
          <w:rFonts w:ascii="Times New Roman" w:hAnsi="Times New Roman"/>
          <w:i/>
          <w:iCs/>
          <w:color w:val="000000"/>
          <w:sz w:val="24"/>
          <w:szCs w:val="24"/>
          <w:lang w:bidi="fa-IR"/>
        </w:rPr>
        <w:t>Department of Analytical Chemistry, Faculty of Chemistry, University of Tabriz, Tabriz 51666-16471, Iran</w:t>
      </w:r>
    </w:p>
    <w:p w14:paraId="1A67BBF4" w14:textId="77777777" w:rsidR="002E3935" w:rsidRPr="0087673F" w:rsidRDefault="002E3935" w:rsidP="002E3935">
      <w:pPr>
        <w:autoSpaceDE w:val="0"/>
        <w:autoSpaceDN w:val="0"/>
        <w:adjustRightInd w:val="0"/>
        <w:jc w:val="center"/>
        <w:rPr>
          <w:rFonts w:ascii="Times New Roman" w:hAnsi="Times New Roman"/>
          <w:i/>
          <w:iCs/>
          <w:color w:val="000000"/>
          <w:sz w:val="24"/>
          <w:szCs w:val="24"/>
          <w:lang w:bidi="fa-IR"/>
        </w:rPr>
      </w:pPr>
      <w:r w:rsidRPr="0087673F">
        <w:rPr>
          <w:rFonts w:ascii="Times New Roman" w:hAnsi="Times New Roman"/>
          <w:i/>
          <w:iCs/>
          <w:color w:val="000000"/>
          <w:sz w:val="24"/>
          <w:szCs w:val="24"/>
          <w:vertAlign w:val="superscript"/>
          <w:lang w:bidi="fa-IR"/>
        </w:rPr>
        <w:t>2</w:t>
      </w:r>
      <w:r w:rsidRPr="0087673F">
        <w:rPr>
          <w:rFonts w:ascii="Times New Roman" w:hAnsi="Times New Roman"/>
          <w:i/>
          <w:iCs/>
          <w:color w:val="000000"/>
          <w:sz w:val="24"/>
          <w:szCs w:val="24"/>
          <w:lang w:bidi="fa-IR"/>
        </w:rPr>
        <w:t xml:space="preserve">Pharmaceutical Analysis Research </w:t>
      </w:r>
      <w:proofErr w:type="spellStart"/>
      <w:r w:rsidRPr="0087673F">
        <w:rPr>
          <w:rFonts w:ascii="Times New Roman" w:hAnsi="Times New Roman"/>
          <w:i/>
          <w:iCs/>
          <w:color w:val="000000"/>
          <w:sz w:val="24"/>
          <w:szCs w:val="24"/>
          <w:lang w:bidi="fa-IR"/>
        </w:rPr>
        <w:t>Center</w:t>
      </w:r>
      <w:proofErr w:type="spellEnd"/>
      <w:r w:rsidRPr="0087673F">
        <w:rPr>
          <w:rFonts w:ascii="Times New Roman" w:hAnsi="Times New Roman"/>
          <w:i/>
          <w:iCs/>
          <w:color w:val="000000"/>
          <w:sz w:val="24"/>
          <w:szCs w:val="24"/>
          <w:lang w:bidi="fa-IR"/>
        </w:rPr>
        <w:t>, Faculty of Pharmacy, Tabriz University of Medical Sciences, Tabriz 51664, Iran</w:t>
      </w:r>
    </w:p>
    <w:p w14:paraId="761C28E1" w14:textId="1122CE5A" w:rsidR="00471463" w:rsidRPr="001E59CB" w:rsidRDefault="001E59CB" w:rsidP="002E37EB">
      <w:pPr>
        <w:spacing w:after="160" w:line="259" w:lineRule="auto"/>
        <w:jc w:val="lowKashida"/>
        <w:rPr>
          <w:rFonts w:ascii="Times New Roman" w:hAnsi="Times New Roman"/>
          <w:b/>
          <w:bCs/>
          <w:sz w:val="28"/>
          <w:szCs w:val="28"/>
        </w:rPr>
      </w:pPr>
      <w:r>
        <w:rPr>
          <w:rFonts w:ascii="Times New Roman" w:hAnsi="Times New Roman"/>
          <w:b/>
          <w:bCs/>
          <w:sz w:val="28"/>
          <w:szCs w:val="28"/>
        </w:rPr>
        <w:br w:type="page"/>
      </w:r>
    </w:p>
    <w:p w14:paraId="4B6096D6" w14:textId="2403EDDB" w:rsidR="00471463" w:rsidRPr="006560CF" w:rsidRDefault="00471463" w:rsidP="006560CF">
      <w:pPr>
        <w:numPr>
          <w:ilvl w:val="1"/>
          <w:numId w:val="1"/>
        </w:numPr>
        <w:spacing w:before="240" w:after="240" w:line="360" w:lineRule="auto"/>
        <w:ind w:left="778" w:hanging="418"/>
        <w:jc w:val="lowKashida"/>
        <w:rPr>
          <w:rFonts w:ascii="Times New Roman" w:eastAsia="Times New Roman" w:hAnsi="Times New Roman"/>
          <w:b/>
          <w:bCs/>
          <w:color w:val="000000"/>
          <w:sz w:val="24"/>
          <w:szCs w:val="24"/>
          <w:lang w:val="en-US"/>
        </w:rPr>
      </w:pPr>
      <w:r w:rsidRPr="006560CF">
        <w:rPr>
          <w:rFonts w:asciiTheme="majorBidi" w:hAnsiTheme="majorBidi" w:cstheme="majorBidi"/>
          <w:b/>
          <w:bCs/>
          <w:sz w:val="24"/>
          <w:szCs w:val="24"/>
        </w:rPr>
        <w:lastRenderedPageBreak/>
        <w:t>Apparatus and software</w:t>
      </w:r>
    </w:p>
    <w:p w14:paraId="5D5AA3CC" w14:textId="6D595B43" w:rsidR="00471463" w:rsidRPr="006560CF" w:rsidRDefault="00471463" w:rsidP="006560CF">
      <w:pPr>
        <w:autoSpaceDE w:val="0"/>
        <w:autoSpaceDN w:val="0"/>
        <w:adjustRightInd w:val="0"/>
        <w:spacing w:before="240" w:after="240" w:line="360" w:lineRule="auto"/>
        <w:jc w:val="lowKashida"/>
        <w:rPr>
          <w:rFonts w:ascii="Times New Roman" w:eastAsia="GulliverRM" w:hAnsi="Times New Roman"/>
          <w:color w:val="000000"/>
          <w:lang w:val="en-US" w:bidi="fa-IR"/>
        </w:rPr>
      </w:pPr>
      <w:r w:rsidRPr="006560CF">
        <w:rPr>
          <w:rFonts w:ascii="Times New Roman" w:eastAsia="GulliverRM" w:hAnsi="Times New Roman"/>
          <w:color w:val="000000"/>
          <w:lang w:val="en-US" w:bidi="fa-IR"/>
        </w:rPr>
        <w:t>All electrochemical</w:t>
      </w:r>
      <w:r w:rsidR="000B24FD">
        <w:rPr>
          <w:rFonts w:ascii="Times New Roman" w:eastAsia="GulliverRM" w:hAnsi="Times New Roman"/>
          <w:color w:val="000000"/>
          <w:lang w:val="en-US" w:bidi="fa-IR"/>
        </w:rPr>
        <w:t xml:space="preserve"> experiment</w:t>
      </w:r>
      <w:r w:rsidRPr="006560CF">
        <w:rPr>
          <w:rFonts w:ascii="Times New Roman" w:eastAsia="GulliverRM" w:hAnsi="Times New Roman"/>
          <w:color w:val="000000"/>
          <w:lang w:val="en-US" w:bidi="fa-IR"/>
        </w:rPr>
        <w:t xml:space="preserve">s were conducted without eliminating dissolved </w:t>
      </w:r>
      <w:r w:rsidR="00642520">
        <w:rPr>
          <w:rFonts w:ascii="Times New Roman" w:eastAsia="GulliverRM" w:hAnsi="Times New Roman"/>
          <w:color w:val="000000"/>
          <w:lang w:val="en-US" w:bidi="fa-IR"/>
        </w:rPr>
        <w:t>O</w:t>
      </w:r>
      <w:r w:rsidR="00642520">
        <w:rPr>
          <w:rFonts w:ascii="Times New Roman" w:eastAsia="GulliverRM" w:hAnsi="Times New Roman"/>
          <w:color w:val="000000"/>
          <w:vertAlign w:val="subscript"/>
          <w:lang w:val="en-US" w:bidi="fa-IR"/>
        </w:rPr>
        <w:t>2</w:t>
      </w:r>
      <w:r w:rsidRPr="006560CF">
        <w:rPr>
          <w:rFonts w:ascii="Times New Roman" w:eastAsia="GulliverRM" w:hAnsi="Times New Roman"/>
          <w:color w:val="000000"/>
          <w:lang w:val="en-US" w:bidi="fa-IR"/>
        </w:rPr>
        <w:t xml:space="preserve"> at </w:t>
      </w:r>
      <w:r w:rsidR="000B24FD">
        <w:rPr>
          <w:rFonts w:ascii="Times New Roman" w:eastAsia="GulliverRM" w:hAnsi="Times New Roman"/>
          <w:color w:val="000000"/>
          <w:lang w:val="en-US" w:bidi="fa-IR"/>
        </w:rPr>
        <w:t>room</w:t>
      </w:r>
      <w:r w:rsidRPr="006560CF">
        <w:rPr>
          <w:rFonts w:ascii="Times New Roman" w:eastAsia="GulliverRM" w:hAnsi="Times New Roman"/>
          <w:color w:val="000000"/>
          <w:lang w:val="en-US" w:bidi="fa-IR"/>
        </w:rPr>
        <w:t xml:space="preserve"> temperature. In order to measure the pH, a digital pH meter (model </w:t>
      </w:r>
      <w:proofErr w:type="spellStart"/>
      <w:r w:rsidRPr="006560CF">
        <w:rPr>
          <w:rFonts w:ascii="Times New Roman" w:eastAsia="GulliverRM" w:hAnsi="Times New Roman"/>
          <w:color w:val="000000"/>
          <w:lang w:val="en-US" w:bidi="fa-IR"/>
        </w:rPr>
        <w:t>Metrohm</w:t>
      </w:r>
      <w:proofErr w:type="spellEnd"/>
      <w:r w:rsidRPr="006560CF">
        <w:rPr>
          <w:rFonts w:ascii="Times New Roman" w:eastAsia="GulliverRM" w:hAnsi="Times New Roman"/>
          <w:color w:val="000000"/>
          <w:lang w:val="en-US" w:bidi="fa-IR"/>
        </w:rPr>
        <w:t xml:space="preserve"> 827 pH meter) was employed. A three-electrode </w:t>
      </w:r>
      <w:r w:rsidR="00F021D6">
        <w:rPr>
          <w:rFonts w:ascii="Times New Roman" w:eastAsia="GulliverRM" w:hAnsi="Times New Roman"/>
          <w:color w:val="000000"/>
          <w:lang w:val="en-US" w:bidi="fa-IR"/>
        </w:rPr>
        <w:t>system</w:t>
      </w:r>
      <w:r w:rsidRPr="006560CF">
        <w:rPr>
          <w:rFonts w:ascii="Times New Roman" w:eastAsia="GulliverRM" w:hAnsi="Times New Roman"/>
          <w:color w:val="000000"/>
          <w:lang w:val="en-US" w:bidi="fa-IR"/>
        </w:rPr>
        <w:t xml:space="preserve"> has been applied for electrochemical </w:t>
      </w:r>
      <w:r w:rsidR="00642520">
        <w:rPr>
          <w:rFonts w:ascii="Times New Roman" w:eastAsia="GulliverRM" w:hAnsi="Times New Roman"/>
          <w:color w:val="000000"/>
          <w:lang w:val="en-US" w:bidi="fa-IR"/>
        </w:rPr>
        <w:t>measurement</w:t>
      </w:r>
      <w:r w:rsidR="00642520" w:rsidRPr="006560CF">
        <w:rPr>
          <w:rFonts w:ascii="Times New Roman" w:eastAsia="GulliverRM" w:hAnsi="Times New Roman"/>
          <w:color w:val="000000"/>
          <w:lang w:val="en-US" w:bidi="fa-IR"/>
        </w:rPr>
        <w:t>s</w:t>
      </w:r>
      <w:r w:rsidRPr="006560CF">
        <w:rPr>
          <w:rFonts w:ascii="Times New Roman" w:eastAsia="GulliverRM" w:hAnsi="Times New Roman"/>
          <w:color w:val="000000"/>
          <w:lang w:val="en-US" w:bidi="fa-IR"/>
        </w:rPr>
        <w:t xml:space="preserve"> </w:t>
      </w:r>
      <w:r w:rsidR="00F021D6">
        <w:rPr>
          <w:rFonts w:ascii="Times New Roman" w:eastAsia="GulliverRM" w:hAnsi="Times New Roman"/>
          <w:color w:val="000000"/>
          <w:lang w:val="en-US" w:bidi="fa-IR"/>
        </w:rPr>
        <w:t>contain</w:t>
      </w:r>
      <w:r w:rsidRPr="006560CF">
        <w:rPr>
          <w:rFonts w:ascii="Times New Roman" w:eastAsia="GulliverRM" w:hAnsi="Times New Roman"/>
          <w:color w:val="000000"/>
          <w:lang w:val="en-US" w:bidi="fa-IR"/>
        </w:rPr>
        <w:t xml:space="preserve">ing modified fluorine doped tin oxide (FTO) with ZnMnFeO4/CoMnFeO4 nanoparticles (FTO) as the working electrode. FTO glass substrate has been bought from Nano </w:t>
      </w:r>
      <w:proofErr w:type="spellStart"/>
      <w:r w:rsidRPr="006560CF">
        <w:rPr>
          <w:rFonts w:ascii="Times New Roman" w:eastAsia="GulliverRM" w:hAnsi="Times New Roman"/>
          <w:color w:val="000000"/>
          <w:lang w:val="en-US" w:bidi="fa-IR"/>
        </w:rPr>
        <w:t>Gostar</w:t>
      </w:r>
      <w:proofErr w:type="spellEnd"/>
      <w:r w:rsidRPr="006560CF">
        <w:rPr>
          <w:rFonts w:ascii="Times New Roman" w:eastAsia="GulliverRM" w:hAnsi="Times New Roman"/>
          <w:color w:val="000000"/>
          <w:lang w:val="en-US" w:bidi="fa-IR"/>
        </w:rPr>
        <w:t xml:space="preserve"> Company of Iran, Isfahan. the saturated calomel (SCE) as the reference electrode and as an auxiliary electrode, a Pt wire which is Immersed Directly in solution has been used respectively. All potentials are re</w:t>
      </w:r>
      <w:r w:rsidR="00D626C3">
        <w:rPr>
          <w:rFonts w:ascii="Times New Roman" w:eastAsia="GulliverRM" w:hAnsi="Times New Roman"/>
          <w:color w:val="000000"/>
          <w:lang w:val="en-US" w:bidi="fa-IR"/>
        </w:rPr>
        <w:t>ported</w:t>
      </w:r>
      <w:r w:rsidRPr="006560CF">
        <w:rPr>
          <w:rFonts w:ascii="Times New Roman" w:eastAsia="GulliverRM" w:hAnsi="Times New Roman"/>
          <w:color w:val="000000"/>
          <w:lang w:val="en-US" w:bidi="fa-IR"/>
        </w:rPr>
        <w:t xml:space="preserve"> </w:t>
      </w:r>
      <w:r w:rsidR="00E41FD2">
        <w:rPr>
          <w:rFonts w:ascii="Times New Roman" w:eastAsia="GulliverRM" w:hAnsi="Times New Roman"/>
          <w:color w:val="000000"/>
          <w:lang w:val="en-US" w:bidi="fa-IR"/>
        </w:rPr>
        <w:t>comparative</w:t>
      </w:r>
      <w:r w:rsidRPr="006560CF">
        <w:rPr>
          <w:rFonts w:ascii="Times New Roman" w:eastAsia="GulliverRM" w:hAnsi="Times New Roman"/>
          <w:color w:val="000000"/>
          <w:lang w:val="en-US" w:bidi="fa-IR"/>
        </w:rPr>
        <w:t xml:space="preserve"> to the reference electrode. Electrochemical </w:t>
      </w:r>
      <w:r w:rsidR="00E41FD2">
        <w:rPr>
          <w:rFonts w:ascii="Times New Roman" w:eastAsia="GulliverRM" w:hAnsi="Times New Roman"/>
          <w:color w:val="000000"/>
          <w:lang w:val="en-US" w:bidi="fa-IR"/>
        </w:rPr>
        <w:t>measurement</w:t>
      </w:r>
      <w:r w:rsidRPr="006560CF">
        <w:rPr>
          <w:rFonts w:ascii="Times New Roman" w:eastAsia="GulliverRM" w:hAnsi="Times New Roman"/>
          <w:color w:val="000000"/>
          <w:lang w:val="en-US" w:bidi="fa-IR"/>
        </w:rPr>
        <w:t xml:space="preserve">s were carried out by employing a </w:t>
      </w:r>
      <w:proofErr w:type="spellStart"/>
      <w:r w:rsidRPr="006560CF">
        <w:rPr>
          <w:rFonts w:ascii="Times New Roman" w:eastAsia="GulliverRM" w:hAnsi="Times New Roman"/>
          <w:color w:val="000000"/>
          <w:lang w:val="en-US" w:bidi="fa-IR"/>
        </w:rPr>
        <w:t>Metrohm</w:t>
      </w:r>
      <w:proofErr w:type="spellEnd"/>
      <w:r w:rsidRPr="006560CF">
        <w:rPr>
          <w:rFonts w:ascii="Times New Roman" w:eastAsia="GulliverRM" w:hAnsi="Times New Roman"/>
          <w:color w:val="000000"/>
          <w:lang w:val="en-US" w:bidi="fa-IR"/>
        </w:rPr>
        <w:t xml:space="preserve"> 757 VA processed computer electrochemical workstation that has been equipped with a three-electrode cell.</w:t>
      </w:r>
    </w:p>
    <w:p w14:paraId="753BE004" w14:textId="19F00389" w:rsidR="001D7243" w:rsidRPr="006560CF" w:rsidRDefault="00444B4E" w:rsidP="00606E71">
      <w:pPr>
        <w:spacing w:line="360" w:lineRule="auto"/>
        <w:ind w:firstLine="360"/>
        <w:jc w:val="lowKashida"/>
        <w:rPr>
          <w:rFonts w:asciiTheme="majorBidi" w:hAnsiTheme="majorBidi" w:cstheme="majorBidi"/>
          <w:lang w:bidi="fa-IR"/>
        </w:rPr>
      </w:pPr>
      <w:r w:rsidRPr="00444B4E">
        <w:rPr>
          <w:rFonts w:asciiTheme="majorBidi" w:hAnsiTheme="majorBidi" w:cstheme="majorBidi"/>
          <w:lang w:bidi="fa-IR"/>
        </w:rPr>
        <w:t xml:space="preserve">With the aim of verification of the associated bands' identification, the Fourier-transform infrared (FT-IR) spectra were recorded on a Bruker Optics TENSOR 27 spectrometer. The structure of crystalline and the purity of the spinel oxides phase were discerned by making use of the X-ray diffraction (XRD) technique its patterns were recorded with Phillips PW 1730 instrument (Eindhoven, Netherlands) with Cu-Kα radiation (λ = 0.154056 nm). Field emission scanning electron microscopy (FESEM) equipped with energy-dispersive X-ray spectroscopy (EDX) enforced on </w:t>
      </w:r>
      <w:proofErr w:type="spellStart"/>
      <w:r w:rsidRPr="00444B4E">
        <w:rPr>
          <w:rFonts w:asciiTheme="majorBidi" w:hAnsiTheme="majorBidi" w:cstheme="majorBidi"/>
          <w:lang w:bidi="fa-IR"/>
        </w:rPr>
        <w:t>Tescan</w:t>
      </w:r>
      <w:proofErr w:type="spellEnd"/>
      <w:r w:rsidRPr="00444B4E">
        <w:rPr>
          <w:rFonts w:asciiTheme="majorBidi" w:hAnsiTheme="majorBidi" w:cstheme="majorBidi"/>
          <w:lang w:bidi="fa-IR"/>
        </w:rPr>
        <w:t xml:space="preserve"> Mira 3 FESEM with the gold coating system to examine the morphological observation and elemental composition of the developed and prepared sample. Moreover, the transmission electron microscopy (TEM) method is enforced on the Zeiss EM-10C microscope (Germany) at an accelerating voltage of 100 kV was operated to </w:t>
      </w:r>
      <w:proofErr w:type="spellStart"/>
      <w:r w:rsidRPr="00444B4E">
        <w:rPr>
          <w:rFonts w:asciiTheme="majorBidi" w:hAnsiTheme="majorBidi" w:cstheme="majorBidi"/>
          <w:lang w:bidi="fa-IR"/>
        </w:rPr>
        <w:t>analyze</w:t>
      </w:r>
      <w:proofErr w:type="spellEnd"/>
      <w:r w:rsidRPr="00444B4E">
        <w:rPr>
          <w:rFonts w:asciiTheme="majorBidi" w:hAnsiTheme="majorBidi" w:cstheme="majorBidi"/>
          <w:lang w:bidi="fa-IR"/>
        </w:rPr>
        <w:t xml:space="preserve"> the particle size and textural features. Besides, an ultrasonic bath (FALC, Italy) was utilized to clean the electrode surface.</w:t>
      </w:r>
    </w:p>
    <w:p w14:paraId="0CDECB52" w14:textId="5FE66A24" w:rsidR="00471463" w:rsidRPr="006560CF" w:rsidRDefault="00471463" w:rsidP="006560CF">
      <w:pPr>
        <w:numPr>
          <w:ilvl w:val="1"/>
          <w:numId w:val="1"/>
        </w:numPr>
        <w:spacing w:before="240" w:after="240" w:line="360" w:lineRule="auto"/>
        <w:ind w:left="778" w:hanging="418"/>
        <w:jc w:val="lowKashida"/>
        <w:rPr>
          <w:rFonts w:ascii="Times New Roman" w:eastAsia="Times New Roman" w:hAnsi="Times New Roman"/>
          <w:b/>
          <w:bCs/>
          <w:color w:val="000000"/>
          <w:sz w:val="24"/>
          <w:szCs w:val="24"/>
          <w:lang w:val="en-US"/>
        </w:rPr>
      </w:pPr>
      <w:r w:rsidRPr="006560CF">
        <w:rPr>
          <w:rFonts w:asciiTheme="majorBidi" w:hAnsiTheme="majorBidi" w:cstheme="majorBidi"/>
          <w:b/>
          <w:bCs/>
          <w:sz w:val="24"/>
          <w:szCs w:val="24"/>
        </w:rPr>
        <w:t>Reagents and solutions</w:t>
      </w:r>
    </w:p>
    <w:p w14:paraId="4459305B" w14:textId="42591BE0" w:rsidR="00C56E03" w:rsidRPr="006560CF" w:rsidRDefault="00471463" w:rsidP="006560CF">
      <w:pPr>
        <w:spacing w:before="240" w:after="240" w:line="360" w:lineRule="auto"/>
        <w:jc w:val="lowKashida"/>
        <w:rPr>
          <w:rFonts w:asciiTheme="majorBidi" w:hAnsiTheme="majorBidi" w:cstheme="majorBidi"/>
        </w:rPr>
      </w:pPr>
      <w:r w:rsidRPr="006560CF">
        <w:rPr>
          <w:rFonts w:asciiTheme="majorBidi" w:hAnsiTheme="majorBidi" w:cstheme="majorBidi"/>
        </w:rPr>
        <w:t>Hydrazine</w:t>
      </w:r>
      <w:r w:rsidR="005549D1">
        <w:rPr>
          <w:rFonts w:asciiTheme="majorBidi" w:hAnsiTheme="majorBidi" w:cstheme="majorBidi"/>
        </w:rPr>
        <w:t xml:space="preserve"> (HZ)</w:t>
      </w:r>
      <w:r w:rsidRPr="006560CF">
        <w:rPr>
          <w:rFonts w:asciiTheme="majorBidi" w:hAnsiTheme="majorBidi" w:cstheme="majorBidi"/>
        </w:rPr>
        <w:t>, Iron (III) nitrate nonahydrate (</w:t>
      </w:r>
      <w:proofErr w:type="gramStart"/>
      <w:r w:rsidRPr="006560CF">
        <w:rPr>
          <w:rFonts w:asciiTheme="majorBidi" w:hAnsiTheme="majorBidi" w:cstheme="majorBidi"/>
        </w:rPr>
        <w:t>Fe(</w:t>
      </w:r>
      <w:proofErr w:type="gramEnd"/>
      <w:r w:rsidRPr="006560CF">
        <w:rPr>
          <w:rFonts w:asciiTheme="majorBidi" w:hAnsiTheme="majorBidi" w:cstheme="majorBidi"/>
        </w:rPr>
        <w:t>NO</w:t>
      </w:r>
      <w:r w:rsidRPr="006560CF">
        <w:rPr>
          <w:rFonts w:asciiTheme="majorBidi" w:hAnsiTheme="majorBidi" w:cstheme="majorBidi"/>
          <w:vertAlign w:val="subscript"/>
        </w:rPr>
        <w:t>3</w:t>
      </w:r>
      <w:r w:rsidRPr="006560CF">
        <w:rPr>
          <w:rFonts w:asciiTheme="majorBidi" w:hAnsiTheme="majorBidi" w:cstheme="majorBidi"/>
        </w:rPr>
        <w:t>)</w:t>
      </w:r>
      <w:r w:rsidRPr="006560CF">
        <w:rPr>
          <w:rFonts w:asciiTheme="majorBidi" w:hAnsiTheme="majorBidi" w:cstheme="majorBidi"/>
          <w:vertAlign w:val="subscript"/>
        </w:rPr>
        <w:t>3</w:t>
      </w:r>
      <w:r w:rsidRPr="006560CF">
        <w:rPr>
          <w:rFonts w:asciiTheme="majorBidi" w:hAnsiTheme="majorBidi" w:cstheme="majorBidi"/>
        </w:rPr>
        <w:t>.9H</w:t>
      </w:r>
      <w:r w:rsidRPr="006560CF">
        <w:rPr>
          <w:rFonts w:asciiTheme="majorBidi" w:hAnsiTheme="majorBidi" w:cstheme="majorBidi"/>
          <w:vertAlign w:val="subscript"/>
        </w:rPr>
        <w:t>2</w:t>
      </w:r>
      <w:r w:rsidRPr="006560CF">
        <w:rPr>
          <w:rFonts w:asciiTheme="majorBidi" w:hAnsiTheme="majorBidi" w:cstheme="majorBidi"/>
        </w:rPr>
        <w:t>O), Manganese dinitrate tetrahydrate (Mn(NO</w:t>
      </w:r>
      <w:r w:rsidRPr="006560CF">
        <w:rPr>
          <w:rFonts w:asciiTheme="majorBidi" w:hAnsiTheme="majorBidi" w:cstheme="majorBidi"/>
          <w:vertAlign w:val="subscript"/>
        </w:rPr>
        <w:t>3</w:t>
      </w:r>
      <w:r w:rsidRPr="006560CF">
        <w:rPr>
          <w:rFonts w:asciiTheme="majorBidi" w:hAnsiTheme="majorBidi" w:cstheme="majorBidi"/>
        </w:rPr>
        <w:t>)</w:t>
      </w:r>
      <w:r w:rsidRPr="006560CF">
        <w:rPr>
          <w:rFonts w:asciiTheme="majorBidi" w:hAnsiTheme="majorBidi" w:cstheme="majorBidi"/>
          <w:vertAlign w:val="subscript"/>
        </w:rPr>
        <w:t>2</w:t>
      </w:r>
      <w:r w:rsidRPr="006560CF">
        <w:rPr>
          <w:rFonts w:asciiTheme="majorBidi" w:hAnsiTheme="majorBidi" w:cstheme="majorBidi"/>
        </w:rPr>
        <w:t>.4H2O), zinc dinitrate tetrahydrate (Zn(NO</w:t>
      </w:r>
      <w:r w:rsidRPr="006560CF">
        <w:rPr>
          <w:rFonts w:asciiTheme="majorBidi" w:hAnsiTheme="majorBidi" w:cstheme="majorBidi"/>
          <w:vertAlign w:val="subscript"/>
        </w:rPr>
        <w:t>3</w:t>
      </w:r>
      <w:r w:rsidRPr="006560CF">
        <w:rPr>
          <w:rFonts w:asciiTheme="majorBidi" w:hAnsiTheme="majorBidi" w:cstheme="majorBidi"/>
        </w:rPr>
        <w:t>)</w:t>
      </w:r>
      <w:r w:rsidRPr="006560CF">
        <w:rPr>
          <w:rFonts w:asciiTheme="majorBidi" w:hAnsiTheme="majorBidi" w:cstheme="majorBidi"/>
          <w:vertAlign w:val="subscript"/>
        </w:rPr>
        <w:t>2</w:t>
      </w:r>
      <w:r w:rsidRPr="006560CF">
        <w:rPr>
          <w:rFonts w:asciiTheme="majorBidi" w:hAnsiTheme="majorBidi" w:cstheme="majorBidi"/>
        </w:rPr>
        <w:t>.4H</w:t>
      </w:r>
      <w:r w:rsidRPr="006560CF">
        <w:rPr>
          <w:rFonts w:asciiTheme="majorBidi" w:hAnsiTheme="majorBidi" w:cstheme="majorBidi"/>
          <w:vertAlign w:val="subscript"/>
        </w:rPr>
        <w:t>2</w:t>
      </w:r>
      <w:r w:rsidRPr="006560CF">
        <w:rPr>
          <w:rFonts w:asciiTheme="majorBidi" w:hAnsiTheme="majorBidi" w:cstheme="majorBidi"/>
        </w:rPr>
        <w:t>O), Cobalt dinitrate hexahydrate (Co(NO</w:t>
      </w:r>
      <w:r w:rsidRPr="006560CF">
        <w:rPr>
          <w:rFonts w:asciiTheme="majorBidi" w:hAnsiTheme="majorBidi" w:cstheme="majorBidi"/>
          <w:vertAlign w:val="subscript"/>
        </w:rPr>
        <w:t>3</w:t>
      </w:r>
      <w:r w:rsidRPr="006560CF">
        <w:rPr>
          <w:rFonts w:asciiTheme="majorBidi" w:hAnsiTheme="majorBidi" w:cstheme="majorBidi"/>
        </w:rPr>
        <w:t>)</w:t>
      </w:r>
      <w:r w:rsidRPr="006560CF">
        <w:rPr>
          <w:rFonts w:asciiTheme="majorBidi" w:hAnsiTheme="majorBidi" w:cstheme="majorBidi"/>
          <w:vertAlign w:val="subscript"/>
        </w:rPr>
        <w:t>2</w:t>
      </w:r>
      <w:r w:rsidRPr="006560CF">
        <w:rPr>
          <w:rFonts w:asciiTheme="majorBidi" w:hAnsiTheme="majorBidi" w:cstheme="majorBidi"/>
        </w:rPr>
        <w:t xml:space="preserve">.6H2O) and ammonia solution (25% v/v) were procured from Merck. </w:t>
      </w:r>
      <w:r w:rsidR="00B81A42">
        <w:rPr>
          <w:rFonts w:asciiTheme="majorBidi" w:hAnsiTheme="majorBidi" w:cstheme="majorBidi"/>
        </w:rPr>
        <w:t>A</w:t>
      </w:r>
      <w:r w:rsidRPr="006560CF">
        <w:rPr>
          <w:rFonts w:asciiTheme="majorBidi" w:hAnsiTheme="majorBidi" w:cstheme="majorBidi"/>
        </w:rPr>
        <w:t>mmonia</w:t>
      </w:r>
      <w:r w:rsidR="00B81A42">
        <w:rPr>
          <w:rFonts w:asciiTheme="majorBidi" w:hAnsiTheme="majorBidi" w:cstheme="majorBidi"/>
        </w:rPr>
        <w:t>,</w:t>
      </w:r>
      <w:r w:rsidR="00B81A42" w:rsidRPr="00B81A42">
        <w:rPr>
          <w:rFonts w:asciiTheme="majorBidi" w:hAnsiTheme="majorBidi" w:cstheme="majorBidi"/>
        </w:rPr>
        <w:t xml:space="preserve"> </w:t>
      </w:r>
      <w:r w:rsidR="00B81A42">
        <w:rPr>
          <w:rFonts w:asciiTheme="majorBidi" w:hAnsiTheme="majorBidi" w:cstheme="majorBidi"/>
        </w:rPr>
        <w:t>p</w:t>
      </w:r>
      <w:r w:rsidR="00B81A42" w:rsidRPr="006560CF">
        <w:rPr>
          <w:rFonts w:asciiTheme="majorBidi" w:hAnsiTheme="majorBidi" w:cstheme="majorBidi"/>
        </w:rPr>
        <w:t>hosphate</w:t>
      </w:r>
      <w:r w:rsidR="00444B4E">
        <w:rPr>
          <w:rFonts w:asciiTheme="majorBidi" w:hAnsiTheme="majorBidi" w:cstheme="majorBidi"/>
        </w:rPr>
        <w:t xml:space="preserve">, </w:t>
      </w:r>
      <w:r w:rsidRPr="006560CF">
        <w:rPr>
          <w:rFonts w:asciiTheme="majorBidi" w:hAnsiTheme="majorBidi" w:cstheme="majorBidi"/>
        </w:rPr>
        <w:t>and Britton</w:t>
      </w:r>
      <w:r w:rsidR="00B81A42">
        <w:rPr>
          <w:rFonts w:asciiTheme="majorBidi" w:hAnsiTheme="majorBidi" w:cstheme="majorBidi"/>
        </w:rPr>
        <w:t>-</w:t>
      </w:r>
      <w:r w:rsidRPr="006560CF">
        <w:rPr>
          <w:rFonts w:asciiTheme="majorBidi" w:hAnsiTheme="majorBidi" w:cstheme="majorBidi"/>
        </w:rPr>
        <w:t xml:space="preserve">Robinson buffers with a concentration of 0.1 M have been utilized. In order to prepare all of the solutions, deionized water was brought into use. 0.1 M Ammonia buffer </w:t>
      </w:r>
      <w:r w:rsidR="00B81A42">
        <w:rPr>
          <w:rFonts w:asciiTheme="majorBidi" w:hAnsiTheme="majorBidi" w:cstheme="majorBidi"/>
        </w:rPr>
        <w:t>(</w:t>
      </w:r>
      <w:r w:rsidRPr="006560CF">
        <w:rPr>
          <w:rFonts w:asciiTheme="majorBidi" w:hAnsiTheme="majorBidi" w:cstheme="majorBidi"/>
        </w:rPr>
        <w:t>pH</w:t>
      </w:r>
      <w:r w:rsidR="00B81A42">
        <w:rPr>
          <w:rFonts w:asciiTheme="majorBidi" w:hAnsiTheme="majorBidi" w:cstheme="majorBidi"/>
        </w:rPr>
        <w:t xml:space="preserve"> </w:t>
      </w:r>
      <w:r w:rsidRPr="006560CF">
        <w:rPr>
          <w:rFonts w:asciiTheme="majorBidi" w:hAnsiTheme="majorBidi" w:cstheme="majorBidi"/>
        </w:rPr>
        <w:t>9.0</w:t>
      </w:r>
      <w:r w:rsidR="00B81A42">
        <w:rPr>
          <w:rFonts w:asciiTheme="majorBidi" w:hAnsiTheme="majorBidi" w:cstheme="majorBidi"/>
        </w:rPr>
        <w:t>)</w:t>
      </w:r>
      <w:r w:rsidRPr="006560CF">
        <w:rPr>
          <w:rFonts w:asciiTheme="majorBidi" w:hAnsiTheme="majorBidi" w:cstheme="majorBidi"/>
        </w:rPr>
        <w:t xml:space="preserve"> was used as a carrier electrolyte for H</w:t>
      </w:r>
      <w:r w:rsidR="005549D1">
        <w:rPr>
          <w:rFonts w:asciiTheme="majorBidi" w:hAnsiTheme="majorBidi" w:cstheme="majorBidi"/>
        </w:rPr>
        <w:t>Z</w:t>
      </w:r>
      <w:r w:rsidRPr="006560CF">
        <w:rPr>
          <w:rFonts w:asciiTheme="majorBidi" w:hAnsiTheme="majorBidi" w:cstheme="majorBidi"/>
        </w:rPr>
        <w:t>. All compounds were used in the absence of any further purification.</w:t>
      </w:r>
    </w:p>
    <w:p w14:paraId="1C2D2129" w14:textId="3EE222E9" w:rsidR="00BF1837" w:rsidRPr="001E59CB" w:rsidRDefault="00543D1C" w:rsidP="006560CF">
      <w:pPr>
        <w:numPr>
          <w:ilvl w:val="1"/>
          <w:numId w:val="1"/>
        </w:numPr>
        <w:spacing w:before="200" w:line="360" w:lineRule="auto"/>
        <w:ind w:left="778" w:hanging="418"/>
        <w:jc w:val="lowKashida"/>
        <w:rPr>
          <w:rFonts w:ascii="Times New Roman" w:eastAsia="Times New Roman" w:hAnsi="Times New Roman"/>
          <w:b/>
          <w:bCs/>
          <w:i/>
          <w:iCs/>
          <w:color w:val="000000"/>
          <w:sz w:val="24"/>
          <w:szCs w:val="24"/>
          <w:lang w:val="en-US"/>
        </w:rPr>
      </w:pPr>
      <w:r w:rsidRPr="006560CF">
        <w:rPr>
          <w:rFonts w:asciiTheme="majorBidi" w:hAnsiTheme="majorBidi" w:cstheme="majorBidi"/>
          <w:b/>
          <w:bCs/>
          <w:sz w:val="24"/>
          <w:szCs w:val="24"/>
        </w:rPr>
        <w:t>Electrochemical</w:t>
      </w:r>
      <w:r w:rsidRPr="001E59CB">
        <w:rPr>
          <w:rFonts w:asciiTheme="majorBidi" w:hAnsiTheme="majorBidi" w:cstheme="majorBidi"/>
          <w:b/>
          <w:bCs/>
          <w:i/>
          <w:iCs/>
          <w:sz w:val="24"/>
          <w:szCs w:val="24"/>
        </w:rPr>
        <w:t xml:space="preserve"> measurements</w:t>
      </w:r>
      <w:r w:rsidR="00BF1837" w:rsidRPr="001E59CB">
        <w:rPr>
          <w:rFonts w:asciiTheme="majorBidi" w:hAnsiTheme="majorBidi" w:cstheme="majorBidi"/>
          <w:b/>
          <w:bCs/>
          <w:i/>
          <w:iCs/>
          <w:sz w:val="24"/>
          <w:szCs w:val="24"/>
        </w:rPr>
        <w:t xml:space="preserve">  </w:t>
      </w:r>
    </w:p>
    <w:p w14:paraId="7BBE886A" w14:textId="2A34195C" w:rsidR="00543D1C" w:rsidRPr="006560CF" w:rsidRDefault="00543D1C" w:rsidP="006560CF">
      <w:pPr>
        <w:spacing w:line="360" w:lineRule="auto"/>
        <w:jc w:val="lowKashida"/>
        <w:rPr>
          <w:rFonts w:asciiTheme="majorBidi" w:hAnsiTheme="majorBidi" w:cstheme="majorBidi"/>
          <w:lang w:bidi="fa-IR"/>
        </w:rPr>
      </w:pPr>
      <w:r w:rsidRPr="006560CF">
        <w:rPr>
          <w:rFonts w:asciiTheme="majorBidi" w:hAnsiTheme="majorBidi" w:cstheme="majorBidi"/>
          <w:lang w:bidi="fa-IR"/>
        </w:rPr>
        <w:t xml:space="preserve">In accordance with the conditions of </w:t>
      </w:r>
      <w:r w:rsidR="00444B4E">
        <w:rPr>
          <w:rFonts w:asciiTheme="majorBidi" w:hAnsiTheme="majorBidi" w:cstheme="majorBidi"/>
          <w:lang w:bidi="fa-IR"/>
        </w:rPr>
        <w:t xml:space="preserve">the </w:t>
      </w:r>
      <w:r w:rsidRPr="006560CF">
        <w:rPr>
          <w:rFonts w:asciiTheme="majorBidi" w:hAnsiTheme="majorBidi" w:cstheme="majorBidi"/>
          <w:lang w:bidi="fa-IR"/>
        </w:rPr>
        <w:t xml:space="preserve">device, the calibration curves for </w:t>
      </w:r>
      <w:r w:rsidR="005549D1">
        <w:rPr>
          <w:rFonts w:asciiTheme="majorBidi" w:hAnsiTheme="majorBidi" w:cstheme="majorBidi"/>
          <w:lang w:bidi="fa-IR"/>
        </w:rPr>
        <w:t xml:space="preserve">HZ </w:t>
      </w:r>
      <w:r w:rsidRPr="006560CF">
        <w:rPr>
          <w:rFonts w:asciiTheme="majorBidi" w:hAnsiTheme="majorBidi" w:cstheme="majorBidi"/>
          <w:lang w:bidi="fa-IR"/>
        </w:rPr>
        <w:t xml:space="preserve">have been schemed by the DPV technique employment. The parameters including step potential = 0.005 V, modulation time = 0.05 s, </w:t>
      </w:r>
      <w:r w:rsidRPr="006560CF">
        <w:rPr>
          <w:rFonts w:asciiTheme="majorBidi" w:hAnsiTheme="majorBidi" w:cstheme="majorBidi"/>
          <w:lang w:bidi="fa-IR"/>
        </w:rPr>
        <w:lastRenderedPageBreak/>
        <w:t>modulation amplitude = 0.025 V, quiet time = 5 s</w:t>
      </w:r>
      <w:r w:rsidR="00444B4E">
        <w:rPr>
          <w:rFonts w:asciiTheme="majorBidi" w:hAnsiTheme="majorBidi" w:cstheme="majorBidi"/>
          <w:lang w:bidi="fa-IR"/>
        </w:rPr>
        <w:t>,</w:t>
      </w:r>
      <w:r w:rsidRPr="006560CF">
        <w:rPr>
          <w:rFonts w:asciiTheme="majorBidi" w:hAnsiTheme="majorBidi" w:cstheme="majorBidi"/>
          <w:lang w:bidi="fa-IR"/>
        </w:rPr>
        <w:t xml:space="preserve"> and interval time = 0.5 s are the optimized DPV parameters. </w:t>
      </w:r>
    </w:p>
    <w:p w14:paraId="21C030EE" w14:textId="194E0C0E" w:rsidR="00BD5308" w:rsidRPr="006560CF" w:rsidRDefault="00543D1C" w:rsidP="00606E71">
      <w:pPr>
        <w:spacing w:line="360" w:lineRule="auto"/>
        <w:ind w:firstLine="360"/>
        <w:jc w:val="lowKashida"/>
        <w:rPr>
          <w:rFonts w:asciiTheme="majorBidi" w:hAnsiTheme="majorBidi" w:cstheme="majorBidi"/>
          <w:lang w:bidi="fa-IR"/>
        </w:rPr>
      </w:pPr>
      <w:r w:rsidRPr="006560CF">
        <w:rPr>
          <w:rFonts w:asciiTheme="majorBidi" w:hAnsiTheme="majorBidi" w:cstheme="majorBidi"/>
          <w:lang w:bidi="fa-IR"/>
        </w:rPr>
        <w:t xml:space="preserve">Aiming to indicate the application of </w:t>
      </w:r>
      <w:r w:rsidR="00444B4E">
        <w:rPr>
          <w:rFonts w:asciiTheme="majorBidi" w:hAnsiTheme="majorBidi" w:cstheme="majorBidi"/>
          <w:lang w:bidi="fa-IR"/>
        </w:rPr>
        <w:t xml:space="preserve">a </w:t>
      </w:r>
      <w:r w:rsidRPr="006560CF">
        <w:rPr>
          <w:rFonts w:asciiTheme="majorBidi" w:hAnsiTheme="majorBidi" w:cstheme="majorBidi"/>
          <w:lang w:bidi="fa-IR"/>
        </w:rPr>
        <w:t xml:space="preserve">modified electrode, the suggested sensor has been appraised with no </w:t>
      </w:r>
      <w:proofErr w:type="spellStart"/>
      <w:r w:rsidRPr="006560CF">
        <w:rPr>
          <w:rFonts w:asciiTheme="majorBidi" w:hAnsiTheme="majorBidi" w:cstheme="majorBidi"/>
          <w:lang w:bidi="fa-IR"/>
        </w:rPr>
        <w:t>pretreatment</w:t>
      </w:r>
      <w:proofErr w:type="spellEnd"/>
      <w:r w:rsidRPr="006560CF">
        <w:rPr>
          <w:rFonts w:asciiTheme="majorBidi" w:hAnsiTheme="majorBidi" w:cstheme="majorBidi"/>
          <w:lang w:bidi="fa-IR"/>
        </w:rPr>
        <w:t xml:space="preserve"> by using cigarettes that were the real sample for </w:t>
      </w:r>
      <w:r w:rsidR="005549D1">
        <w:rPr>
          <w:rFonts w:asciiTheme="majorBidi" w:hAnsiTheme="majorBidi" w:cstheme="majorBidi"/>
          <w:lang w:bidi="fa-IR"/>
        </w:rPr>
        <w:t xml:space="preserve">HZ </w:t>
      </w:r>
      <w:r w:rsidRPr="006560CF">
        <w:rPr>
          <w:rFonts w:asciiTheme="majorBidi" w:hAnsiTheme="majorBidi" w:cstheme="majorBidi"/>
          <w:lang w:bidi="fa-IR"/>
        </w:rPr>
        <w:t xml:space="preserve">in this study. These cigarettes were purchased from a local supermarket and were chosen from three famous brands. In the first place, the tobacco content from the cigarette was removed in order to prepare the real sample. The sample was initially weighed and then, </w:t>
      </w:r>
      <w:r w:rsidR="00DE653B">
        <w:rPr>
          <w:rFonts w:asciiTheme="majorBidi" w:hAnsiTheme="majorBidi" w:cstheme="majorBidi"/>
          <w:lang w:bidi="fa-IR"/>
        </w:rPr>
        <w:t>leached</w:t>
      </w:r>
      <w:r w:rsidRPr="006560CF">
        <w:rPr>
          <w:rFonts w:asciiTheme="majorBidi" w:hAnsiTheme="majorBidi" w:cstheme="majorBidi"/>
          <w:lang w:bidi="fa-IR"/>
        </w:rPr>
        <w:t xml:space="preserve"> in 0.1 M, pH 9.0 ammonia buffer and after all, ultrasonication of the sample was done which took 10 min. Finally, for the purpose of </w:t>
      </w:r>
      <w:proofErr w:type="spellStart"/>
      <w:r w:rsidRPr="006560CF">
        <w:rPr>
          <w:rFonts w:asciiTheme="majorBidi" w:hAnsiTheme="majorBidi" w:cstheme="majorBidi"/>
          <w:lang w:bidi="fa-IR"/>
        </w:rPr>
        <w:t>analyzing</w:t>
      </w:r>
      <w:proofErr w:type="spellEnd"/>
      <w:r w:rsidRPr="006560CF">
        <w:rPr>
          <w:rFonts w:asciiTheme="majorBidi" w:hAnsiTheme="majorBidi" w:cstheme="majorBidi"/>
          <w:lang w:bidi="fa-IR"/>
        </w:rPr>
        <w:t xml:space="preserve"> </w:t>
      </w:r>
      <w:r w:rsidR="00444B4E">
        <w:rPr>
          <w:rFonts w:asciiTheme="majorBidi" w:hAnsiTheme="majorBidi" w:cstheme="majorBidi"/>
          <w:lang w:bidi="fa-IR"/>
        </w:rPr>
        <w:t xml:space="preserve">the </w:t>
      </w:r>
      <w:r w:rsidRPr="006560CF">
        <w:rPr>
          <w:rFonts w:asciiTheme="majorBidi" w:hAnsiTheme="majorBidi" w:cstheme="majorBidi"/>
          <w:lang w:bidi="fa-IR"/>
        </w:rPr>
        <w:t>real sample, the filtrated solution was diluted properly. In 5 mM [</w:t>
      </w:r>
      <w:proofErr w:type="gramStart"/>
      <w:r w:rsidRPr="006560CF">
        <w:rPr>
          <w:rFonts w:asciiTheme="majorBidi" w:hAnsiTheme="majorBidi" w:cstheme="majorBidi"/>
          <w:lang w:bidi="fa-IR"/>
        </w:rPr>
        <w:t>Fe(</w:t>
      </w:r>
      <w:proofErr w:type="gramEnd"/>
      <w:r w:rsidRPr="006560CF">
        <w:rPr>
          <w:rFonts w:asciiTheme="majorBidi" w:hAnsiTheme="majorBidi" w:cstheme="majorBidi"/>
          <w:lang w:bidi="fa-IR"/>
        </w:rPr>
        <w:t>CN)</w:t>
      </w:r>
      <w:r w:rsidRPr="006560CF">
        <w:rPr>
          <w:rFonts w:asciiTheme="majorBidi" w:hAnsiTheme="majorBidi" w:cstheme="majorBidi"/>
          <w:vertAlign w:val="subscript"/>
          <w:lang w:bidi="fa-IR"/>
        </w:rPr>
        <w:t>6</w:t>
      </w:r>
      <w:r w:rsidRPr="006560CF">
        <w:rPr>
          <w:rFonts w:asciiTheme="majorBidi" w:hAnsiTheme="majorBidi" w:cstheme="majorBidi"/>
          <w:lang w:bidi="fa-IR"/>
        </w:rPr>
        <w:t>]</w:t>
      </w:r>
      <w:r w:rsidRPr="006560CF">
        <w:rPr>
          <w:rFonts w:asciiTheme="majorBidi" w:hAnsiTheme="majorBidi" w:cstheme="majorBidi"/>
          <w:vertAlign w:val="superscript"/>
          <w:lang w:bidi="fa-IR"/>
        </w:rPr>
        <w:t>-3/-4</w:t>
      </w:r>
      <w:r w:rsidRPr="006560CF">
        <w:rPr>
          <w:rFonts w:asciiTheme="majorBidi" w:hAnsiTheme="majorBidi" w:cstheme="majorBidi"/>
          <w:lang w:bidi="fa-IR"/>
        </w:rPr>
        <w:t xml:space="preserve"> containing 0.1 M </w:t>
      </w:r>
      <w:proofErr w:type="spellStart"/>
      <w:r w:rsidRPr="006560CF">
        <w:rPr>
          <w:rFonts w:asciiTheme="majorBidi" w:hAnsiTheme="majorBidi" w:cstheme="majorBidi"/>
          <w:lang w:bidi="fa-IR"/>
        </w:rPr>
        <w:t>KCl</w:t>
      </w:r>
      <w:proofErr w:type="spellEnd"/>
      <w:r w:rsidRPr="006560CF">
        <w:rPr>
          <w:rFonts w:asciiTheme="majorBidi" w:hAnsiTheme="majorBidi" w:cstheme="majorBidi"/>
          <w:lang w:bidi="fa-IR"/>
        </w:rPr>
        <w:t>, all measurements of electrochemical impedance spectroscopy were carried out accurately. The amplitude of the applied sine wave potential was 5 mV. The total EIS measurements were recorded and registered at open circuit potential (OCP)</w:t>
      </w:r>
      <w:r w:rsidRPr="006560CF">
        <w:rPr>
          <w:rFonts w:asciiTheme="majorBidi" w:hAnsiTheme="majorBidi" w:cstheme="majorBidi"/>
        </w:rPr>
        <w:t xml:space="preserve"> </w:t>
      </w:r>
      <w:r w:rsidRPr="006560CF">
        <w:rPr>
          <w:rFonts w:asciiTheme="majorBidi" w:hAnsiTheme="majorBidi" w:cstheme="majorBidi"/>
          <w:lang w:bidi="fa-IR"/>
        </w:rPr>
        <w:t xml:space="preserve">in the (frequency) range of 100 kHz to 0.01 Hz. </w:t>
      </w:r>
    </w:p>
    <w:p w14:paraId="19062AEC" w14:textId="3F318CDE" w:rsidR="00BD5308" w:rsidRPr="006560CF" w:rsidRDefault="00543D1C" w:rsidP="006560CF">
      <w:pPr>
        <w:numPr>
          <w:ilvl w:val="1"/>
          <w:numId w:val="1"/>
        </w:numPr>
        <w:spacing w:before="200" w:line="360" w:lineRule="auto"/>
        <w:ind w:left="778" w:hanging="418"/>
        <w:jc w:val="lowKashida"/>
        <w:rPr>
          <w:rFonts w:ascii="Times New Roman" w:eastAsia="Times New Roman" w:hAnsi="Times New Roman"/>
          <w:b/>
          <w:bCs/>
          <w:color w:val="000000"/>
          <w:sz w:val="24"/>
          <w:szCs w:val="24"/>
          <w:lang w:val="en-US"/>
        </w:rPr>
      </w:pPr>
      <w:r w:rsidRPr="006560CF">
        <w:rPr>
          <w:rFonts w:ascii="Times New Roman" w:eastAsia="Times New Roman" w:hAnsi="Times New Roman"/>
          <w:b/>
          <w:bCs/>
          <w:color w:val="000000"/>
          <w:sz w:val="24"/>
          <w:szCs w:val="24"/>
          <w:lang w:val="en-US"/>
        </w:rPr>
        <w:t>Characterization of the</w:t>
      </w:r>
      <w:r w:rsidRPr="006560CF">
        <w:rPr>
          <w:rFonts w:ascii="Times New Roman" w:eastAsia="Times New Roman" w:hAnsi="Times New Roman"/>
          <w:b/>
          <w:bCs/>
          <w:color w:val="000000"/>
          <w:sz w:val="24"/>
          <w:szCs w:val="24"/>
          <w:lang w:val="en-US" w:bidi="fa-IR"/>
        </w:rPr>
        <w:t xml:space="preserve"> </w:t>
      </w:r>
      <w:r w:rsidRPr="006560CF">
        <w:rPr>
          <w:rFonts w:asciiTheme="majorBidi" w:hAnsiTheme="majorBidi" w:cstheme="majorBidi"/>
          <w:b/>
          <w:bCs/>
          <w:sz w:val="24"/>
          <w:szCs w:val="24"/>
        </w:rPr>
        <w:t>ZnMnFeO</w:t>
      </w:r>
      <w:r w:rsidRPr="006560CF">
        <w:rPr>
          <w:rFonts w:asciiTheme="majorBidi" w:hAnsiTheme="majorBidi" w:cstheme="majorBidi"/>
          <w:b/>
          <w:bCs/>
          <w:sz w:val="24"/>
          <w:szCs w:val="24"/>
          <w:vertAlign w:val="subscript"/>
        </w:rPr>
        <w:t>4</w:t>
      </w:r>
      <w:r w:rsidRPr="006560CF">
        <w:rPr>
          <w:rFonts w:asciiTheme="majorBidi" w:hAnsiTheme="majorBidi" w:cstheme="majorBidi"/>
          <w:b/>
          <w:bCs/>
          <w:sz w:val="24"/>
          <w:szCs w:val="24"/>
        </w:rPr>
        <w:t xml:space="preserve"> and CoMnFeO</w:t>
      </w:r>
      <w:r w:rsidRPr="006560CF">
        <w:rPr>
          <w:rFonts w:asciiTheme="majorBidi" w:hAnsiTheme="majorBidi" w:cstheme="majorBidi"/>
          <w:b/>
          <w:bCs/>
          <w:sz w:val="24"/>
          <w:szCs w:val="24"/>
          <w:vertAlign w:val="subscript"/>
        </w:rPr>
        <w:t xml:space="preserve">4 </w:t>
      </w:r>
      <w:r w:rsidRPr="006560CF">
        <w:rPr>
          <w:rFonts w:asciiTheme="majorBidi" w:hAnsiTheme="majorBidi" w:cstheme="majorBidi"/>
          <w:b/>
          <w:bCs/>
          <w:sz w:val="24"/>
          <w:szCs w:val="24"/>
        </w:rPr>
        <w:t>nanoparticles</w:t>
      </w:r>
    </w:p>
    <w:p w14:paraId="6AF5E3C8" w14:textId="1DBA04B8" w:rsidR="00DD1011" w:rsidRPr="006560CF" w:rsidRDefault="00DD1011" w:rsidP="00444B4E">
      <w:pPr>
        <w:spacing w:before="240" w:after="240" w:line="360" w:lineRule="auto"/>
        <w:jc w:val="lowKashida"/>
        <w:rPr>
          <w:rFonts w:asciiTheme="majorBidi" w:hAnsiTheme="majorBidi" w:cstheme="majorBidi"/>
        </w:rPr>
      </w:pPr>
      <w:r w:rsidRPr="006560CF">
        <w:rPr>
          <w:rFonts w:asciiTheme="majorBidi" w:hAnsiTheme="majorBidi" w:cstheme="majorBidi"/>
        </w:rPr>
        <w:t>The spinel ferrites are used in electrochemical sensors in the wake of some features including their s</w:t>
      </w:r>
      <w:r w:rsidR="00444B4E">
        <w:rPr>
          <w:rFonts w:asciiTheme="majorBidi" w:hAnsiTheme="majorBidi" w:cstheme="majorBidi"/>
        </w:rPr>
        <w:t>uperlative electrical and photo</w:t>
      </w:r>
      <w:r w:rsidRPr="006560CF">
        <w:rPr>
          <w:rFonts w:asciiTheme="majorBidi" w:hAnsiTheme="majorBidi" w:cstheme="majorBidi"/>
        </w:rPr>
        <w:t>electrochemical performance, high chemical stability,</w:t>
      </w:r>
      <w:r w:rsidR="00444B4E">
        <w:rPr>
          <w:rFonts w:asciiTheme="majorBidi" w:hAnsiTheme="majorBidi" w:cstheme="majorBidi"/>
        </w:rPr>
        <w:t xml:space="preserve"> magnetic properties, low price, </w:t>
      </w:r>
      <w:r w:rsidRPr="006560CF">
        <w:rPr>
          <w:rFonts w:asciiTheme="majorBidi" w:hAnsiTheme="majorBidi" w:cstheme="majorBidi"/>
        </w:rPr>
        <w:t xml:space="preserve">and good conductivity. Briefly, the modifier used in the present study causes </w:t>
      </w:r>
      <w:r w:rsidR="005549D1">
        <w:rPr>
          <w:rFonts w:asciiTheme="majorBidi" w:hAnsiTheme="majorBidi" w:cstheme="majorBidi"/>
        </w:rPr>
        <w:t>HZ</w:t>
      </w:r>
      <w:r w:rsidRPr="006560CF">
        <w:rPr>
          <w:rFonts w:asciiTheme="majorBidi" w:hAnsiTheme="majorBidi" w:cstheme="majorBidi"/>
        </w:rPr>
        <w:t xml:space="preserve"> response enhancement and oxidation potential reduction considerably which is by cause of its exceptional conductivity, high adsorption</w:t>
      </w:r>
      <w:r w:rsidR="00444B4E">
        <w:rPr>
          <w:rFonts w:asciiTheme="majorBidi" w:hAnsiTheme="majorBidi" w:cstheme="majorBidi"/>
        </w:rPr>
        <w:t>,</w:t>
      </w:r>
      <w:r w:rsidRPr="006560CF">
        <w:rPr>
          <w:rFonts w:asciiTheme="majorBidi" w:hAnsiTheme="majorBidi" w:cstheme="majorBidi"/>
        </w:rPr>
        <w:t xml:space="preserve"> and high electrochemical surface area of ZnMnFeO</w:t>
      </w:r>
      <w:r w:rsidRPr="006560CF">
        <w:rPr>
          <w:rFonts w:asciiTheme="majorBidi" w:hAnsiTheme="majorBidi" w:cstheme="majorBidi"/>
          <w:vertAlign w:val="subscript"/>
        </w:rPr>
        <w:t>4</w:t>
      </w:r>
      <w:r w:rsidRPr="006560CF">
        <w:rPr>
          <w:rFonts w:asciiTheme="majorBidi" w:hAnsiTheme="majorBidi" w:cstheme="majorBidi"/>
        </w:rPr>
        <w:t>/CoMnFeO</w:t>
      </w:r>
      <w:r w:rsidRPr="006560CF">
        <w:rPr>
          <w:rFonts w:asciiTheme="majorBidi" w:hAnsiTheme="majorBidi" w:cstheme="majorBidi"/>
          <w:vertAlign w:val="subscript"/>
        </w:rPr>
        <w:t>4</w:t>
      </w:r>
      <w:r w:rsidRPr="006560CF">
        <w:rPr>
          <w:rFonts w:asciiTheme="majorBidi" w:hAnsiTheme="majorBidi" w:cstheme="majorBidi"/>
        </w:rPr>
        <w:t xml:space="preserve">/FTO. By means of the FT-IR spectra presented in Fig. </w:t>
      </w:r>
      <w:r w:rsidR="00E61E66" w:rsidRPr="006560CF">
        <w:rPr>
          <w:rFonts w:asciiTheme="majorBidi" w:hAnsiTheme="majorBidi" w:cstheme="majorBidi"/>
        </w:rPr>
        <w:t>S</w:t>
      </w:r>
      <w:r w:rsidRPr="006560CF">
        <w:rPr>
          <w:rFonts w:asciiTheme="majorBidi" w:hAnsiTheme="majorBidi" w:cstheme="majorBidi"/>
        </w:rPr>
        <w:t xml:space="preserve">1, the structural formation and functional groups that are provided in the as-synthesized samples together with their metal-oxide vibrational modes are acknowledged explicitly. In the IR spectra of all the ferrite samples, there are generally two metal-oxide bands observed which both pertain to the nature of octahedral M-O stretching vibration and </w:t>
      </w:r>
      <w:r w:rsidR="00444B4E">
        <w:rPr>
          <w:rFonts w:asciiTheme="majorBidi" w:hAnsiTheme="majorBidi" w:cstheme="majorBidi"/>
        </w:rPr>
        <w:t xml:space="preserve">the </w:t>
      </w:r>
      <w:r w:rsidRPr="006560CF">
        <w:rPr>
          <w:rFonts w:asciiTheme="majorBidi" w:hAnsiTheme="majorBidi" w:cstheme="majorBidi"/>
        </w:rPr>
        <w:t>nature of tetrahedral M-O stretching vibration</w:t>
      </w:r>
      <w:r w:rsidR="00CF4680">
        <w:rPr>
          <w:rFonts w:asciiTheme="majorBidi" w:hAnsiTheme="majorBidi" w:cstheme="majorBidi"/>
        </w:rPr>
        <w:t xml:space="preserve"> </w:t>
      </w:r>
      <w:r w:rsidR="00CF4680">
        <w:rPr>
          <w:rFonts w:asciiTheme="majorBidi" w:hAnsiTheme="majorBidi" w:cstheme="majorBidi"/>
        </w:rPr>
        <w:fldChar w:fldCharType="begin"/>
      </w:r>
      <w:r w:rsidR="00CF4680">
        <w:rPr>
          <w:rFonts w:asciiTheme="majorBidi" w:hAnsiTheme="majorBidi" w:cstheme="majorBidi"/>
        </w:rPr>
        <w:instrText xml:space="preserve"> ADDIN EN.CITE &lt;EndNote&gt;&lt;Cite&gt;&lt;Author&gt;Patil&lt;/Author&gt;&lt;Year&gt;2013&lt;/Year&gt;&lt;RecNum&gt;74&lt;/RecNum&gt;&lt;DisplayText&gt;&lt;style face="superscript"&gt;1&lt;/style&gt;&lt;/DisplayText&gt;&lt;record&gt;&lt;rec-number&gt;74&lt;/rec-number&gt;&lt;foreign-keys&gt;&lt;key app="EN" db-id="p0fvzf2poe2vsmew2r8v90e4xfdtfxaeeede" timestamp="1650907963"&gt;74&lt;/key&gt;&lt;/foreign-keys&gt;&lt;ref-type name="Journal Article"&gt;17&lt;/ref-type&gt;&lt;contributors&gt;&lt;authors&gt;&lt;author&gt;Patil, RP&lt;/author&gt;&lt;author&gt;Delekar, SD&lt;/author&gt;&lt;author&gt;Mane, DR&lt;/author&gt;&lt;author&gt;Hankare, PP&lt;/author&gt;&lt;/authors&gt;&lt;/contributors&gt;&lt;titles&gt;&lt;title&gt;Synthesis, structural and magnetic properties of different metal ion substituted nanocrystalline zinc ferrite&lt;/title&gt;&lt;secondary-title&gt;Results in Physics&lt;/secondary-title&gt;&lt;/titles&gt;&lt;periodical&gt;&lt;full-title&gt;Results in Physics&lt;/full-title&gt;&lt;/periodical&gt;&lt;pages&gt;129-133&lt;/pages&gt;&lt;volume&gt;3&lt;/volume&gt;&lt;dates&gt;&lt;year&gt;2013&lt;/year&gt;&lt;/dates&gt;&lt;isbn&gt;2211-3797&lt;/isbn&gt;&lt;urls&gt;&lt;/urls&gt;&lt;/record&gt;&lt;/Cite&gt;&lt;/EndNote&gt;</w:instrText>
      </w:r>
      <w:r w:rsidR="00CF4680">
        <w:rPr>
          <w:rFonts w:asciiTheme="majorBidi" w:hAnsiTheme="majorBidi" w:cstheme="majorBidi"/>
        </w:rPr>
        <w:fldChar w:fldCharType="separate"/>
      </w:r>
      <w:r w:rsidR="00CF4680" w:rsidRPr="00CF4680">
        <w:rPr>
          <w:rFonts w:asciiTheme="majorBidi" w:hAnsiTheme="majorBidi" w:cstheme="majorBidi"/>
          <w:noProof/>
          <w:vertAlign w:val="superscript"/>
        </w:rPr>
        <w:t>1</w:t>
      </w:r>
      <w:r w:rsidR="00CF4680">
        <w:rPr>
          <w:rFonts w:asciiTheme="majorBidi" w:hAnsiTheme="majorBidi" w:cstheme="majorBidi"/>
        </w:rPr>
        <w:fldChar w:fldCharType="end"/>
      </w:r>
      <w:r w:rsidRPr="006560CF">
        <w:rPr>
          <w:rFonts w:asciiTheme="majorBidi" w:hAnsiTheme="majorBidi" w:cstheme="majorBidi"/>
        </w:rPr>
        <w:t>. In the spectrum of ZnMnFeO</w:t>
      </w:r>
      <w:r w:rsidRPr="006560CF">
        <w:rPr>
          <w:rFonts w:asciiTheme="majorBidi" w:hAnsiTheme="majorBidi" w:cstheme="majorBidi"/>
          <w:vertAlign w:val="subscript"/>
        </w:rPr>
        <w:t>4</w:t>
      </w:r>
      <w:r w:rsidRPr="006560CF">
        <w:rPr>
          <w:rFonts w:asciiTheme="majorBidi" w:hAnsiTheme="majorBidi" w:cstheme="majorBidi"/>
        </w:rPr>
        <w:t xml:space="preserve"> (Fig. </w:t>
      </w:r>
      <w:r w:rsidR="00E61E66" w:rsidRPr="006560CF">
        <w:rPr>
          <w:rFonts w:asciiTheme="majorBidi" w:hAnsiTheme="majorBidi" w:cstheme="majorBidi"/>
        </w:rPr>
        <w:t>S</w:t>
      </w:r>
      <w:r w:rsidRPr="006560CF">
        <w:rPr>
          <w:rFonts w:asciiTheme="majorBidi" w:hAnsiTheme="majorBidi" w:cstheme="majorBidi"/>
        </w:rPr>
        <w:t>1</w:t>
      </w:r>
      <w:r w:rsidR="00BF6B7A">
        <w:rPr>
          <w:rFonts w:asciiTheme="majorBidi" w:hAnsiTheme="majorBidi" w:cstheme="majorBidi"/>
        </w:rPr>
        <w:t>a</w:t>
      </w:r>
      <w:r w:rsidRPr="006560CF">
        <w:rPr>
          <w:rFonts w:asciiTheme="majorBidi" w:hAnsiTheme="majorBidi" w:cstheme="majorBidi"/>
        </w:rPr>
        <w:t>), the band with greater wave number viewed at 584 cm</w:t>
      </w:r>
      <w:r w:rsidRPr="006560CF">
        <w:rPr>
          <w:rFonts w:asciiTheme="majorBidi" w:hAnsiTheme="majorBidi" w:cstheme="majorBidi"/>
          <w:vertAlign w:val="superscript"/>
        </w:rPr>
        <w:t>-1</w:t>
      </w:r>
      <w:r w:rsidRPr="006560CF">
        <w:rPr>
          <w:rFonts w:asciiTheme="majorBidi" w:hAnsiTheme="majorBidi" w:cstheme="majorBidi"/>
        </w:rPr>
        <w:t>, ascribed to intrinsic stretching vib</w:t>
      </w:r>
      <w:r w:rsidR="00444B4E">
        <w:rPr>
          <w:rFonts w:asciiTheme="majorBidi" w:hAnsiTheme="majorBidi" w:cstheme="majorBidi"/>
        </w:rPr>
        <w:t xml:space="preserve">rations of the metal ions (Zn-O </w:t>
      </w:r>
      <w:r w:rsidRPr="006560CF">
        <w:rPr>
          <w:rFonts w:asciiTheme="majorBidi" w:hAnsiTheme="majorBidi" w:cstheme="majorBidi"/>
        </w:rPr>
        <w:t>and Fe-O) exist at the tetrahedral site, while the other band viewed at 456 cm</w:t>
      </w:r>
      <w:r w:rsidRPr="006560CF">
        <w:rPr>
          <w:rFonts w:asciiTheme="majorBidi" w:hAnsiTheme="majorBidi" w:cstheme="majorBidi"/>
          <w:vertAlign w:val="superscript"/>
        </w:rPr>
        <w:t>-1</w:t>
      </w:r>
      <w:r w:rsidRPr="006560CF">
        <w:rPr>
          <w:rFonts w:asciiTheme="majorBidi" w:hAnsiTheme="majorBidi" w:cstheme="majorBidi"/>
        </w:rPr>
        <w:t>, correlate to the bending vibration</w:t>
      </w:r>
      <w:r w:rsidR="00444B4E">
        <w:rPr>
          <w:rFonts w:asciiTheme="majorBidi" w:hAnsiTheme="majorBidi" w:cstheme="majorBidi"/>
        </w:rPr>
        <w:t xml:space="preserve">s of the metal ions (Zn-O, Mn-O, </w:t>
      </w:r>
      <w:r w:rsidRPr="006560CF">
        <w:rPr>
          <w:rFonts w:asciiTheme="majorBidi" w:hAnsiTheme="majorBidi" w:cstheme="majorBidi"/>
        </w:rPr>
        <w:t xml:space="preserve">and Fe-O) bond in the octahedral site </w:t>
      </w:r>
      <w:r w:rsidRPr="006560CF">
        <w:rPr>
          <w:rFonts w:asciiTheme="majorBidi" w:hAnsiTheme="majorBidi" w:cstheme="majorBidi"/>
        </w:rPr>
        <w:fldChar w:fldCharType="begin"/>
      </w:r>
      <w:r w:rsidR="00CF4680">
        <w:rPr>
          <w:rFonts w:asciiTheme="majorBidi" w:hAnsiTheme="majorBidi" w:cstheme="majorBidi"/>
        </w:rPr>
        <w:instrText xml:space="preserve"> ADDIN EN.CITE &lt;EndNote&gt;&lt;Cite&gt;&lt;Author&gt;Patil&lt;/Author&gt;&lt;Year&gt;2013&lt;/Year&gt;&lt;RecNum&gt;74&lt;/RecNum&gt;&lt;DisplayText&gt;&lt;style face="superscript"&gt;1&lt;/style&gt;&lt;/DisplayText&gt;&lt;record&gt;&lt;rec-number&gt;74&lt;/rec-number&gt;&lt;foreign-keys&gt;&lt;key app="EN" db-id="p0fvzf2poe2vsmew2r8v90e4xfdtfxaeeede" timestamp="1650907963"&gt;74&lt;/key&gt;&lt;/foreign-keys&gt;&lt;ref-type name="Journal Article"&gt;17&lt;/ref-type&gt;&lt;contributors&gt;&lt;authors&gt;&lt;author&gt;Patil, RP&lt;/author&gt;&lt;author&gt;Delekar, SD&lt;/author&gt;&lt;author&gt;Mane, DR&lt;/author&gt;&lt;author&gt;Hankare, PP&lt;/author&gt;&lt;/authors&gt;&lt;/contributors&gt;&lt;titles&gt;&lt;title&gt;Synthesis, structural and magnetic properties of different metal ion substituted nanocrystalline zinc ferrite&lt;/title&gt;&lt;secondary-title&gt;Results in Physics&lt;/secondary-title&gt;&lt;/titles&gt;&lt;periodical&gt;&lt;full-title&gt;Results in Physics&lt;/full-title&gt;&lt;/periodical&gt;&lt;pages&gt;129-133&lt;/pages&gt;&lt;volume&gt;3&lt;/volume&gt;&lt;dates&gt;&lt;year&gt;2013&lt;/year&gt;&lt;/dates&gt;&lt;isbn&gt;2211-3797&lt;/isbn&gt;&lt;urls&gt;&lt;/urls&gt;&lt;/record&gt;&lt;/Cite&gt;&lt;/EndNote&gt;</w:instrText>
      </w:r>
      <w:r w:rsidRPr="006560CF">
        <w:rPr>
          <w:rFonts w:asciiTheme="majorBidi" w:hAnsiTheme="majorBidi" w:cstheme="majorBidi"/>
        </w:rPr>
        <w:fldChar w:fldCharType="separate"/>
      </w:r>
      <w:r w:rsidR="00CF4680" w:rsidRPr="00CF4680">
        <w:rPr>
          <w:rFonts w:asciiTheme="majorBidi" w:hAnsiTheme="majorBidi" w:cstheme="majorBidi"/>
          <w:noProof/>
          <w:vertAlign w:val="superscript"/>
        </w:rPr>
        <w:t>1</w:t>
      </w:r>
      <w:r w:rsidRPr="006560CF">
        <w:rPr>
          <w:rFonts w:asciiTheme="majorBidi" w:hAnsiTheme="majorBidi" w:cstheme="majorBidi"/>
        </w:rPr>
        <w:fldChar w:fldCharType="end"/>
      </w:r>
      <w:r w:rsidRPr="006560CF">
        <w:rPr>
          <w:rFonts w:asciiTheme="majorBidi" w:hAnsiTheme="majorBidi" w:cstheme="majorBidi"/>
        </w:rPr>
        <w:t>. In the FT-IR spectrum of CoMnFeO</w:t>
      </w:r>
      <w:r w:rsidRPr="006560CF">
        <w:rPr>
          <w:rFonts w:asciiTheme="majorBidi" w:hAnsiTheme="majorBidi" w:cstheme="majorBidi"/>
          <w:vertAlign w:val="subscript"/>
        </w:rPr>
        <w:t>4</w:t>
      </w:r>
      <w:r w:rsidRPr="006560CF">
        <w:rPr>
          <w:rFonts w:asciiTheme="majorBidi" w:hAnsiTheme="majorBidi" w:cstheme="majorBidi"/>
        </w:rPr>
        <w:t xml:space="preserve"> (Fig. </w:t>
      </w:r>
      <w:r w:rsidR="00E61E66" w:rsidRPr="006560CF">
        <w:rPr>
          <w:rFonts w:asciiTheme="majorBidi" w:hAnsiTheme="majorBidi" w:cstheme="majorBidi"/>
        </w:rPr>
        <w:t>S</w:t>
      </w:r>
      <w:r w:rsidRPr="006560CF">
        <w:rPr>
          <w:rFonts w:asciiTheme="majorBidi" w:hAnsiTheme="majorBidi" w:cstheme="majorBidi"/>
        </w:rPr>
        <w:t>1</w:t>
      </w:r>
      <w:r w:rsidR="00BF6B7A">
        <w:rPr>
          <w:rFonts w:asciiTheme="majorBidi" w:hAnsiTheme="majorBidi" w:cstheme="majorBidi"/>
        </w:rPr>
        <w:t>b</w:t>
      </w:r>
      <w:r w:rsidRPr="006560CF">
        <w:rPr>
          <w:rFonts w:asciiTheme="majorBidi" w:hAnsiTheme="majorBidi" w:cstheme="majorBidi"/>
        </w:rPr>
        <w:t>), the absorption band emerges at 589 cm</w:t>
      </w:r>
      <w:r w:rsidRPr="006560CF">
        <w:rPr>
          <w:rFonts w:asciiTheme="majorBidi" w:hAnsiTheme="majorBidi" w:cstheme="majorBidi"/>
          <w:vertAlign w:val="superscript"/>
        </w:rPr>
        <w:t>-1</w:t>
      </w:r>
      <w:r w:rsidRPr="006560CF">
        <w:rPr>
          <w:rFonts w:asciiTheme="majorBidi" w:hAnsiTheme="majorBidi" w:cstheme="majorBidi"/>
        </w:rPr>
        <w:t xml:space="preserve"> as a result of the intrinsic stretching vibrations of metal ions (Co-O and Fe-O) bond in the tetrahedral site</w:t>
      </w:r>
      <w:r w:rsidR="00CF4680">
        <w:rPr>
          <w:rFonts w:asciiTheme="majorBidi" w:hAnsiTheme="majorBidi" w:cstheme="majorBidi"/>
        </w:rPr>
        <w:t xml:space="preserve"> </w:t>
      </w:r>
      <w:r w:rsidRPr="006560CF">
        <w:rPr>
          <w:rFonts w:asciiTheme="majorBidi" w:hAnsiTheme="majorBidi" w:cstheme="majorBidi"/>
        </w:rPr>
        <w:fldChar w:fldCharType="begin"/>
      </w:r>
      <w:r w:rsidR="00CF4680">
        <w:rPr>
          <w:rFonts w:asciiTheme="majorBidi" w:hAnsiTheme="majorBidi" w:cstheme="majorBidi"/>
        </w:rPr>
        <w:instrText xml:space="preserve"> ADDIN EN.CITE &lt;EndNote&gt;&lt;Cite&gt;&lt;Author&gt;Ghadimi&lt;/Author&gt;&lt;Year&gt;2019&lt;/Year&gt;&lt;RecNum&gt;68&lt;/RecNum&gt;&lt;DisplayText&gt;&lt;style face="superscript"&gt;2&lt;/style&gt;&lt;/DisplayText&gt;&lt;record&gt;&lt;rec-number&gt;68&lt;/rec-number&gt;&lt;foreign-keys&gt;&lt;key app="EN" db-id="p0fvzf2poe2vsmew2r8v90e4xfdtfxaeeede" timestamp="1650902863"&gt;68&lt;/key&gt;&lt;/foreign-keys&gt;&lt;ref-type name="Journal Article"&gt;17&lt;/ref-type&gt;&lt;contributors&gt;&lt;authors&gt;&lt;author&gt;Ghadimi, Laleh Saleh&lt;/author&gt;&lt;author&gt;Arsalani, Nasser&lt;/author&gt;&lt;author&gt;Ahadzadeh, Iraj&lt;/author&gt;&lt;author&gt;Hajalilou, Abdollah&lt;/author&gt;&lt;author&gt;Abouzari-Lotf, Ebrahim&lt;/author&gt;&lt;/authors&gt;&lt;/contributors&gt;&lt;titles&gt;&lt;title&gt;Effect of synthesis route on the electrochemical performance of CoMnFeO4 nanoparticles as a novel supercapacitor electrode material&lt;/title&gt;&lt;secondary-title&gt;Applied Surface Science&lt;/secondary-title&gt;&lt;/titles&gt;&lt;periodical&gt;&lt;full-title&gt;Applied Surface Science&lt;/full-title&gt;&lt;/periodical&gt;&lt;pages&gt;440-451&lt;/pages&gt;&lt;volume&gt;494&lt;/volume&gt;&lt;dates&gt;&lt;year&gt;2019&lt;/year&gt;&lt;/dates&gt;&lt;isbn&gt;0169-4332&lt;/isbn&gt;&lt;urls&gt;&lt;/urls&gt;&lt;/record&gt;&lt;/Cite&gt;&lt;/EndNote&gt;</w:instrText>
      </w:r>
      <w:r w:rsidRPr="006560CF">
        <w:rPr>
          <w:rFonts w:asciiTheme="majorBidi" w:hAnsiTheme="majorBidi" w:cstheme="majorBidi"/>
        </w:rPr>
        <w:fldChar w:fldCharType="separate"/>
      </w:r>
      <w:r w:rsidR="00CF4680" w:rsidRPr="00CF4680">
        <w:rPr>
          <w:rFonts w:asciiTheme="majorBidi" w:hAnsiTheme="majorBidi" w:cstheme="majorBidi"/>
          <w:noProof/>
          <w:vertAlign w:val="superscript"/>
        </w:rPr>
        <w:t>2</w:t>
      </w:r>
      <w:r w:rsidRPr="006560CF">
        <w:rPr>
          <w:rFonts w:asciiTheme="majorBidi" w:hAnsiTheme="majorBidi" w:cstheme="majorBidi"/>
        </w:rPr>
        <w:fldChar w:fldCharType="end"/>
      </w:r>
      <w:r w:rsidRPr="006560CF">
        <w:rPr>
          <w:rFonts w:asciiTheme="majorBidi" w:hAnsiTheme="majorBidi" w:cstheme="majorBidi"/>
        </w:rPr>
        <w:t>. The absorption peak that can be seen at 1630 and 3440 cm</w:t>
      </w:r>
      <w:r w:rsidRPr="006560CF">
        <w:rPr>
          <w:rFonts w:asciiTheme="majorBidi" w:hAnsiTheme="majorBidi" w:cstheme="majorBidi"/>
          <w:vertAlign w:val="superscript"/>
        </w:rPr>
        <w:t>-1</w:t>
      </w:r>
      <w:r w:rsidRPr="006560CF">
        <w:rPr>
          <w:rFonts w:asciiTheme="majorBidi" w:hAnsiTheme="majorBidi" w:cstheme="majorBidi"/>
        </w:rPr>
        <w:t xml:space="preserve"> corresponds to water molecules </w:t>
      </w:r>
      <w:r w:rsidRPr="006560CF">
        <w:rPr>
          <w:rFonts w:asciiTheme="majorBidi" w:hAnsiTheme="majorBidi" w:cstheme="majorBidi"/>
        </w:rPr>
        <w:fldChar w:fldCharType="begin"/>
      </w:r>
      <w:r w:rsidR="00CF4680">
        <w:rPr>
          <w:rFonts w:asciiTheme="majorBidi" w:hAnsiTheme="majorBidi" w:cstheme="majorBidi"/>
        </w:rPr>
        <w:instrText xml:space="preserve"> ADDIN EN.CITE &lt;EndNote&gt;&lt;Cite&gt;&lt;Author&gt;Baby&lt;/Author&gt;&lt;Year&gt;2020&lt;/Year&gt;&lt;RecNum&gt;73&lt;/RecNum&gt;&lt;DisplayText&gt;&lt;style face="superscript"&gt;3&lt;/style&gt;&lt;/DisplayText&gt;&lt;record&gt;&lt;rec-number&gt;73&lt;/rec-number&gt;&lt;foreign-keys&gt;&lt;key app="EN" db-id="p0fvzf2poe2vsmew2r8v90e4xfdtfxaeeede" timestamp="1650907795"&gt;73&lt;/key&gt;&lt;/foreign-keys&gt;&lt;ref-type name="Journal Article"&gt;17&lt;/ref-type&gt;&lt;contributors&gt;&lt;authors&gt;&lt;author&gt;Baby, Jeena N&lt;/author&gt;&lt;author&gt;Sriram, Balasubramanian&lt;/author&gt;&lt;author&gt;Wang, Sea-Fue&lt;/author&gt;&lt;author&gt;George, Mary&lt;/author&gt;&lt;/authors&gt;&lt;/contributors&gt;&lt;titles&gt;&lt;title&gt;Effect of various deep eutectic solvents on the sustainable synthesis of MgFe2O4 nanoparticles for simultaneous electrochemical determination of nitrofurantoin and 4-nitrophenol&lt;/title&gt;&lt;secondary-title&gt;ACS Sustainable Chemistry &amp;amp; Engineering&lt;/secondary-title&gt;&lt;/titles&gt;&lt;periodical&gt;&lt;full-title&gt;ACS Sustainable Chemistry &amp;amp; Engineering&lt;/full-title&gt;&lt;/periodical&gt;&lt;pages&gt;1479-1486&lt;/pages&gt;&lt;volume&gt;8&lt;/volume&gt;&lt;number&gt;3&lt;/number&gt;&lt;dates&gt;&lt;year&gt;2020&lt;/year&gt;&lt;/dates&gt;&lt;isbn&gt;2168-0485&lt;/isbn&gt;&lt;urls&gt;&lt;/urls&gt;&lt;/record&gt;&lt;/Cite&gt;&lt;/EndNote&gt;</w:instrText>
      </w:r>
      <w:r w:rsidRPr="006560CF">
        <w:rPr>
          <w:rFonts w:asciiTheme="majorBidi" w:hAnsiTheme="majorBidi" w:cstheme="majorBidi"/>
        </w:rPr>
        <w:fldChar w:fldCharType="separate"/>
      </w:r>
      <w:r w:rsidR="00CF4680" w:rsidRPr="00CF4680">
        <w:rPr>
          <w:rFonts w:asciiTheme="majorBidi" w:hAnsiTheme="majorBidi" w:cstheme="majorBidi"/>
          <w:noProof/>
          <w:vertAlign w:val="superscript"/>
        </w:rPr>
        <w:t>3</w:t>
      </w:r>
      <w:r w:rsidRPr="006560CF">
        <w:rPr>
          <w:rFonts w:asciiTheme="majorBidi" w:hAnsiTheme="majorBidi" w:cstheme="majorBidi"/>
        </w:rPr>
        <w:fldChar w:fldCharType="end"/>
      </w:r>
      <w:r w:rsidRPr="006560CF">
        <w:rPr>
          <w:rFonts w:asciiTheme="majorBidi" w:hAnsiTheme="majorBidi" w:cstheme="majorBidi"/>
        </w:rPr>
        <w:t>. The CoMnFeO</w:t>
      </w:r>
      <w:r w:rsidRPr="006560CF">
        <w:rPr>
          <w:rFonts w:asciiTheme="majorBidi" w:hAnsiTheme="majorBidi" w:cstheme="majorBidi"/>
          <w:vertAlign w:val="subscript"/>
        </w:rPr>
        <w:t>4</w:t>
      </w:r>
      <w:r w:rsidRPr="006560CF">
        <w:rPr>
          <w:rFonts w:asciiTheme="majorBidi" w:hAnsiTheme="majorBidi" w:cstheme="majorBidi"/>
        </w:rPr>
        <w:t xml:space="preserve"> and ZnMnFeO</w:t>
      </w:r>
      <w:r w:rsidRPr="006560CF">
        <w:rPr>
          <w:rFonts w:asciiTheme="majorBidi" w:hAnsiTheme="majorBidi" w:cstheme="majorBidi"/>
          <w:vertAlign w:val="subscript"/>
        </w:rPr>
        <w:t>4</w:t>
      </w:r>
      <w:r w:rsidRPr="006560CF">
        <w:rPr>
          <w:rFonts w:asciiTheme="majorBidi" w:hAnsiTheme="majorBidi" w:cstheme="majorBidi"/>
        </w:rPr>
        <w:t xml:space="preserve"> ferrite samples are synthesized by the hydrothermal route and in Fig. </w:t>
      </w:r>
      <w:r w:rsidR="00E61E66" w:rsidRPr="006560CF">
        <w:rPr>
          <w:rFonts w:asciiTheme="majorBidi" w:hAnsiTheme="majorBidi" w:cstheme="majorBidi"/>
        </w:rPr>
        <w:t>S</w:t>
      </w:r>
      <w:r w:rsidRPr="006560CF">
        <w:rPr>
          <w:rFonts w:asciiTheme="majorBidi" w:hAnsiTheme="majorBidi" w:cstheme="majorBidi"/>
        </w:rPr>
        <w:t>1</w:t>
      </w:r>
      <w:r w:rsidR="00BF6B7A">
        <w:rPr>
          <w:rFonts w:asciiTheme="majorBidi" w:hAnsiTheme="majorBidi" w:cstheme="majorBidi"/>
        </w:rPr>
        <w:t>c</w:t>
      </w:r>
      <w:r w:rsidRPr="006560CF">
        <w:rPr>
          <w:rFonts w:asciiTheme="majorBidi" w:hAnsiTheme="majorBidi" w:cstheme="majorBidi"/>
        </w:rPr>
        <w:t xml:space="preserve"> and </w:t>
      </w:r>
      <w:r w:rsidR="00BF6B7A">
        <w:rPr>
          <w:rFonts w:asciiTheme="majorBidi" w:hAnsiTheme="majorBidi" w:cstheme="majorBidi"/>
        </w:rPr>
        <w:t>d</w:t>
      </w:r>
      <w:r w:rsidRPr="006560CF">
        <w:rPr>
          <w:rFonts w:asciiTheme="majorBidi" w:hAnsiTheme="majorBidi" w:cstheme="majorBidi"/>
        </w:rPr>
        <w:t>, the patterns of X-ray diffraction for these samples can be clearly seen. For both samples which have proper crystallinity and well-defined diffraction lines, a single-phase spinel structure w</w:t>
      </w:r>
      <w:r w:rsidR="00444B4E">
        <w:rPr>
          <w:rFonts w:asciiTheme="majorBidi" w:hAnsiTheme="majorBidi" w:cstheme="majorBidi"/>
        </w:rPr>
        <w:t>as perceived without any unfavo</w:t>
      </w:r>
      <w:r w:rsidR="00444B4E" w:rsidRPr="006560CF">
        <w:rPr>
          <w:rFonts w:asciiTheme="majorBidi" w:hAnsiTheme="majorBidi" w:cstheme="majorBidi"/>
        </w:rPr>
        <w:t>urable</w:t>
      </w:r>
      <w:r w:rsidRPr="006560CF">
        <w:rPr>
          <w:rFonts w:asciiTheme="majorBidi" w:hAnsiTheme="majorBidi" w:cstheme="majorBidi"/>
        </w:rPr>
        <w:t xml:space="preserve"> phase. There is not any obvious peak </w:t>
      </w:r>
      <w:r w:rsidR="00444B4E">
        <w:rPr>
          <w:rFonts w:asciiTheme="majorBidi" w:hAnsiTheme="majorBidi" w:cstheme="majorBidi"/>
        </w:rPr>
        <w:t xml:space="preserve">detected for </w:t>
      </w:r>
      <w:r w:rsidR="00444B4E">
        <w:rPr>
          <w:rFonts w:asciiTheme="majorBidi" w:hAnsiTheme="majorBidi" w:cstheme="majorBidi"/>
        </w:rPr>
        <w:lastRenderedPageBreak/>
        <w:t>both sample</w:t>
      </w:r>
      <w:r w:rsidRPr="006560CF">
        <w:rPr>
          <w:rFonts w:asciiTheme="majorBidi" w:hAnsiTheme="majorBidi" w:cstheme="majorBidi"/>
        </w:rPr>
        <w:t xml:space="preserve">. This bears witness that there is a high purity of the synthesized nanostructures. In Fig. </w:t>
      </w:r>
      <w:r w:rsidR="00E61E66" w:rsidRPr="006560CF">
        <w:rPr>
          <w:rFonts w:asciiTheme="majorBidi" w:hAnsiTheme="majorBidi" w:cstheme="majorBidi"/>
        </w:rPr>
        <w:t>S</w:t>
      </w:r>
      <w:r w:rsidRPr="006560CF">
        <w:rPr>
          <w:rFonts w:asciiTheme="majorBidi" w:hAnsiTheme="majorBidi" w:cstheme="majorBidi"/>
        </w:rPr>
        <w:t>1</w:t>
      </w:r>
      <w:r w:rsidR="00BF6B7A">
        <w:rPr>
          <w:rFonts w:asciiTheme="majorBidi" w:hAnsiTheme="majorBidi" w:cstheme="majorBidi"/>
        </w:rPr>
        <w:t>c</w:t>
      </w:r>
      <w:r w:rsidRPr="006560CF">
        <w:rPr>
          <w:rFonts w:asciiTheme="majorBidi" w:hAnsiTheme="majorBidi" w:cstheme="majorBidi"/>
        </w:rPr>
        <w:t xml:space="preserve"> Appearing diffraction peaks for synthesized ZnMnFeO</w:t>
      </w:r>
      <w:r w:rsidRPr="006560CF">
        <w:rPr>
          <w:rFonts w:asciiTheme="majorBidi" w:hAnsiTheme="majorBidi" w:cstheme="majorBidi"/>
          <w:vertAlign w:val="subscript"/>
        </w:rPr>
        <w:t>4</w:t>
      </w:r>
      <w:r w:rsidRPr="006560CF">
        <w:rPr>
          <w:rFonts w:asciiTheme="majorBidi" w:hAnsiTheme="majorBidi" w:cstheme="majorBidi"/>
        </w:rPr>
        <w:t xml:space="preserve"> nanoparticles at planes of (111), (220), (311), (400), (422), (511), and (440) adapted well with the standard pattern reported in the JCPDS card no. 01-074-2400. And in Fig. </w:t>
      </w:r>
      <w:r w:rsidR="00E61E66" w:rsidRPr="006560CF">
        <w:rPr>
          <w:rFonts w:asciiTheme="majorBidi" w:hAnsiTheme="majorBidi" w:cstheme="majorBidi"/>
        </w:rPr>
        <w:t>S</w:t>
      </w:r>
      <w:r w:rsidRPr="006560CF">
        <w:rPr>
          <w:rFonts w:asciiTheme="majorBidi" w:hAnsiTheme="majorBidi" w:cstheme="majorBidi"/>
        </w:rPr>
        <w:t>1</w:t>
      </w:r>
      <w:r w:rsidR="00BF6B7A">
        <w:rPr>
          <w:rFonts w:asciiTheme="majorBidi" w:hAnsiTheme="majorBidi" w:cstheme="majorBidi"/>
        </w:rPr>
        <w:t>d</w:t>
      </w:r>
      <w:r w:rsidRPr="006560CF">
        <w:rPr>
          <w:rFonts w:asciiTheme="majorBidi" w:hAnsiTheme="majorBidi" w:cstheme="majorBidi"/>
        </w:rPr>
        <w:t xml:space="preserve"> the relevant peaks of CoMnFeO</w:t>
      </w:r>
      <w:r w:rsidRPr="006560CF">
        <w:rPr>
          <w:rFonts w:asciiTheme="majorBidi" w:hAnsiTheme="majorBidi" w:cstheme="majorBidi"/>
          <w:vertAlign w:val="subscript"/>
        </w:rPr>
        <w:t>4</w:t>
      </w:r>
      <w:r w:rsidRPr="006560CF">
        <w:rPr>
          <w:rFonts w:asciiTheme="majorBidi" w:hAnsiTheme="majorBidi" w:cstheme="majorBidi"/>
        </w:rPr>
        <w:t xml:space="preserve"> at planes of (220), (311), (222), (400), (422), (511), and (440) in the XRD pattern could be indexed to the standard pattern reported in the JCPDS card no. 00-001-1121. Grounded on the XRD diffractograms of both nanoparticles, it can be seen that every one of the peaks </w:t>
      </w:r>
      <w:r w:rsidR="00444B4E">
        <w:rPr>
          <w:rFonts w:asciiTheme="majorBidi" w:hAnsiTheme="majorBidi" w:cstheme="majorBidi"/>
        </w:rPr>
        <w:t>is</w:t>
      </w:r>
      <w:r w:rsidRPr="006560CF">
        <w:rPr>
          <w:rFonts w:asciiTheme="majorBidi" w:hAnsiTheme="majorBidi" w:cstheme="majorBidi"/>
        </w:rPr>
        <w:t xml:space="preserve"> either all even or all odd. This indicates that the samples are spinel in phase </w:t>
      </w:r>
      <w:r w:rsidRPr="006560CF">
        <w:rPr>
          <w:rFonts w:asciiTheme="majorBidi" w:hAnsiTheme="majorBidi" w:cstheme="majorBidi"/>
        </w:rPr>
        <w:fldChar w:fldCharType="begin"/>
      </w:r>
      <w:r w:rsidR="00CF4680">
        <w:rPr>
          <w:rFonts w:asciiTheme="majorBidi" w:hAnsiTheme="majorBidi" w:cstheme="majorBidi"/>
        </w:rPr>
        <w:instrText xml:space="preserve"> ADDIN EN.CITE &lt;EndNote&gt;&lt;Cite&gt;&lt;Author&gt;Hajalilou&lt;/Author&gt;&lt;Year&gt;2015&lt;/Year&gt;&lt;RecNum&gt;75&lt;/RecNum&gt;&lt;DisplayText&gt;&lt;style face="superscript"&gt;4&lt;/style&gt;&lt;/DisplayText&gt;&lt;record&gt;&lt;rec-number&gt;75&lt;/rec-number&gt;&lt;foreign-keys&gt;&lt;key app="EN" db-id="p0fvzf2poe2vsmew2r8v90e4xfdtfxaeeede" timestamp="1650909433"&gt;75&lt;/key&gt;&lt;/foreign-keys&gt;&lt;ref-type name="Journal Article"&gt;17&lt;/ref-type&gt;&lt;contributors&gt;&lt;authors&gt;&lt;author&gt;Hajalilou, A&lt;/author&gt;&lt;author&gt;Hashim, M&lt;/author&gt;&lt;author&gt;Ebrahimi-Kahrizsangi, R&lt;/author&gt;&lt;author&gt;Sarami, N&lt;/author&gt;&lt;/authors&gt;&lt;/contributors&gt;&lt;titles&gt;&lt;title&gt;Influence of CaO and SiO2 co-doping on the magnetic, electrical properties and microstructure of a Ni–Zn ferrite&lt;/title&gt;&lt;secondary-title&gt;Journal of Physics D: Applied Physics&lt;/secondary-title&gt;&lt;/titles&gt;&lt;periodical&gt;&lt;full-title&gt;Journal of Physics D: Applied Physics&lt;/full-title&gt;&lt;/periodical&gt;&lt;pages&gt;145001&lt;/pages&gt;&lt;volume&gt;48&lt;/volume&gt;&lt;number&gt;14&lt;/number&gt;&lt;dates&gt;&lt;year&gt;2015&lt;/year&gt;&lt;/dates&gt;&lt;isbn&gt;0022-3727&lt;/isbn&gt;&lt;urls&gt;&lt;/urls&gt;&lt;/record&gt;&lt;/Cite&gt;&lt;/EndNote&gt;</w:instrText>
      </w:r>
      <w:r w:rsidRPr="006560CF">
        <w:rPr>
          <w:rFonts w:asciiTheme="majorBidi" w:hAnsiTheme="majorBidi" w:cstheme="majorBidi"/>
        </w:rPr>
        <w:fldChar w:fldCharType="separate"/>
      </w:r>
      <w:r w:rsidR="00CF4680" w:rsidRPr="00CF4680">
        <w:rPr>
          <w:rFonts w:asciiTheme="majorBidi" w:hAnsiTheme="majorBidi" w:cstheme="majorBidi"/>
          <w:noProof/>
          <w:vertAlign w:val="superscript"/>
        </w:rPr>
        <w:t>4</w:t>
      </w:r>
      <w:r w:rsidRPr="006560CF">
        <w:rPr>
          <w:rFonts w:asciiTheme="majorBidi" w:hAnsiTheme="majorBidi" w:cstheme="majorBidi"/>
        </w:rPr>
        <w:fldChar w:fldCharType="end"/>
      </w:r>
      <w:r w:rsidRPr="006560CF">
        <w:rPr>
          <w:rFonts w:asciiTheme="majorBidi" w:hAnsiTheme="majorBidi" w:cstheme="majorBid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709"/>
      </w:tblGrid>
      <w:tr w:rsidR="00A347D4" w:rsidRPr="00AD0A92" w14:paraId="719955BB" w14:textId="77777777" w:rsidTr="00315D9C">
        <w:tc>
          <w:tcPr>
            <w:tcW w:w="4629" w:type="dxa"/>
          </w:tcPr>
          <w:p w14:paraId="175B5C09" w14:textId="5230D6C0" w:rsidR="00AD634C" w:rsidRPr="00AD0A92" w:rsidRDefault="00AA59A7" w:rsidP="002E37EB">
            <w:pPr>
              <w:spacing w:after="160" w:line="360" w:lineRule="auto"/>
              <w:jc w:val="lowKashida"/>
              <w:rPr>
                <w:rFonts w:asciiTheme="majorBidi" w:eastAsia="Times New Roman" w:hAnsiTheme="majorBidi" w:cstheme="majorBidi"/>
                <w:color w:val="000000"/>
                <w:sz w:val="24"/>
                <w:szCs w:val="24"/>
              </w:rPr>
            </w:pPr>
            <w:bookmarkStart w:id="1" w:name="_Hlk101663728"/>
            <w:r>
              <w:rPr>
                <w:rFonts w:asciiTheme="majorBidi" w:eastAsia="Times New Roman" w:hAnsiTheme="majorBidi" w:cstheme="majorBidi"/>
                <w:noProof/>
                <w:color w:val="000000"/>
                <w:sz w:val="24"/>
                <w:szCs w:val="24"/>
                <w:lang w:val="en-US"/>
              </w:rPr>
              <w:drawing>
                <wp:anchor distT="0" distB="0" distL="114300" distR="114300" simplePos="0" relativeHeight="251665408" behindDoc="0" locked="0" layoutInCell="1" allowOverlap="1" wp14:anchorId="25489FA6" wp14:editId="449BFEB6">
                  <wp:simplePos x="0" y="0"/>
                  <wp:positionH relativeFrom="column">
                    <wp:posOffset>-59055</wp:posOffset>
                  </wp:positionH>
                  <wp:positionV relativeFrom="paragraph">
                    <wp:posOffset>0</wp:posOffset>
                  </wp:positionV>
                  <wp:extent cx="2867025" cy="2971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2971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731" w:type="dxa"/>
          </w:tcPr>
          <w:p w14:paraId="26E67167" w14:textId="43F72D0C" w:rsidR="00AD634C" w:rsidRPr="00AD0A92" w:rsidRDefault="00AA59A7" w:rsidP="002E37EB">
            <w:pPr>
              <w:spacing w:after="160" w:line="360" w:lineRule="auto"/>
              <w:jc w:val="lowKashida"/>
              <w:rPr>
                <w:rFonts w:asciiTheme="majorBidi" w:eastAsia="Times New Roman" w:hAnsiTheme="majorBidi" w:cstheme="majorBidi"/>
                <w:color w:val="000000"/>
                <w:sz w:val="24"/>
                <w:szCs w:val="24"/>
              </w:rPr>
            </w:pPr>
            <w:r>
              <w:rPr>
                <w:rFonts w:asciiTheme="majorBidi" w:eastAsia="Times New Roman" w:hAnsiTheme="majorBidi" w:cstheme="majorBidi"/>
                <w:noProof/>
                <w:color w:val="000000"/>
                <w:sz w:val="24"/>
                <w:szCs w:val="24"/>
                <w:lang w:val="en-US"/>
              </w:rPr>
              <w:drawing>
                <wp:anchor distT="0" distB="0" distL="114300" distR="114300" simplePos="0" relativeHeight="251664384" behindDoc="0" locked="0" layoutInCell="1" allowOverlap="1" wp14:anchorId="46D404DD" wp14:editId="086645CF">
                  <wp:simplePos x="0" y="0"/>
                  <wp:positionH relativeFrom="column">
                    <wp:posOffset>-68580</wp:posOffset>
                  </wp:positionH>
                  <wp:positionV relativeFrom="paragraph">
                    <wp:posOffset>0</wp:posOffset>
                  </wp:positionV>
                  <wp:extent cx="2905125" cy="30003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5" cy="3000375"/>
                          </a:xfrm>
                          <a:prstGeom prst="rect">
                            <a:avLst/>
                          </a:prstGeom>
                          <a:noFill/>
                        </pic:spPr>
                      </pic:pic>
                    </a:graphicData>
                  </a:graphic>
                  <wp14:sizeRelH relativeFrom="margin">
                    <wp14:pctWidth>0</wp14:pctWidth>
                  </wp14:sizeRelH>
                  <wp14:sizeRelV relativeFrom="margin">
                    <wp14:pctHeight>0</wp14:pctHeight>
                  </wp14:sizeRelV>
                </wp:anchor>
              </w:drawing>
            </w:r>
          </w:p>
        </w:tc>
      </w:tr>
      <w:tr w:rsidR="00A347D4" w:rsidRPr="00AD0A92" w14:paraId="72E22956" w14:textId="77777777" w:rsidTr="00315D9C">
        <w:tc>
          <w:tcPr>
            <w:tcW w:w="4629" w:type="dxa"/>
          </w:tcPr>
          <w:p w14:paraId="227AD48E" w14:textId="0B68D063" w:rsidR="00AD634C" w:rsidRPr="00AD0A92" w:rsidRDefault="00A347D4" w:rsidP="002E37EB">
            <w:pPr>
              <w:spacing w:after="160" w:line="360" w:lineRule="auto"/>
              <w:jc w:val="lowKashida"/>
              <w:rPr>
                <w:rFonts w:asciiTheme="majorBidi" w:hAnsiTheme="majorBidi" w:cstheme="majorBidi"/>
                <w:noProof/>
              </w:rPr>
            </w:pPr>
            <w:r>
              <w:rPr>
                <w:noProof/>
                <w:lang w:val="en-US"/>
              </w:rPr>
              <w:drawing>
                <wp:anchor distT="0" distB="0" distL="114300" distR="114300" simplePos="0" relativeHeight="251671552" behindDoc="0" locked="0" layoutInCell="1" allowOverlap="1" wp14:anchorId="05FC9FD4" wp14:editId="29979272">
                  <wp:simplePos x="0" y="0"/>
                  <wp:positionH relativeFrom="column">
                    <wp:posOffset>74295</wp:posOffset>
                  </wp:positionH>
                  <wp:positionV relativeFrom="paragraph">
                    <wp:posOffset>0</wp:posOffset>
                  </wp:positionV>
                  <wp:extent cx="2609850" cy="250507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25050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31" w:type="dxa"/>
          </w:tcPr>
          <w:p w14:paraId="5D391B88" w14:textId="45737A3F" w:rsidR="00AD634C" w:rsidRPr="00AD0A92" w:rsidRDefault="00A347D4" w:rsidP="002E37EB">
            <w:pPr>
              <w:spacing w:after="160" w:line="360" w:lineRule="auto"/>
              <w:jc w:val="lowKashida"/>
              <w:rPr>
                <w:rFonts w:asciiTheme="majorBidi" w:hAnsiTheme="majorBidi" w:cstheme="majorBidi"/>
                <w:noProof/>
              </w:rPr>
            </w:pPr>
            <w:r>
              <w:rPr>
                <w:noProof/>
                <w:lang w:val="en-US"/>
              </w:rPr>
              <w:drawing>
                <wp:anchor distT="0" distB="0" distL="114300" distR="114300" simplePos="0" relativeHeight="251672576" behindDoc="0" locked="0" layoutInCell="1" allowOverlap="1" wp14:anchorId="697DDAD7" wp14:editId="7506E591">
                  <wp:simplePos x="0" y="0"/>
                  <wp:positionH relativeFrom="column">
                    <wp:posOffset>35560</wp:posOffset>
                  </wp:positionH>
                  <wp:positionV relativeFrom="paragraph">
                    <wp:posOffset>0</wp:posOffset>
                  </wp:positionV>
                  <wp:extent cx="2676525" cy="2524125"/>
                  <wp:effectExtent l="0" t="0" r="952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6525" cy="2524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bookmarkEnd w:id="1"/>
    <w:p w14:paraId="260668B2" w14:textId="49EF4D13" w:rsidR="00AD634C" w:rsidRPr="008F09B4" w:rsidRDefault="00AD634C" w:rsidP="008F09B4">
      <w:pPr>
        <w:spacing w:after="160" w:line="360" w:lineRule="auto"/>
        <w:ind w:firstLine="432"/>
        <w:jc w:val="lowKashida"/>
        <w:rPr>
          <w:rFonts w:asciiTheme="majorBidi" w:hAnsiTheme="majorBidi" w:cstheme="majorBidi"/>
          <w:color w:val="000000"/>
          <w:sz w:val="24"/>
          <w:szCs w:val="24"/>
        </w:rPr>
      </w:pPr>
      <w:r>
        <w:rPr>
          <w:rFonts w:ascii="Times New Roman" w:eastAsia="Times New Roman" w:hAnsi="Times New Roman"/>
          <w:b/>
          <w:bCs/>
          <w:color w:val="000000"/>
          <w:sz w:val="24"/>
          <w:szCs w:val="24"/>
          <w:lang w:val="en-US"/>
        </w:rPr>
        <w:lastRenderedPageBreak/>
        <w:t xml:space="preserve">Fig. S1. </w:t>
      </w:r>
      <w:r w:rsidRPr="002E37EB">
        <w:rPr>
          <w:rFonts w:asciiTheme="majorBidi" w:hAnsiTheme="majorBidi" w:cstheme="majorBidi"/>
          <w:color w:val="000000"/>
        </w:rPr>
        <w:t>FT-IR spectrum and XRD pattern of synthesized (</w:t>
      </w:r>
      <w:r w:rsidR="00BF6B7A">
        <w:rPr>
          <w:rFonts w:asciiTheme="majorBidi" w:hAnsiTheme="majorBidi" w:cstheme="majorBidi"/>
          <w:color w:val="000000"/>
        </w:rPr>
        <w:t>a</w:t>
      </w:r>
      <w:r w:rsidRPr="002E37EB">
        <w:rPr>
          <w:rFonts w:asciiTheme="majorBidi" w:hAnsiTheme="majorBidi" w:cstheme="majorBidi"/>
          <w:color w:val="000000"/>
        </w:rPr>
        <w:t xml:space="preserve">, </w:t>
      </w:r>
      <w:r w:rsidR="00BF6B7A">
        <w:rPr>
          <w:rFonts w:asciiTheme="majorBidi" w:hAnsiTheme="majorBidi" w:cstheme="majorBidi"/>
          <w:color w:val="000000"/>
        </w:rPr>
        <w:t>c</w:t>
      </w:r>
      <w:r w:rsidRPr="002E37EB">
        <w:rPr>
          <w:rFonts w:asciiTheme="majorBidi" w:hAnsiTheme="majorBidi" w:cstheme="majorBidi"/>
          <w:color w:val="000000"/>
        </w:rPr>
        <w:t>) ZnMnFeO</w:t>
      </w:r>
      <w:r w:rsidRPr="002E37EB">
        <w:rPr>
          <w:rFonts w:asciiTheme="majorBidi" w:hAnsiTheme="majorBidi" w:cstheme="majorBidi"/>
          <w:color w:val="000000"/>
          <w:vertAlign w:val="subscript"/>
        </w:rPr>
        <w:t>4</w:t>
      </w:r>
      <w:r w:rsidRPr="002E37EB">
        <w:rPr>
          <w:rFonts w:asciiTheme="majorBidi" w:hAnsiTheme="majorBidi" w:cstheme="majorBidi"/>
          <w:color w:val="000000"/>
        </w:rPr>
        <w:t xml:space="preserve"> NPs and (</w:t>
      </w:r>
      <w:r w:rsidR="00BF6B7A">
        <w:rPr>
          <w:rFonts w:asciiTheme="majorBidi" w:hAnsiTheme="majorBidi" w:cstheme="majorBidi"/>
          <w:color w:val="000000"/>
        </w:rPr>
        <w:t>b</w:t>
      </w:r>
      <w:r w:rsidRPr="002E37EB">
        <w:rPr>
          <w:rFonts w:asciiTheme="majorBidi" w:hAnsiTheme="majorBidi" w:cstheme="majorBidi"/>
          <w:color w:val="000000"/>
        </w:rPr>
        <w:t xml:space="preserve">, </w:t>
      </w:r>
      <w:r w:rsidR="00BF6B7A">
        <w:rPr>
          <w:rFonts w:asciiTheme="majorBidi" w:hAnsiTheme="majorBidi" w:cstheme="majorBidi"/>
          <w:color w:val="000000"/>
        </w:rPr>
        <w:t>d</w:t>
      </w:r>
      <w:r w:rsidRPr="002E37EB">
        <w:rPr>
          <w:rFonts w:asciiTheme="majorBidi" w:hAnsiTheme="majorBidi" w:cstheme="majorBidi"/>
          <w:color w:val="000000"/>
        </w:rPr>
        <w:t>) CoMnFeO</w:t>
      </w:r>
      <w:r w:rsidRPr="002E37EB">
        <w:rPr>
          <w:rFonts w:asciiTheme="majorBidi" w:hAnsiTheme="majorBidi" w:cstheme="majorBidi"/>
          <w:color w:val="000000"/>
          <w:vertAlign w:val="subscript"/>
        </w:rPr>
        <w:t xml:space="preserve">4 </w:t>
      </w:r>
      <w:r w:rsidRPr="002E37EB">
        <w:rPr>
          <w:rFonts w:asciiTheme="majorBidi" w:hAnsiTheme="majorBidi" w:cstheme="majorBidi"/>
          <w:color w:val="000000"/>
        </w:rPr>
        <w:t>NPs</w:t>
      </w:r>
      <w:r w:rsidRPr="00AD0A92">
        <w:rPr>
          <w:rFonts w:asciiTheme="majorBidi" w:hAnsiTheme="majorBidi" w:cstheme="majorBidi"/>
          <w:color w:val="000000"/>
          <w:sz w:val="24"/>
          <w:szCs w:val="24"/>
        </w:rPr>
        <w:t>.</w:t>
      </w:r>
    </w:p>
    <w:p w14:paraId="3E0ACB99" w14:textId="34597C28" w:rsidR="00DD1011" w:rsidRPr="006560CF" w:rsidRDefault="00DD1011" w:rsidP="006560CF">
      <w:pPr>
        <w:numPr>
          <w:ilvl w:val="1"/>
          <w:numId w:val="1"/>
        </w:numPr>
        <w:spacing w:before="200" w:line="360" w:lineRule="auto"/>
        <w:ind w:left="778" w:hanging="418"/>
        <w:jc w:val="lowKashida"/>
        <w:rPr>
          <w:rFonts w:ascii="Times New Roman" w:eastAsia="Times New Roman" w:hAnsi="Times New Roman"/>
          <w:b/>
          <w:bCs/>
          <w:color w:val="000000"/>
          <w:sz w:val="24"/>
          <w:szCs w:val="24"/>
          <w:lang w:val="en-US"/>
        </w:rPr>
      </w:pPr>
      <w:r w:rsidRPr="006560CF">
        <w:rPr>
          <w:rFonts w:ascii="Times New Roman" w:eastAsia="Times New Roman" w:hAnsi="Times New Roman"/>
          <w:b/>
          <w:bCs/>
          <w:color w:val="000000"/>
          <w:sz w:val="24"/>
          <w:szCs w:val="24"/>
          <w:lang w:val="en-US"/>
        </w:rPr>
        <w:t xml:space="preserve">Electrochemical characterization of the </w:t>
      </w:r>
      <w:r w:rsidR="00C3744F">
        <w:rPr>
          <w:rFonts w:ascii="Times New Roman" w:eastAsia="Times New Roman" w:hAnsi="Times New Roman"/>
          <w:b/>
          <w:bCs/>
          <w:color w:val="000000"/>
          <w:sz w:val="24"/>
          <w:szCs w:val="24"/>
          <w:lang w:val="en-US"/>
        </w:rPr>
        <w:t>HZ</w:t>
      </w:r>
      <w:r w:rsidRPr="006560CF">
        <w:rPr>
          <w:rFonts w:ascii="Times New Roman" w:eastAsia="Times New Roman" w:hAnsi="Times New Roman"/>
          <w:b/>
          <w:bCs/>
          <w:color w:val="000000"/>
          <w:sz w:val="24"/>
          <w:szCs w:val="24"/>
          <w:lang w:val="en-US"/>
        </w:rPr>
        <w:t xml:space="preserve"> sensor</w:t>
      </w:r>
    </w:p>
    <w:p w14:paraId="182AC333" w14:textId="7AC015DC" w:rsidR="00DD1011" w:rsidRPr="006560CF" w:rsidRDefault="00DD1011" w:rsidP="006560CF">
      <w:pPr>
        <w:spacing w:before="240" w:after="240" w:line="360" w:lineRule="auto"/>
        <w:jc w:val="lowKashida"/>
        <w:rPr>
          <w:rFonts w:asciiTheme="majorBidi" w:eastAsiaTheme="minorHAnsi" w:hAnsiTheme="majorBidi" w:cstheme="majorBidi"/>
          <w:lang w:val="en-US"/>
        </w:rPr>
      </w:pPr>
      <w:r w:rsidRPr="006560CF">
        <w:rPr>
          <w:rFonts w:asciiTheme="majorBidi" w:eastAsiaTheme="minorHAnsi" w:hAnsiTheme="majorBidi" w:cstheme="majorBidi"/>
          <w:lang w:val="en-US"/>
        </w:rPr>
        <w:t>In order to modify</w:t>
      </w:r>
      <w:r w:rsidR="00444B4E">
        <w:rPr>
          <w:rFonts w:asciiTheme="majorBidi" w:eastAsiaTheme="minorHAnsi" w:hAnsiTheme="majorBidi" w:cstheme="majorBidi"/>
          <w:lang w:val="en-US"/>
        </w:rPr>
        <w:t xml:space="preserve"> the</w:t>
      </w:r>
      <w:r w:rsidRPr="006560CF">
        <w:rPr>
          <w:rFonts w:asciiTheme="majorBidi" w:eastAsiaTheme="minorHAnsi" w:hAnsiTheme="majorBidi" w:cstheme="majorBidi"/>
          <w:lang w:val="en-US"/>
        </w:rPr>
        <w:t xml:space="preserve"> FTO substrate, the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 NPs has been used as a modifier</w:t>
      </w:r>
      <w:r w:rsidR="00444B4E">
        <w:rPr>
          <w:rFonts w:asciiTheme="majorBidi" w:eastAsiaTheme="minorHAnsi" w:hAnsiTheme="majorBidi" w:cstheme="majorBidi"/>
          <w:lang w:val="en-US"/>
        </w:rPr>
        <w:t>,</w:t>
      </w:r>
      <w:r w:rsidRPr="006560CF">
        <w:rPr>
          <w:rFonts w:asciiTheme="majorBidi" w:eastAsiaTheme="minorHAnsi" w:hAnsiTheme="majorBidi" w:cstheme="majorBidi"/>
          <w:lang w:val="en-US"/>
        </w:rPr>
        <w:t xml:space="preserve"> and to control the tests, the FTO substrate was also modified with 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 and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 and then was defined as 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and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The electrochemical behavior of the three freshly modified electrodes including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and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/FTO </w:t>
      </w:r>
      <w:r w:rsidR="00E70697">
        <w:rPr>
          <w:rFonts w:asciiTheme="majorBidi" w:eastAsiaTheme="minorHAnsi" w:hAnsiTheme="majorBidi" w:cstheme="majorBidi"/>
          <w:lang w:val="en-US"/>
        </w:rPr>
        <w:t>in</w:t>
      </w:r>
      <w:r w:rsidRPr="006560CF">
        <w:rPr>
          <w:rFonts w:asciiTheme="majorBidi" w:eastAsiaTheme="minorHAnsi" w:hAnsiTheme="majorBidi" w:cstheme="majorBidi"/>
          <w:lang w:val="en-US"/>
        </w:rPr>
        <w:t xml:space="preserve"> 0.1 M </w:t>
      </w:r>
      <w:proofErr w:type="spellStart"/>
      <w:r w:rsidRPr="006560CF">
        <w:rPr>
          <w:rFonts w:asciiTheme="majorBidi" w:eastAsiaTheme="minorHAnsi" w:hAnsiTheme="majorBidi" w:cstheme="majorBidi"/>
          <w:lang w:val="en-US"/>
        </w:rPr>
        <w:t>KCl</w:t>
      </w:r>
      <w:proofErr w:type="spellEnd"/>
      <w:r w:rsidRPr="006560CF">
        <w:rPr>
          <w:rFonts w:asciiTheme="majorBidi" w:eastAsiaTheme="minorHAnsi" w:hAnsiTheme="majorBidi" w:cstheme="majorBidi"/>
          <w:lang w:val="en-US"/>
        </w:rPr>
        <w:t xml:space="preserve"> as a </w:t>
      </w:r>
      <w:r w:rsidR="00752B00">
        <w:rPr>
          <w:rFonts w:asciiTheme="majorBidi" w:eastAsiaTheme="minorHAnsi" w:hAnsiTheme="majorBidi" w:cstheme="majorBidi"/>
          <w:lang w:val="en-US"/>
        </w:rPr>
        <w:t>carrier</w:t>
      </w:r>
      <w:r w:rsidRPr="006560CF">
        <w:rPr>
          <w:rFonts w:asciiTheme="majorBidi" w:eastAsiaTheme="minorHAnsi" w:hAnsiTheme="majorBidi" w:cstheme="majorBidi"/>
          <w:lang w:val="en-US"/>
        </w:rPr>
        <w:t xml:space="preserve"> electrolyte, and </w:t>
      </w:r>
      <w:r w:rsidR="00C6700F">
        <w:rPr>
          <w:rFonts w:asciiTheme="majorBidi" w:eastAsiaTheme="minorHAnsi" w:hAnsiTheme="majorBidi" w:cstheme="majorBidi"/>
          <w:lang w:val="en-US"/>
        </w:rPr>
        <w:t>in</w:t>
      </w:r>
      <w:r w:rsidRPr="006560CF">
        <w:rPr>
          <w:rFonts w:asciiTheme="majorBidi" w:eastAsiaTheme="minorHAnsi" w:hAnsiTheme="majorBidi" w:cstheme="majorBidi"/>
          <w:lang w:val="en-US"/>
        </w:rPr>
        <w:t xml:space="preserve"> 5 mM [</w:t>
      </w:r>
      <w:proofErr w:type="gramStart"/>
      <w:r w:rsidRPr="006560CF">
        <w:rPr>
          <w:rFonts w:asciiTheme="majorBidi" w:eastAsiaTheme="minorHAnsi" w:hAnsiTheme="majorBidi" w:cstheme="majorBidi"/>
          <w:lang w:val="en-US"/>
        </w:rPr>
        <w:t>Fe(</w:t>
      </w:r>
      <w:proofErr w:type="gramEnd"/>
      <w:r w:rsidRPr="006560CF">
        <w:rPr>
          <w:rFonts w:asciiTheme="majorBidi" w:eastAsiaTheme="minorHAnsi" w:hAnsiTheme="majorBidi" w:cstheme="majorBidi"/>
          <w:lang w:val="en-US"/>
        </w:rPr>
        <w:t>CN)</w:t>
      </w:r>
      <w:r w:rsidRPr="006560CF">
        <w:rPr>
          <w:rFonts w:asciiTheme="majorBidi" w:eastAsiaTheme="minorHAnsi" w:hAnsiTheme="majorBidi" w:cstheme="majorBidi"/>
          <w:vertAlign w:val="subscript"/>
          <w:lang w:val="en-US"/>
        </w:rPr>
        <w:t>6</w:t>
      </w:r>
      <w:r w:rsidRPr="006560CF">
        <w:rPr>
          <w:rFonts w:asciiTheme="majorBidi" w:eastAsiaTheme="minorHAnsi" w:hAnsiTheme="majorBidi" w:cstheme="majorBidi"/>
          <w:lang w:val="en-US"/>
        </w:rPr>
        <w:t>]</w:t>
      </w:r>
      <w:r w:rsidRPr="006560CF">
        <w:rPr>
          <w:rFonts w:asciiTheme="majorBidi" w:eastAsiaTheme="minorHAnsi" w:hAnsiTheme="majorBidi" w:cstheme="majorBidi"/>
          <w:vertAlign w:val="superscript"/>
          <w:lang w:val="en-US"/>
        </w:rPr>
        <w:t>-3</w:t>
      </w:r>
      <w:r w:rsidRPr="006560CF">
        <w:rPr>
          <w:rFonts w:asciiTheme="majorBidi" w:eastAsiaTheme="minorHAnsi" w:hAnsiTheme="majorBidi" w:cstheme="majorBidi"/>
          <w:lang w:val="en-US"/>
        </w:rPr>
        <w:t>/[Fe(CN)</w:t>
      </w:r>
      <w:r w:rsidRPr="006560CF">
        <w:rPr>
          <w:rFonts w:asciiTheme="majorBidi" w:eastAsiaTheme="minorHAnsi" w:hAnsiTheme="majorBidi" w:cstheme="majorBidi"/>
          <w:vertAlign w:val="subscript"/>
          <w:lang w:val="en-US"/>
        </w:rPr>
        <w:t>6</w:t>
      </w:r>
      <w:r w:rsidRPr="006560CF">
        <w:rPr>
          <w:rFonts w:asciiTheme="majorBidi" w:eastAsiaTheme="minorHAnsi" w:hAnsiTheme="majorBidi" w:cstheme="majorBidi"/>
          <w:lang w:val="en-US"/>
        </w:rPr>
        <w:t>]</w:t>
      </w:r>
      <w:r w:rsidRPr="006560CF">
        <w:rPr>
          <w:rFonts w:asciiTheme="majorBidi" w:eastAsiaTheme="minorHAnsi" w:hAnsiTheme="majorBidi" w:cstheme="majorBidi"/>
          <w:vertAlign w:val="superscript"/>
          <w:lang w:val="en-US"/>
        </w:rPr>
        <w:t>-4</w:t>
      </w:r>
      <w:r w:rsidRPr="006560CF">
        <w:rPr>
          <w:rFonts w:asciiTheme="majorBidi" w:eastAsiaTheme="minorHAnsi" w:hAnsiTheme="majorBidi" w:cstheme="majorBidi"/>
          <w:lang w:val="en-US"/>
        </w:rPr>
        <w:t xml:space="preserve"> as a redox probe </w:t>
      </w:r>
      <w:r w:rsidR="00E70697">
        <w:rPr>
          <w:rFonts w:asciiTheme="majorBidi" w:eastAsiaTheme="minorHAnsi" w:hAnsiTheme="majorBidi" w:cstheme="majorBidi"/>
          <w:lang w:val="en-US"/>
        </w:rPr>
        <w:t>at</w:t>
      </w:r>
      <w:r w:rsidRPr="006560CF">
        <w:rPr>
          <w:rFonts w:asciiTheme="majorBidi" w:eastAsiaTheme="minorHAnsi" w:hAnsiTheme="majorBidi" w:cstheme="majorBidi"/>
          <w:lang w:val="en-US"/>
        </w:rPr>
        <w:t xml:space="preserve"> a scan rate of 50 mV.s</w:t>
      </w:r>
      <w:r w:rsidRPr="006560CF">
        <w:rPr>
          <w:rFonts w:asciiTheme="majorBidi" w:eastAsiaTheme="minorHAnsi" w:hAnsiTheme="majorBidi" w:cstheme="majorBidi"/>
          <w:vertAlign w:val="superscript"/>
          <w:lang w:val="en-US"/>
        </w:rPr>
        <w:t>-1</w:t>
      </w:r>
      <w:r w:rsidRPr="006560CF">
        <w:rPr>
          <w:rFonts w:asciiTheme="majorBidi" w:eastAsiaTheme="minorHAnsi" w:hAnsiTheme="majorBidi" w:cstheme="majorBidi"/>
          <w:lang w:val="en-US"/>
        </w:rPr>
        <w:t xml:space="preserve"> were evaluated by using the cyclic voltammetry technique significantly and were compared to each other (Fig. </w:t>
      </w:r>
      <w:r w:rsidR="00E61E66" w:rsidRPr="006560CF">
        <w:rPr>
          <w:rFonts w:asciiTheme="majorBidi" w:eastAsiaTheme="minorHAnsi" w:hAnsiTheme="majorBidi" w:cstheme="majorBidi"/>
          <w:lang w:val="en-US"/>
        </w:rPr>
        <w:t>S2</w:t>
      </w:r>
      <w:r w:rsidR="00BF6B7A">
        <w:rPr>
          <w:rFonts w:asciiTheme="majorBidi" w:eastAsiaTheme="minorHAnsi" w:hAnsiTheme="majorBidi" w:cstheme="majorBidi"/>
          <w:lang w:val="en-US"/>
        </w:rPr>
        <w:t>a</w:t>
      </w:r>
      <w:r w:rsidRPr="006560CF">
        <w:rPr>
          <w:rFonts w:asciiTheme="majorBidi" w:eastAsiaTheme="minorHAnsi" w:hAnsiTheme="majorBidi" w:cstheme="majorBidi"/>
          <w:lang w:val="en-US"/>
        </w:rPr>
        <w:t>). According to the results, the modification of electrodes with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 created a reduction in the peak-to-peak separation and had higher peak currents compared to the others. In point of fact, the features of the modified electrode such as higher electrical con</w:t>
      </w:r>
      <w:r w:rsidR="00444B4E">
        <w:rPr>
          <w:rFonts w:asciiTheme="majorBidi" w:eastAsiaTheme="minorHAnsi" w:hAnsiTheme="majorBidi" w:cstheme="majorBidi"/>
          <w:lang w:val="en-US"/>
        </w:rPr>
        <w:t>ductivity and the large electro</w:t>
      </w:r>
      <w:r w:rsidRPr="006560CF">
        <w:rPr>
          <w:rFonts w:asciiTheme="majorBidi" w:eastAsiaTheme="minorHAnsi" w:hAnsiTheme="majorBidi" w:cstheme="majorBidi"/>
          <w:lang w:val="en-US"/>
        </w:rPr>
        <w:t>active surface area make these significant differences between the bare electrode and the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electrode.</w:t>
      </w:r>
    </w:p>
    <w:p w14:paraId="3B8F4508" w14:textId="249825FD" w:rsidR="00DD1011" w:rsidRPr="006560CF" w:rsidRDefault="00DD1011" w:rsidP="00606E71">
      <w:pPr>
        <w:spacing w:line="360" w:lineRule="auto"/>
        <w:ind w:firstLine="360"/>
        <w:jc w:val="lowKashida"/>
        <w:rPr>
          <w:rFonts w:asciiTheme="majorBidi" w:eastAsiaTheme="minorHAnsi" w:hAnsiTheme="majorBidi" w:cstheme="majorBidi"/>
          <w:lang w:val="en-US"/>
        </w:rPr>
      </w:pPr>
      <w:r w:rsidRPr="006560CF">
        <w:rPr>
          <w:rFonts w:asciiTheme="majorBidi" w:eastAsiaTheme="minorHAnsi" w:hAnsiTheme="majorBidi" w:cstheme="majorBidi"/>
          <w:lang w:val="en-US"/>
        </w:rPr>
        <w:t xml:space="preserve">The electrical conductivity and electron transition resistance of the modified electrode surface has been checked by electrochemical impedance spectroscopy. The EIS spectrum record of the bare FTO electrode and the three modified electrodes cited above is shown in Fig. </w:t>
      </w:r>
      <w:r w:rsidR="00E61E66" w:rsidRPr="006560CF">
        <w:rPr>
          <w:rFonts w:asciiTheme="majorBidi" w:eastAsiaTheme="minorHAnsi" w:hAnsiTheme="majorBidi" w:cstheme="majorBidi"/>
          <w:lang w:val="en-US"/>
        </w:rPr>
        <w:t>S2</w:t>
      </w:r>
      <w:r w:rsidR="00BF6B7A">
        <w:rPr>
          <w:rFonts w:asciiTheme="majorBidi" w:eastAsiaTheme="minorHAnsi" w:hAnsiTheme="majorBidi" w:cstheme="majorBidi"/>
          <w:lang w:val="en-US"/>
        </w:rPr>
        <w:t>b</w:t>
      </w:r>
      <w:r w:rsidRPr="006560CF">
        <w:rPr>
          <w:rFonts w:asciiTheme="majorBidi" w:eastAsiaTheme="minorHAnsi" w:hAnsiTheme="majorBidi" w:cstheme="majorBidi"/>
          <w:lang w:val="en-US"/>
        </w:rPr>
        <w:t xml:space="preserve">. Studying the process of charge transfer on </w:t>
      </w:r>
      <w:r w:rsidR="00444B4E">
        <w:rPr>
          <w:rFonts w:asciiTheme="majorBidi" w:eastAsiaTheme="minorHAnsi" w:hAnsiTheme="majorBidi" w:cstheme="majorBidi"/>
          <w:lang w:val="en-US"/>
        </w:rPr>
        <w:t>the</w:t>
      </w:r>
      <w:r w:rsidR="00FE39E7">
        <w:rPr>
          <w:rFonts w:asciiTheme="majorBidi" w:eastAsiaTheme="minorHAnsi" w:hAnsiTheme="majorBidi" w:cstheme="majorBidi"/>
          <w:lang w:val="en-US"/>
        </w:rPr>
        <w:t xml:space="preserve"> surface of</w:t>
      </w:r>
      <w:r w:rsidRPr="006560CF">
        <w:rPr>
          <w:rFonts w:asciiTheme="majorBidi" w:eastAsiaTheme="minorHAnsi" w:hAnsiTheme="majorBidi" w:cstheme="majorBidi"/>
          <w:lang w:val="en-US"/>
        </w:rPr>
        <w:t xml:space="preserve"> </w:t>
      </w:r>
      <w:r w:rsidR="00444B4E">
        <w:rPr>
          <w:rFonts w:asciiTheme="majorBidi" w:eastAsiaTheme="minorHAnsi" w:hAnsiTheme="majorBidi" w:cstheme="majorBidi"/>
          <w:lang w:val="en-US"/>
        </w:rPr>
        <w:t xml:space="preserve">the </w:t>
      </w:r>
      <w:r w:rsidRPr="006560CF">
        <w:rPr>
          <w:rFonts w:asciiTheme="majorBidi" w:eastAsiaTheme="minorHAnsi" w:hAnsiTheme="majorBidi" w:cstheme="majorBidi"/>
          <w:lang w:val="en-US"/>
        </w:rPr>
        <w:t>modified electrode is a practical way. The reason is that there is a double-layer capacitance and also a resistance to interfacial charge transfer change after the modification on the electrode</w:t>
      </w:r>
      <w:r w:rsidR="00FE39E7">
        <w:rPr>
          <w:rFonts w:asciiTheme="majorBidi" w:eastAsiaTheme="minorHAnsi" w:hAnsiTheme="majorBidi" w:cstheme="majorBidi"/>
          <w:lang w:val="en-US"/>
        </w:rPr>
        <w:t xml:space="preserve"> surface</w:t>
      </w:r>
      <w:r w:rsidRPr="006560CF">
        <w:rPr>
          <w:rFonts w:asciiTheme="majorBidi" w:eastAsiaTheme="minorHAnsi" w:hAnsiTheme="majorBidi" w:cstheme="majorBidi"/>
          <w:lang w:val="en-US"/>
        </w:rPr>
        <w:t>. The EIS Nyquist spectr</w:t>
      </w:r>
      <w:r w:rsidR="009A4E81">
        <w:rPr>
          <w:rFonts w:asciiTheme="majorBidi" w:eastAsiaTheme="minorHAnsi" w:hAnsiTheme="majorBidi" w:cstheme="majorBidi"/>
          <w:lang w:val="en-US"/>
        </w:rPr>
        <w:t>a</w:t>
      </w:r>
      <w:r w:rsidR="00444B4E">
        <w:rPr>
          <w:rFonts w:asciiTheme="majorBidi" w:eastAsiaTheme="minorHAnsi" w:hAnsiTheme="majorBidi" w:cstheme="majorBidi"/>
          <w:lang w:val="en-US"/>
        </w:rPr>
        <w:t xml:space="preserve"> involve</w:t>
      </w:r>
      <w:r w:rsidRPr="006560CF">
        <w:rPr>
          <w:rFonts w:asciiTheme="majorBidi" w:eastAsiaTheme="minorHAnsi" w:hAnsiTheme="majorBidi" w:cstheme="majorBidi"/>
          <w:lang w:val="en-US"/>
        </w:rPr>
        <w:t xml:space="preserve"> a semicircular region and a linear region. </w:t>
      </w:r>
      <w:r w:rsidR="00444B4E">
        <w:rPr>
          <w:rFonts w:asciiTheme="majorBidi" w:eastAsiaTheme="minorHAnsi" w:hAnsiTheme="majorBidi" w:cstheme="majorBidi"/>
          <w:lang w:val="en-US"/>
        </w:rPr>
        <w:t>The s</w:t>
      </w:r>
      <w:r w:rsidRPr="006560CF">
        <w:rPr>
          <w:rFonts w:asciiTheme="majorBidi" w:eastAsiaTheme="minorHAnsi" w:hAnsiTheme="majorBidi" w:cstheme="majorBidi"/>
          <w:lang w:val="en-US"/>
        </w:rPr>
        <w:t>emicircular diameter in the high-frequency region indicates the resistance of the interface charge transfer (</w:t>
      </w:r>
      <w:proofErr w:type="spellStart"/>
      <w:r w:rsidRPr="006560CF">
        <w:rPr>
          <w:rFonts w:asciiTheme="majorBidi" w:eastAsiaTheme="minorHAnsi" w:hAnsiTheme="majorBidi" w:cstheme="majorBidi"/>
          <w:lang w:val="en-US"/>
        </w:rPr>
        <w:t>Rct</w:t>
      </w:r>
      <w:proofErr w:type="spellEnd"/>
      <w:r w:rsidRPr="006560CF">
        <w:rPr>
          <w:rFonts w:asciiTheme="majorBidi" w:eastAsiaTheme="minorHAnsi" w:hAnsiTheme="majorBidi" w:cstheme="majorBidi"/>
          <w:lang w:val="en-US"/>
        </w:rPr>
        <w:t xml:space="preserve">) that is shown in Fig. </w:t>
      </w:r>
      <w:r w:rsidR="00E61E66" w:rsidRPr="006560CF">
        <w:rPr>
          <w:rFonts w:asciiTheme="majorBidi" w:eastAsiaTheme="minorHAnsi" w:hAnsiTheme="majorBidi" w:cstheme="majorBidi"/>
          <w:lang w:val="en-US"/>
        </w:rPr>
        <w:t>S2</w:t>
      </w:r>
      <w:r w:rsidR="00BF6B7A">
        <w:rPr>
          <w:rFonts w:asciiTheme="majorBidi" w:eastAsiaTheme="minorHAnsi" w:hAnsiTheme="majorBidi" w:cstheme="majorBidi"/>
          <w:lang w:val="en-US"/>
        </w:rPr>
        <w:t>b</w:t>
      </w:r>
      <w:r w:rsidRPr="006560CF">
        <w:rPr>
          <w:rFonts w:asciiTheme="majorBidi" w:eastAsiaTheme="minorHAnsi" w:hAnsiTheme="majorBidi" w:cstheme="majorBidi"/>
          <w:lang w:val="en-US"/>
        </w:rPr>
        <w:t xml:space="preserve">. The Warburg element represents </w:t>
      </w:r>
      <w:r w:rsidR="00444B4E">
        <w:rPr>
          <w:rFonts w:asciiTheme="majorBidi" w:eastAsiaTheme="minorHAnsi" w:hAnsiTheme="majorBidi" w:cstheme="majorBidi"/>
          <w:lang w:val="en-US"/>
        </w:rPr>
        <w:t xml:space="preserve">the </w:t>
      </w:r>
      <w:r w:rsidRPr="006560CF">
        <w:rPr>
          <w:rFonts w:asciiTheme="majorBidi" w:eastAsiaTheme="minorHAnsi" w:hAnsiTheme="majorBidi" w:cstheme="majorBidi"/>
          <w:lang w:val="en-US"/>
        </w:rPr>
        <w:t>diffusion process and is associated with the low-frequency region linear section. The transition resistance of the electrodes is characterized by employing a semicircular diameter in the Nyquist designs.</w:t>
      </w:r>
    </w:p>
    <w:p w14:paraId="328BF10D" w14:textId="74DD0597" w:rsidR="00DD1011" w:rsidRPr="006560CF" w:rsidRDefault="00DD1011" w:rsidP="00606E71">
      <w:pPr>
        <w:spacing w:line="360" w:lineRule="auto"/>
        <w:ind w:firstLine="360"/>
        <w:jc w:val="lowKashida"/>
        <w:rPr>
          <w:rFonts w:ascii="Times New Roman" w:eastAsia="Times New Roman" w:hAnsi="Times New Roman"/>
          <w:color w:val="000000"/>
          <w:lang w:val="en-US"/>
        </w:rPr>
      </w:pPr>
      <w:r w:rsidRPr="006560CF">
        <w:rPr>
          <w:rFonts w:asciiTheme="majorBidi" w:eastAsiaTheme="minorHAnsi" w:hAnsiTheme="majorBidi" w:cstheme="majorBidi"/>
          <w:lang w:val="en-US"/>
        </w:rPr>
        <w:t xml:space="preserve">In Fig. </w:t>
      </w:r>
      <w:r w:rsidR="00E61E66" w:rsidRPr="006560CF">
        <w:rPr>
          <w:rFonts w:asciiTheme="majorBidi" w:eastAsiaTheme="minorHAnsi" w:hAnsiTheme="majorBidi" w:cstheme="majorBidi"/>
          <w:lang w:val="en-US"/>
        </w:rPr>
        <w:t>S2</w:t>
      </w:r>
      <w:r w:rsidR="00BF6B7A">
        <w:rPr>
          <w:rFonts w:asciiTheme="majorBidi" w:eastAsiaTheme="minorHAnsi" w:hAnsiTheme="majorBidi" w:cstheme="majorBidi"/>
          <w:lang w:val="en-US"/>
        </w:rPr>
        <w:t>b</w:t>
      </w:r>
      <w:r w:rsidRPr="006560CF">
        <w:rPr>
          <w:rFonts w:asciiTheme="majorBidi" w:eastAsiaTheme="minorHAnsi" w:hAnsiTheme="majorBidi" w:cstheme="majorBidi"/>
          <w:lang w:val="en-US"/>
        </w:rPr>
        <w:t>, it can be observed that the resistance in charge transfer for the modified 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electrode is less than that of the bare electrode. It undoubtedly shows that the 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 nanoparticles act as a stimulus and speed up the interfacial charge transfer. The diameter of the semicircle in the curve corresponding to</w:t>
      </w:r>
      <w:r w:rsidR="00444B4E">
        <w:rPr>
          <w:rFonts w:asciiTheme="majorBidi" w:eastAsiaTheme="minorHAnsi" w:hAnsiTheme="majorBidi" w:cstheme="majorBidi"/>
          <w:lang w:val="en-US"/>
        </w:rPr>
        <w:t xml:space="preserve"> the</w:t>
      </w:r>
      <w:r w:rsidRPr="006560CF">
        <w:rPr>
          <w:rFonts w:asciiTheme="majorBidi" w:eastAsiaTheme="minorHAnsi" w:hAnsiTheme="majorBidi" w:cstheme="majorBidi"/>
          <w:lang w:val="en-US"/>
        </w:rPr>
        <w:t xml:space="preserve">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electrode is decreased in proportion to the 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electrode which represents the high electrical conductivity of the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 compared to the 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 NPs. In the curve</w:t>
      </w:r>
      <w:r w:rsidR="00EB3016">
        <w:rPr>
          <w:rFonts w:asciiTheme="majorBidi" w:eastAsiaTheme="minorHAnsi" w:hAnsiTheme="majorBidi" w:cstheme="majorBidi"/>
          <w:lang w:val="en-US"/>
        </w:rPr>
        <w:t xml:space="preserve"> related to </w:t>
      </w:r>
      <w:r w:rsidR="00EB3016" w:rsidRPr="006560CF">
        <w:rPr>
          <w:rFonts w:asciiTheme="majorBidi" w:eastAsiaTheme="minorHAnsi" w:hAnsiTheme="majorBidi" w:cstheme="majorBidi"/>
          <w:lang w:val="en-US"/>
        </w:rPr>
        <w:t>ZnMnFeO</w:t>
      </w:r>
      <w:r w:rsidR="00EB3016" w:rsidRPr="006560CF">
        <w:rPr>
          <w:rFonts w:asciiTheme="majorBidi" w:eastAsiaTheme="minorHAnsi" w:hAnsiTheme="majorBidi" w:cstheme="majorBidi"/>
          <w:vertAlign w:val="subscript"/>
          <w:lang w:val="en-US"/>
        </w:rPr>
        <w:t>4</w:t>
      </w:r>
      <w:r w:rsidR="00EB3016" w:rsidRPr="006560CF">
        <w:rPr>
          <w:rFonts w:asciiTheme="majorBidi" w:eastAsiaTheme="minorHAnsi" w:hAnsiTheme="majorBidi" w:cstheme="majorBidi"/>
          <w:lang w:val="en-US"/>
        </w:rPr>
        <w:t>/CoMnFeO</w:t>
      </w:r>
      <w:r w:rsidR="00EB3016" w:rsidRPr="006560CF">
        <w:rPr>
          <w:rFonts w:asciiTheme="majorBidi" w:eastAsiaTheme="minorHAnsi" w:hAnsiTheme="majorBidi" w:cstheme="majorBidi"/>
          <w:vertAlign w:val="subscript"/>
          <w:lang w:val="en-US"/>
        </w:rPr>
        <w:t>4</w:t>
      </w:r>
      <w:r w:rsidR="00EB3016" w:rsidRPr="006560CF">
        <w:rPr>
          <w:rFonts w:asciiTheme="majorBidi" w:eastAsiaTheme="minorHAnsi" w:hAnsiTheme="majorBidi" w:cstheme="majorBidi"/>
          <w:lang w:val="en-US"/>
        </w:rPr>
        <w:t>/FTO</w:t>
      </w:r>
      <w:r w:rsidRPr="006560CF">
        <w:rPr>
          <w:rFonts w:asciiTheme="majorBidi" w:eastAsiaTheme="minorHAnsi" w:hAnsiTheme="majorBidi" w:cstheme="majorBidi"/>
          <w:lang w:val="en-US"/>
        </w:rPr>
        <w:t>, a decrease in charge transfer resistance can be seen after coating of the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 on the 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 xml:space="preserve">/FTO which is a result of a higher electrochemical active </w:t>
      </w:r>
      <w:r w:rsidRPr="006560CF">
        <w:rPr>
          <w:rFonts w:asciiTheme="majorBidi" w:eastAsiaTheme="minorHAnsi" w:hAnsiTheme="majorBidi" w:cstheme="majorBidi"/>
          <w:lang w:val="en-US"/>
        </w:rPr>
        <w:lastRenderedPageBreak/>
        <w:t>surface area and the enhanced charge transfer rate of ZnMnFeO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/CoMnFeO</w:t>
      </w:r>
      <w:r w:rsidRPr="006560CF">
        <w:rPr>
          <w:rFonts w:asciiTheme="majorBidi" w:eastAsiaTheme="minorHAnsi" w:hAnsiTheme="majorBidi" w:cstheme="majorBidi"/>
          <w:vertAlign w:val="subscript"/>
          <w:lang w:val="en-US"/>
        </w:rPr>
        <w:t>4</w:t>
      </w:r>
      <w:r w:rsidRPr="006560CF">
        <w:rPr>
          <w:rFonts w:asciiTheme="majorBidi" w:eastAsiaTheme="minorHAnsi" w:hAnsiTheme="majorBidi" w:cstheme="majorBidi"/>
          <w:lang w:val="en-US"/>
        </w:rPr>
        <w:t>/FTO compared to the other modified electrodes.</w:t>
      </w:r>
      <w:bookmarkStart w:id="2" w:name="_Hlk98077507"/>
      <w:r w:rsidRPr="006560CF">
        <w:rPr>
          <w:rFonts w:asciiTheme="majorBidi" w:eastAsiaTheme="minorHAnsi" w:hAnsiTheme="majorBidi" w:cstheme="majorBidi"/>
          <w:lang w:val="en-US"/>
        </w:rPr>
        <w:t xml:space="preserve"> The Warburg element is also seen in the impedance spectrum (Fig. </w:t>
      </w:r>
      <w:r w:rsidR="00E61E66" w:rsidRPr="006560CF">
        <w:rPr>
          <w:rFonts w:asciiTheme="majorBidi" w:eastAsiaTheme="minorHAnsi" w:hAnsiTheme="majorBidi" w:cstheme="majorBidi"/>
          <w:lang w:val="en-US"/>
        </w:rPr>
        <w:t>S2</w:t>
      </w:r>
      <w:r w:rsidR="00BF6B7A">
        <w:rPr>
          <w:rFonts w:asciiTheme="majorBidi" w:eastAsiaTheme="minorHAnsi" w:hAnsiTheme="majorBidi" w:cstheme="majorBidi"/>
          <w:lang w:val="en-US"/>
        </w:rPr>
        <w:t>b</w:t>
      </w:r>
      <w:r w:rsidRPr="006560CF">
        <w:rPr>
          <w:rFonts w:asciiTheme="majorBidi" w:eastAsiaTheme="minorHAnsi" w:hAnsiTheme="majorBidi" w:cstheme="majorBidi"/>
          <w:lang w:val="en-US"/>
        </w:rPr>
        <w:t>), indicating the electrolyte diff</w:t>
      </w:r>
      <w:r w:rsidR="002C24FB">
        <w:rPr>
          <w:rFonts w:asciiTheme="majorBidi" w:eastAsiaTheme="minorHAnsi" w:hAnsiTheme="majorBidi" w:cstheme="majorBidi"/>
          <w:lang w:val="en-US"/>
        </w:rPr>
        <w:t>usion into the coating and showing</w:t>
      </w:r>
      <w:r w:rsidRPr="006560CF">
        <w:rPr>
          <w:rFonts w:asciiTheme="majorBidi" w:eastAsiaTheme="minorHAnsi" w:hAnsiTheme="majorBidi" w:cstheme="majorBidi"/>
          <w:lang w:val="en-US"/>
        </w:rPr>
        <w:t xml:space="preserve"> the porosity of the modifier. This is an essential and critical parameter in </w:t>
      </w:r>
      <w:r w:rsidR="002C24FB">
        <w:rPr>
          <w:rFonts w:asciiTheme="majorBidi" w:eastAsiaTheme="minorHAnsi" w:hAnsiTheme="majorBidi" w:cstheme="majorBidi"/>
          <w:lang w:val="en-US"/>
        </w:rPr>
        <w:t xml:space="preserve">the </w:t>
      </w:r>
      <w:r w:rsidRPr="006560CF">
        <w:rPr>
          <w:rFonts w:asciiTheme="majorBidi" w:eastAsiaTheme="minorHAnsi" w:hAnsiTheme="majorBidi" w:cstheme="majorBidi"/>
          <w:lang w:val="en-US"/>
        </w:rPr>
        <w:t>properties of catalysts.</w:t>
      </w:r>
      <w:bookmarkEnd w:id="2"/>
      <w:r w:rsidRPr="006560CF">
        <w:rPr>
          <w:rFonts w:asciiTheme="majorBidi" w:eastAsiaTheme="minorHAnsi" w:hAnsiTheme="majorBidi" w:cstheme="majorBidi"/>
          <w:lang w:val="en-US"/>
        </w:rPr>
        <w:t xml:space="preserve"> It indicates that these two NPs together are being used successfully and they have a positive effect on each other.</w:t>
      </w:r>
    </w:p>
    <w:p w14:paraId="66F85DBF" w14:textId="28FEA733" w:rsidR="00DD1011" w:rsidRPr="008B19FB" w:rsidRDefault="00DD1011" w:rsidP="006560CF">
      <w:pPr>
        <w:numPr>
          <w:ilvl w:val="1"/>
          <w:numId w:val="1"/>
        </w:numPr>
        <w:spacing w:before="200" w:line="360" w:lineRule="auto"/>
        <w:ind w:left="778" w:hanging="418"/>
        <w:jc w:val="lowKashida"/>
        <w:rPr>
          <w:rFonts w:ascii="Times New Roman" w:eastAsia="Times New Roman" w:hAnsi="Times New Roman"/>
          <w:b/>
          <w:bCs/>
          <w:color w:val="000000"/>
          <w:sz w:val="24"/>
          <w:szCs w:val="24"/>
          <w:lang w:val="en-US"/>
        </w:rPr>
      </w:pPr>
      <w:r w:rsidRPr="008B19FB">
        <w:rPr>
          <w:rFonts w:asciiTheme="majorBidi" w:hAnsiTheme="majorBidi" w:cstheme="majorBidi"/>
          <w:b/>
          <w:bCs/>
          <w:sz w:val="24"/>
          <w:szCs w:val="24"/>
        </w:rPr>
        <w:t xml:space="preserve">Study of the </w:t>
      </w:r>
      <w:r w:rsidR="007D0FFA">
        <w:rPr>
          <w:rFonts w:asciiTheme="majorBidi" w:hAnsiTheme="majorBidi" w:cstheme="majorBidi"/>
          <w:b/>
          <w:bCs/>
          <w:sz w:val="24"/>
          <w:szCs w:val="24"/>
        </w:rPr>
        <w:t xml:space="preserve">active </w:t>
      </w:r>
      <w:r w:rsidRPr="008B19FB">
        <w:rPr>
          <w:rFonts w:asciiTheme="majorBidi" w:hAnsiTheme="majorBidi" w:cstheme="majorBidi"/>
          <w:b/>
          <w:bCs/>
          <w:sz w:val="24"/>
          <w:szCs w:val="24"/>
        </w:rPr>
        <w:t xml:space="preserve">surface area of </w:t>
      </w:r>
      <w:r w:rsidR="005549D1">
        <w:rPr>
          <w:rFonts w:asciiTheme="majorBidi" w:hAnsiTheme="majorBidi" w:cstheme="majorBidi"/>
          <w:b/>
          <w:bCs/>
          <w:sz w:val="24"/>
          <w:szCs w:val="24"/>
        </w:rPr>
        <w:t>the</w:t>
      </w:r>
      <w:r w:rsidR="00C3744F">
        <w:rPr>
          <w:rFonts w:asciiTheme="majorBidi" w:hAnsiTheme="majorBidi" w:cstheme="majorBidi"/>
          <w:b/>
          <w:bCs/>
          <w:sz w:val="24"/>
          <w:szCs w:val="24"/>
        </w:rPr>
        <w:t xml:space="preserve"> HZ</w:t>
      </w:r>
      <w:r w:rsidRPr="008B19FB">
        <w:rPr>
          <w:rFonts w:asciiTheme="majorBidi" w:hAnsiTheme="majorBidi" w:cstheme="majorBidi"/>
          <w:b/>
          <w:bCs/>
          <w:sz w:val="24"/>
          <w:szCs w:val="24"/>
        </w:rPr>
        <w:t xml:space="preserve"> sensor</w:t>
      </w:r>
    </w:p>
    <w:p w14:paraId="7A34B662" w14:textId="6B34B466" w:rsidR="00DD1011" w:rsidRPr="006560CF" w:rsidRDefault="00DD1011" w:rsidP="008B19FB">
      <w:pPr>
        <w:spacing w:before="240" w:after="240" w:line="360" w:lineRule="auto"/>
        <w:jc w:val="lowKashida"/>
        <w:rPr>
          <w:rFonts w:asciiTheme="majorBidi" w:hAnsiTheme="majorBidi" w:cstheme="majorBidi"/>
        </w:rPr>
      </w:pPr>
      <w:r w:rsidRPr="006560CF">
        <w:rPr>
          <w:rFonts w:asciiTheme="majorBidi" w:hAnsiTheme="majorBidi" w:cstheme="majorBidi"/>
        </w:rPr>
        <w:t xml:space="preserve">In order to check </w:t>
      </w:r>
      <w:r w:rsidR="002C24FB">
        <w:rPr>
          <w:rFonts w:asciiTheme="majorBidi" w:hAnsiTheme="majorBidi" w:cstheme="majorBidi"/>
        </w:rPr>
        <w:t xml:space="preserve">the </w:t>
      </w:r>
      <w:r w:rsidRPr="006560CF">
        <w:rPr>
          <w:rFonts w:asciiTheme="majorBidi" w:hAnsiTheme="majorBidi" w:cstheme="majorBidi"/>
        </w:rPr>
        <w:t>electrocatalytic activity of a modified electrode, it is extremely important to recognize the real active surface area of that electrode. For calculating the microscopic surface area of the ZnMnFeO</w:t>
      </w:r>
      <w:r w:rsidRPr="006560CF">
        <w:rPr>
          <w:rFonts w:asciiTheme="majorBidi" w:hAnsiTheme="majorBidi" w:cstheme="majorBidi"/>
          <w:vertAlign w:val="subscript"/>
        </w:rPr>
        <w:t>4</w:t>
      </w:r>
      <w:r w:rsidRPr="006560CF">
        <w:rPr>
          <w:rFonts w:asciiTheme="majorBidi" w:hAnsiTheme="majorBidi" w:cstheme="majorBidi"/>
        </w:rPr>
        <w:t>/CoMnFeO</w:t>
      </w:r>
      <w:r w:rsidRPr="006560CF">
        <w:rPr>
          <w:rFonts w:asciiTheme="majorBidi" w:hAnsiTheme="majorBidi" w:cstheme="majorBidi"/>
          <w:vertAlign w:val="subscript"/>
        </w:rPr>
        <w:t>4</w:t>
      </w:r>
      <w:r w:rsidRPr="006560CF">
        <w:rPr>
          <w:rFonts w:asciiTheme="majorBidi" w:hAnsiTheme="majorBidi" w:cstheme="majorBidi"/>
        </w:rPr>
        <w:t xml:space="preserve">/FTO electrode, the cyclic </w:t>
      </w:r>
      <w:proofErr w:type="spellStart"/>
      <w:r w:rsidRPr="006560CF">
        <w:rPr>
          <w:rFonts w:asciiTheme="majorBidi" w:hAnsiTheme="majorBidi" w:cstheme="majorBidi"/>
        </w:rPr>
        <w:t>Voltam</w:t>
      </w:r>
      <w:r w:rsidR="002C24FB">
        <w:rPr>
          <w:rFonts w:asciiTheme="majorBidi" w:hAnsiTheme="majorBidi" w:cstheme="majorBidi"/>
        </w:rPr>
        <w:t>m</w:t>
      </w:r>
      <w:r w:rsidRPr="006560CF">
        <w:rPr>
          <w:rFonts w:asciiTheme="majorBidi" w:hAnsiTheme="majorBidi" w:cstheme="majorBidi"/>
        </w:rPr>
        <w:t>etric</w:t>
      </w:r>
      <w:proofErr w:type="spellEnd"/>
      <w:r w:rsidRPr="006560CF">
        <w:rPr>
          <w:rFonts w:asciiTheme="majorBidi" w:hAnsiTheme="majorBidi" w:cstheme="majorBidi"/>
        </w:rPr>
        <w:t xml:space="preserve"> method was applied in a 0.1 M </w:t>
      </w:r>
      <w:proofErr w:type="spellStart"/>
      <w:r w:rsidRPr="006560CF">
        <w:rPr>
          <w:rFonts w:asciiTheme="majorBidi" w:hAnsiTheme="majorBidi" w:cstheme="majorBidi"/>
        </w:rPr>
        <w:t>KCl</w:t>
      </w:r>
      <w:proofErr w:type="spellEnd"/>
      <w:r w:rsidRPr="006560CF">
        <w:rPr>
          <w:rFonts w:asciiTheme="majorBidi" w:hAnsiTheme="majorBidi" w:cstheme="majorBidi"/>
        </w:rPr>
        <w:t xml:space="preserve"> solution containing 5 mM of [Fe(CN)</w:t>
      </w:r>
      <w:r w:rsidRPr="006560CF">
        <w:rPr>
          <w:rFonts w:asciiTheme="majorBidi" w:hAnsiTheme="majorBidi" w:cstheme="majorBidi"/>
          <w:vertAlign w:val="subscript"/>
        </w:rPr>
        <w:t>6</w:t>
      </w:r>
      <w:r w:rsidRPr="006560CF">
        <w:rPr>
          <w:rFonts w:asciiTheme="majorBidi" w:hAnsiTheme="majorBidi" w:cstheme="majorBidi"/>
        </w:rPr>
        <w:t>]</w:t>
      </w:r>
      <w:r w:rsidRPr="006560CF">
        <w:rPr>
          <w:rFonts w:asciiTheme="majorBidi" w:hAnsiTheme="majorBidi" w:cstheme="majorBidi"/>
          <w:vertAlign w:val="superscript"/>
        </w:rPr>
        <w:t>-3/-4</w:t>
      </w:r>
      <w:r w:rsidRPr="006560CF">
        <w:rPr>
          <w:rFonts w:asciiTheme="majorBidi" w:hAnsiTheme="majorBidi" w:cstheme="majorBidi"/>
        </w:rPr>
        <w:t xml:space="preserve"> as a redox probe at different scan rates which can be seen in Fig. </w:t>
      </w:r>
      <w:r w:rsidR="00E61E66" w:rsidRPr="006560CF">
        <w:rPr>
          <w:rFonts w:asciiTheme="majorBidi" w:hAnsiTheme="majorBidi" w:cstheme="majorBidi"/>
        </w:rPr>
        <w:t>S2</w:t>
      </w:r>
      <w:r w:rsidR="00BF6B7A">
        <w:rPr>
          <w:rFonts w:asciiTheme="majorBidi" w:hAnsiTheme="majorBidi" w:cstheme="majorBidi"/>
        </w:rPr>
        <w:t>c</w:t>
      </w:r>
      <w:r w:rsidRPr="006560CF">
        <w:rPr>
          <w:rFonts w:asciiTheme="majorBidi" w:hAnsiTheme="majorBidi" w:cstheme="majorBidi"/>
        </w:rPr>
        <w:t xml:space="preserve"> and the record of I</w:t>
      </w:r>
      <w:r w:rsidRPr="006560CF">
        <w:rPr>
          <w:rFonts w:asciiTheme="majorBidi" w:hAnsiTheme="majorBidi" w:cstheme="majorBidi"/>
          <w:vertAlign w:val="subscript"/>
        </w:rPr>
        <w:t>p</w:t>
      </w:r>
      <w:r w:rsidRPr="006560CF">
        <w:rPr>
          <w:rFonts w:asciiTheme="majorBidi" w:hAnsiTheme="majorBidi" w:cstheme="majorBidi"/>
        </w:rPr>
        <w:t>-ν</w:t>
      </w:r>
      <w:r w:rsidRPr="006560CF">
        <w:rPr>
          <w:rFonts w:asciiTheme="majorBidi" w:hAnsiTheme="majorBidi" w:cstheme="majorBidi"/>
          <w:vertAlign w:val="superscript"/>
        </w:rPr>
        <w:t>1/2</w:t>
      </w:r>
      <w:r w:rsidRPr="006560CF">
        <w:rPr>
          <w:rFonts w:asciiTheme="majorBidi" w:hAnsiTheme="majorBidi" w:cstheme="majorBidi"/>
        </w:rPr>
        <w:t xml:space="preserve"> diagram is presented in Fig. </w:t>
      </w:r>
      <w:r w:rsidR="00E61E66" w:rsidRPr="006560CF">
        <w:rPr>
          <w:rFonts w:asciiTheme="majorBidi" w:hAnsiTheme="majorBidi" w:cstheme="majorBidi"/>
        </w:rPr>
        <w:t>S2</w:t>
      </w:r>
      <w:r w:rsidR="00BF6B7A">
        <w:rPr>
          <w:rFonts w:asciiTheme="majorBidi" w:hAnsiTheme="majorBidi" w:cstheme="majorBidi"/>
        </w:rPr>
        <w:t>d</w:t>
      </w:r>
      <w:r w:rsidRPr="006560CF">
        <w:rPr>
          <w:rFonts w:asciiTheme="majorBidi" w:hAnsiTheme="majorBidi" w:cstheme="majorBidi"/>
        </w:rPr>
        <w:t>.</w:t>
      </w:r>
    </w:p>
    <w:p w14:paraId="5345D333" w14:textId="76F2D040" w:rsidR="00DD1011" w:rsidRPr="006560CF" w:rsidRDefault="00DD1011" w:rsidP="00606E71">
      <w:pPr>
        <w:spacing w:line="360" w:lineRule="auto"/>
        <w:ind w:firstLine="360"/>
        <w:jc w:val="lowKashida"/>
        <w:rPr>
          <w:rFonts w:asciiTheme="majorBidi" w:hAnsiTheme="majorBidi" w:cstheme="majorBidi"/>
        </w:rPr>
      </w:pPr>
      <w:r w:rsidRPr="006560CF">
        <w:rPr>
          <w:rFonts w:asciiTheme="majorBidi" w:hAnsiTheme="majorBidi" w:cstheme="majorBidi"/>
        </w:rPr>
        <w:t>The</w:t>
      </w:r>
      <w:r w:rsidR="007D0FFA">
        <w:rPr>
          <w:rFonts w:asciiTheme="majorBidi" w:hAnsiTheme="majorBidi" w:cstheme="majorBidi"/>
        </w:rPr>
        <w:t xml:space="preserve"> electrochemical</w:t>
      </w:r>
      <w:r w:rsidRPr="006560CF">
        <w:rPr>
          <w:rFonts w:asciiTheme="majorBidi" w:hAnsiTheme="majorBidi" w:cstheme="majorBidi"/>
        </w:rPr>
        <w:t xml:space="preserve"> active surface area of</w:t>
      </w:r>
      <w:r w:rsidR="00C3744F">
        <w:rPr>
          <w:rFonts w:asciiTheme="majorBidi" w:hAnsiTheme="majorBidi" w:cstheme="majorBidi"/>
        </w:rPr>
        <w:t xml:space="preserve"> an</w:t>
      </w:r>
      <w:r w:rsidRPr="006560CF">
        <w:rPr>
          <w:rFonts w:asciiTheme="majorBidi" w:hAnsiTheme="majorBidi" w:cstheme="majorBidi"/>
        </w:rPr>
        <w:t xml:space="preserve"> electrode was estimated from the slope value of the </w:t>
      </w:r>
      <w:r w:rsidR="00620DC4">
        <w:rPr>
          <w:rFonts w:asciiTheme="majorBidi" w:hAnsiTheme="majorBidi" w:cstheme="majorBidi"/>
        </w:rPr>
        <w:t xml:space="preserve">peak </w:t>
      </w:r>
      <w:r w:rsidRPr="006560CF">
        <w:rPr>
          <w:rFonts w:asciiTheme="majorBidi" w:hAnsiTheme="majorBidi" w:cstheme="majorBidi"/>
        </w:rPr>
        <w:t>current diagram’s opposing to the diverse scan rates in the Randall-Sevcik equation [1]: I</w:t>
      </w:r>
      <w:r w:rsidRPr="006560CF">
        <w:rPr>
          <w:rFonts w:asciiTheme="majorBidi" w:hAnsiTheme="majorBidi" w:cstheme="majorBidi"/>
          <w:vertAlign w:val="subscript"/>
        </w:rPr>
        <w:t>p</w:t>
      </w:r>
      <w:r w:rsidRPr="006560CF">
        <w:rPr>
          <w:rFonts w:asciiTheme="majorBidi" w:hAnsiTheme="majorBidi" w:cstheme="majorBidi"/>
        </w:rPr>
        <w:t xml:space="preserve"> = (2.69 × 10</w:t>
      </w:r>
      <w:r w:rsidRPr="006560CF">
        <w:rPr>
          <w:rFonts w:asciiTheme="majorBidi" w:hAnsiTheme="majorBidi" w:cstheme="majorBidi"/>
          <w:vertAlign w:val="superscript"/>
        </w:rPr>
        <w:t>5</w:t>
      </w:r>
      <w:r w:rsidRPr="006560CF">
        <w:rPr>
          <w:rFonts w:asciiTheme="majorBidi" w:hAnsiTheme="majorBidi" w:cstheme="majorBidi"/>
        </w:rPr>
        <w:t>) n</w:t>
      </w:r>
      <w:r w:rsidRPr="006560CF">
        <w:rPr>
          <w:rFonts w:asciiTheme="majorBidi" w:hAnsiTheme="majorBidi" w:cstheme="majorBidi"/>
          <w:vertAlign w:val="superscript"/>
        </w:rPr>
        <w:t xml:space="preserve">3/2 </w:t>
      </w:r>
      <w:r w:rsidRPr="006560CF">
        <w:rPr>
          <w:rFonts w:asciiTheme="majorBidi" w:hAnsiTheme="majorBidi" w:cstheme="majorBidi"/>
        </w:rPr>
        <w:t>AD</w:t>
      </w:r>
      <w:r w:rsidRPr="006560CF">
        <w:rPr>
          <w:rFonts w:asciiTheme="majorBidi" w:hAnsiTheme="majorBidi" w:cstheme="majorBidi"/>
          <w:vertAlign w:val="superscript"/>
        </w:rPr>
        <w:t xml:space="preserve">1/2 </w:t>
      </w:r>
      <w:r w:rsidRPr="006560CF">
        <w:rPr>
          <w:rFonts w:asciiTheme="majorBidi" w:hAnsiTheme="majorBidi" w:cstheme="majorBidi"/>
        </w:rPr>
        <w:t>ʋ</w:t>
      </w:r>
      <w:r w:rsidRPr="006560CF">
        <w:rPr>
          <w:rFonts w:asciiTheme="majorBidi" w:hAnsiTheme="majorBidi" w:cstheme="majorBidi"/>
          <w:vertAlign w:val="superscript"/>
        </w:rPr>
        <w:t xml:space="preserve">1/2 </w:t>
      </w:r>
      <w:r w:rsidRPr="006560CF">
        <w:rPr>
          <w:rFonts w:asciiTheme="majorBidi" w:hAnsiTheme="majorBidi" w:cstheme="majorBidi"/>
        </w:rPr>
        <w:t>C (1). In this equation, I</w:t>
      </w:r>
      <w:r w:rsidRPr="006560CF">
        <w:rPr>
          <w:rFonts w:asciiTheme="majorBidi" w:hAnsiTheme="majorBidi" w:cstheme="majorBidi"/>
          <w:vertAlign w:val="subscript"/>
        </w:rPr>
        <w:t>p</w:t>
      </w:r>
      <w:r w:rsidRPr="006560CF">
        <w:rPr>
          <w:rFonts w:asciiTheme="majorBidi" w:hAnsiTheme="majorBidi" w:cstheme="majorBidi"/>
        </w:rPr>
        <w:t xml:space="preserve"> refers to peak </w:t>
      </w:r>
      <w:r w:rsidR="00FB08D0">
        <w:rPr>
          <w:rFonts w:asciiTheme="majorBidi" w:hAnsiTheme="majorBidi" w:cstheme="majorBidi"/>
        </w:rPr>
        <w:t xml:space="preserve">current </w:t>
      </w:r>
      <w:r w:rsidRPr="006560CF">
        <w:rPr>
          <w:rFonts w:asciiTheme="majorBidi" w:hAnsiTheme="majorBidi" w:cstheme="majorBidi"/>
        </w:rPr>
        <w:t>(A), C is the concentration [Fe(CN)</w:t>
      </w:r>
      <w:r w:rsidRPr="006560CF">
        <w:rPr>
          <w:rFonts w:asciiTheme="majorBidi" w:hAnsiTheme="majorBidi" w:cstheme="majorBidi"/>
          <w:vertAlign w:val="subscript"/>
        </w:rPr>
        <w:t>6</w:t>
      </w:r>
      <w:r w:rsidRPr="006560CF">
        <w:rPr>
          <w:rFonts w:asciiTheme="majorBidi" w:hAnsiTheme="majorBidi" w:cstheme="majorBidi"/>
        </w:rPr>
        <w:t>]</w:t>
      </w:r>
      <w:r w:rsidRPr="006560CF">
        <w:rPr>
          <w:rFonts w:asciiTheme="majorBidi" w:hAnsiTheme="majorBidi" w:cstheme="majorBidi"/>
          <w:vertAlign w:val="superscript"/>
        </w:rPr>
        <w:t>-3/-4</w:t>
      </w:r>
      <w:r w:rsidRPr="006560CF">
        <w:rPr>
          <w:rFonts w:asciiTheme="majorBidi" w:hAnsiTheme="majorBidi" w:cstheme="majorBidi"/>
        </w:rPr>
        <w:t xml:space="preserve"> (mol.cm</w:t>
      </w:r>
      <w:r w:rsidRPr="006560CF">
        <w:rPr>
          <w:rFonts w:asciiTheme="majorBidi" w:hAnsiTheme="majorBidi" w:cstheme="majorBidi"/>
          <w:vertAlign w:val="superscript"/>
        </w:rPr>
        <w:t>-3</w:t>
      </w:r>
      <w:r w:rsidRPr="006560CF">
        <w:rPr>
          <w:rFonts w:asciiTheme="majorBidi" w:hAnsiTheme="majorBidi" w:cstheme="majorBidi"/>
        </w:rPr>
        <w:t>), υ is scan rate (V.s</w:t>
      </w:r>
      <w:r w:rsidRPr="006560CF">
        <w:rPr>
          <w:rFonts w:asciiTheme="majorBidi" w:hAnsiTheme="majorBidi" w:cstheme="majorBidi"/>
          <w:vertAlign w:val="superscript"/>
        </w:rPr>
        <w:t>-1</w:t>
      </w:r>
      <w:r w:rsidRPr="006560CF">
        <w:rPr>
          <w:rFonts w:asciiTheme="majorBidi" w:hAnsiTheme="majorBidi" w:cstheme="majorBidi"/>
        </w:rPr>
        <w:t>), the number of electrons exchanged is presented with n, D</w:t>
      </w:r>
      <w:r w:rsidR="00EE1F2C">
        <w:rPr>
          <w:rFonts w:asciiTheme="majorBidi" w:hAnsiTheme="majorBidi" w:cstheme="majorBidi"/>
        </w:rPr>
        <w:t xml:space="preserve"> refers to</w:t>
      </w:r>
      <w:r w:rsidRPr="006560CF">
        <w:rPr>
          <w:rFonts w:asciiTheme="majorBidi" w:hAnsiTheme="majorBidi" w:cstheme="majorBidi"/>
        </w:rPr>
        <w:t xml:space="preserve"> diffusion coefficient (cm</w:t>
      </w:r>
      <w:r w:rsidRPr="006560CF">
        <w:rPr>
          <w:rFonts w:asciiTheme="majorBidi" w:hAnsiTheme="majorBidi" w:cstheme="majorBidi"/>
          <w:vertAlign w:val="superscript"/>
        </w:rPr>
        <w:t>2</w:t>
      </w:r>
      <w:r w:rsidRPr="006560CF">
        <w:rPr>
          <w:rFonts w:asciiTheme="majorBidi" w:hAnsiTheme="majorBidi" w:cstheme="majorBidi"/>
        </w:rPr>
        <w:t>.s</w:t>
      </w:r>
      <w:r w:rsidRPr="006560CF">
        <w:rPr>
          <w:rFonts w:asciiTheme="majorBidi" w:hAnsiTheme="majorBidi" w:cstheme="majorBidi"/>
          <w:vertAlign w:val="superscript"/>
        </w:rPr>
        <w:t>-1</w:t>
      </w:r>
      <w:r w:rsidRPr="006560CF">
        <w:rPr>
          <w:rFonts w:asciiTheme="majorBidi" w:hAnsiTheme="majorBidi" w:cstheme="majorBidi"/>
        </w:rPr>
        <w:t>) and A refers to the microscopic surface area of the electrode (cm</w:t>
      </w:r>
      <w:r w:rsidRPr="006560CF">
        <w:rPr>
          <w:rFonts w:asciiTheme="majorBidi" w:hAnsiTheme="majorBidi" w:cstheme="majorBidi"/>
          <w:vertAlign w:val="superscript"/>
        </w:rPr>
        <w:t>2</w:t>
      </w:r>
      <w:r w:rsidRPr="006560CF">
        <w:rPr>
          <w:rFonts w:asciiTheme="majorBidi" w:hAnsiTheme="majorBidi" w:cstheme="majorBidi"/>
        </w:rPr>
        <w:t xml:space="preserve">). In the </w:t>
      </w:r>
      <w:proofErr w:type="spellStart"/>
      <w:r w:rsidRPr="006560CF">
        <w:rPr>
          <w:rFonts w:asciiTheme="majorBidi" w:hAnsiTheme="majorBidi" w:cstheme="majorBidi"/>
        </w:rPr>
        <w:t>KCl</w:t>
      </w:r>
      <w:proofErr w:type="spellEnd"/>
      <w:r w:rsidRPr="006560CF">
        <w:rPr>
          <w:rFonts w:asciiTheme="majorBidi" w:hAnsiTheme="majorBidi" w:cstheme="majorBidi"/>
        </w:rPr>
        <w:t xml:space="preserve"> solution, the coefficient</w:t>
      </w:r>
      <w:r w:rsidR="00080BC8">
        <w:rPr>
          <w:rFonts w:asciiTheme="majorBidi" w:hAnsiTheme="majorBidi" w:cstheme="majorBidi"/>
        </w:rPr>
        <w:t xml:space="preserve"> of diffusion</w:t>
      </w:r>
      <w:r w:rsidRPr="006560CF">
        <w:rPr>
          <w:rFonts w:asciiTheme="majorBidi" w:hAnsiTheme="majorBidi" w:cstheme="majorBidi"/>
        </w:rPr>
        <w:t xml:space="preserve"> for the required probe is 0.2 M equal to 7.6 × 10</w:t>
      </w:r>
      <w:r w:rsidRPr="006560CF">
        <w:rPr>
          <w:rFonts w:asciiTheme="majorBidi" w:hAnsiTheme="majorBidi" w:cstheme="majorBidi"/>
          <w:vertAlign w:val="superscript"/>
        </w:rPr>
        <w:t xml:space="preserve">-6 </w:t>
      </w:r>
      <w:r w:rsidRPr="006560CF">
        <w:rPr>
          <w:rFonts w:asciiTheme="majorBidi" w:hAnsiTheme="majorBidi" w:cstheme="majorBidi"/>
        </w:rPr>
        <w:t>(cm</w:t>
      </w:r>
      <w:r w:rsidRPr="006560CF">
        <w:rPr>
          <w:rFonts w:asciiTheme="majorBidi" w:hAnsiTheme="majorBidi" w:cstheme="majorBidi"/>
          <w:vertAlign w:val="superscript"/>
        </w:rPr>
        <w:t>2</w:t>
      </w:r>
      <w:r w:rsidRPr="006560CF">
        <w:rPr>
          <w:rFonts w:asciiTheme="majorBidi" w:hAnsiTheme="majorBidi" w:cstheme="majorBidi"/>
        </w:rPr>
        <w:t>.s</w:t>
      </w:r>
      <w:r w:rsidRPr="006560CF">
        <w:rPr>
          <w:rFonts w:asciiTheme="majorBidi" w:hAnsiTheme="majorBidi" w:cstheme="majorBidi"/>
          <w:vertAlign w:val="superscript"/>
        </w:rPr>
        <w:t>-1</w:t>
      </w:r>
      <w:r w:rsidRPr="006560CF">
        <w:rPr>
          <w:rFonts w:asciiTheme="majorBidi" w:hAnsiTheme="majorBidi" w:cstheme="majorBidi"/>
        </w:rPr>
        <w:t>).</w:t>
      </w:r>
    </w:p>
    <w:p w14:paraId="6B168AA7" w14:textId="32701300" w:rsidR="00DD1011" w:rsidRPr="006560CF" w:rsidRDefault="00DD1011" w:rsidP="00606E71">
      <w:pPr>
        <w:spacing w:line="360" w:lineRule="auto"/>
        <w:ind w:firstLine="360"/>
        <w:jc w:val="lowKashida"/>
        <w:rPr>
          <w:rFonts w:asciiTheme="majorBidi" w:hAnsiTheme="majorBidi" w:cstheme="majorBidi"/>
        </w:rPr>
      </w:pPr>
      <w:r w:rsidRPr="006560CF">
        <w:rPr>
          <w:rFonts w:asciiTheme="majorBidi" w:hAnsiTheme="majorBidi" w:cstheme="majorBidi"/>
        </w:rPr>
        <w:t>The effective electrochemical surface area was computed</w:t>
      </w:r>
      <w:r w:rsidR="002C24FB">
        <w:rPr>
          <w:rFonts w:asciiTheme="majorBidi" w:hAnsiTheme="majorBidi" w:cstheme="majorBidi"/>
        </w:rPr>
        <w:t xml:space="preserve"> at</w:t>
      </w:r>
      <w:r w:rsidRPr="006560CF">
        <w:rPr>
          <w:rFonts w:asciiTheme="majorBidi" w:hAnsiTheme="majorBidi" w:cstheme="majorBidi"/>
        </w:rPr>
        <w:t xml:space="preserve"> 1.72 cm</w:t>
      </w:r>
      <w:r w:rsidRPr="006560CF">
        <w:rPr>
          <w:rFonts w:asciiTheme="majorBidi" w:hAnsiTheme="majorBidi" w:cstheme="majorBidi"/>
          <w:vertAlign w:val="superscript"/>
        </w:rPr>
        <w:t>2</w:t>
      </w:r>
      <w:r w:rsidRPr="006560CF">
        <w:rPr>
          <w:rFonts w:asciiTheme="majorBidi" w:hAnsiTheme="majorBidi" w:cstheme="majorBidi"/>
        </w:rPr>
        <w:t xml:space="preserve"> for ZnMnFeO</w:t>
      </w:r>
      <w:r w:rsidRPr="006560CF">
        <w:rPr>
          <w:rFonts w:asciiTheme="majorBidi" w:hAnsiTheme="majorBidi" w:cstheme="majorBidi"/>
          <w:vertAlign w:val="subscript"/>
        </w:rPr>
        <w:t>4</w:t>
      </w:r>
      <w:r w:rsidRPr="006560CF">
        <w:rPr>
          <w:rFonts w:asciiTheme="majorBidi" w:hAnsiTheme="majorBidi" w:cstheme="majorBidi"/>
        </w:rPr>
        <w:t>/CoMnFeO</w:t>
      </w:r>
      <w:r w:rsidRPr="006560CF">
        <w:rPr>
          <w:rFonts w:asciiTheme="majorBidi" w:hAnsiTheme="majorBidi" w:cstheme="majorBidi"/>
          <w:vertAlign w:val="subscript"/>
        </w:rPr>
        <w:t>4</w:t>
      </w:r>
      <w:r w:rsidRPr="006560CF">
        <w:rPr>
          <w:rFonts w:asciiTheme="majorBidi" w:hAnsiTheme="majorBidi" w:cstheme="majorBidi"/>
        </w:rPr>
        <w:t xml:space="preserve"> NPs. This implies the fact that the modifier has enhanced the effective electrochemical surface of the FTO glass substrate and qualified this sensor for electrochemical sensing.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495"/>
      </w:tblGrid>
      <w:tr w:rsidR="00392571" w:rsidRPr="00AD0A92" w14:paraId="637150CC" w14:textId="77777777" w:rsidTr="00315D9C">
        <w:tc>
          <w:tcPr>
            <w:tcW w:w="4855" w:type="dxa"/>
          </w:tcPr>
          <w:p w14:paraId="57BAE803" w14:textId="17673E15" w:rsidR="00AD634C" w:rsidRPr="00AD0A92" w:rsidRDefault="00BE15E7" w:rsidP="002E37EB">
            <w:pPr>
              <w:spacing w:line="360" w:lineRule="auto"/>
              <w:jc w:val="lowKashida"/>
              <w:rPr>
                <w:rFonts w:asciiTheme="majorBidi" w:hAnsiTheme="majorBidi" w:cstheme="majorBidi"/>
              </w:rPr>
            </w:pPr>
            <w:r>
              <w:rPr>
                <w:rFonts w:asciiTheme="majorBidi" w:hAnsiTheme="majorBidi" w:cstheme="majorBidi"/>
                <w:noProof/>
                <w:lang w:val="en-US"/>
              </w:rPr>
              <w:lastRenderedPageBreak/>
              <w:drawing>
                <wp:anchor distT="0" distB="0" distL="114300" distR="114300" simplePos="0" relativeHeight="251688960" behindDoc="1" locked="0" layoutInCell="1" allowOverlap="1" wp14:anchorId="1F84BD90" wp14:editId="0B5DBE58">
                  <wp:simplePos x="0" y="0"/>
                  <wp:positionH relativeFrom="column">
                    <wp:posOffset>74295</wp:posOffset>
                  </wp:positionH>
                  <wp:positionV relativeFrom="paragraph">
                    <wp:posOffset>0</wp:posOffset>
                  </wp:positionV>
                  <wp:extent cx="2581275" cy="2562225"/>
                  <wp:effectExtent l="0" t="0" r="0" b="9525"/>
                  <wp:wrapTight wrapText="bothSides">
                    <wp:wrapPolygon edited="0">
                      <wp:start x="2391" y="482"/>
                      <wp:lineTo x="1275" y="803"/>
                      <wp:lineTo x="1275" y="1927"/>
                      <wp:lineTo x="2551" y="3372"/>
                      <wp:lineTo x="956" y="5942"/>
                      <wp:lineTo x="956" y="13651"/>
                      <wp:lineTo x="2232" y="16220"/>
                      <wp:lineTo x="2232" y="18629"/>
                      <wp:lineTo x="3985" y="18950"/>
                      <wp:lineTo x="3985" y="21199"/>
                      <wp:lineTo x="12115" y="21520"/>
                      <wp:lineTo x="16738" y="21520"/>
                      <wp:lineTo x="16738" y="21359"/>
                      <wp:lineTo x="21361" y="19914"/>
                      <wp:lineTo x="21201" y="1285"/>
                      <wp:lineTo x="19926" y="1124"/>
                      <wp:lineTo x="4304" y="482"/>
                      <wp:lineTo x="2391" y="482"/>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2562225"/>
                          </a:xfrm>
                          <a:prstGeom prst="rect">
                            <a:avLst/>
                          </a:prstGeom>
                          <a:noFill/>
                        </pic:spPr>
                      </pic:pic>
                    </a:graphicData>
                  </a:graphic>
                  <wp14:sizeRelH relativeFrom="margin">
                    <wp14:pctWidth>0</wp14:pctWidth>
                  </wp14:sizeRelH>
                  <wp14:sizeRelV relativeFrom="margin">
                    <wp14:pctHeight>0</wp14:pctHeight>
                  </wp14:sizeRelV>
                </wp:anchor>
              </w:drawing>
            </w:r>
          </w:p>
        </w:tc>
        <w:tc>
          <w:tcPr>
            <w:tcW w:w="4495" w:type="dxa"/>
          </w:tcPr>
          <w:p w14:paraId="3863B05A" w14:textId="7A0DE542" w:rsidR="00AD634C" w:rsidRPr="00AD0A92" w:rsidRDefault="0040525E" w:rsidP="002E37EB">
            <w:pPr>
              <w:spacing w:line="360" w:lineRule="auto"/>
              <w:jc w:val="lowKashida"/>
              <w:rPr>
                <w:rFonts w:asciiTheme="majorBidi" w:hAnsiTheme="majorBidi" w:cstheme="majorBidi"/>
              </w:rPr>
            </w:pPr>
            <w:r>
              <w:rPr>
                <w:rFonts w:asciiTheme="majorBidi" w:hAnsiTheme="majorBidi" w:cstheme="majorBidi"/>
                <w:noProof/>
                <w:lang w:val="en-US"/>
              </w:rPr>
              <w:drawing>
                <wp:anchor distT="0" distB="0" distL="114300" distR="114300" simplePos="0" relativeHeight="251677696" behindDoc="0" locked="0" layoutInCell="1" allowOverlap="1" wp14:anchorId="0CE00A2B" wp14:editId="2822E21A">
                  <wp:simplePos x="0" y="0"/>
                  <wp:positionH relativeFrom="column">
                    <wp:posOffset>77470</wp:posOffset>
                  </wp:positionH>
                  <wp:positionV relativeFrom="paragraph">
                    <wp:posOffset>0</wp:posOffset>
                  </wp:positionV>
                  <wp:extent cx="2609850" cy="25241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9850" cy="2524125"/>
                          </a:xfrm>
                          <a:prstGeom prst="rect">
                            <a:avLst/>
                          </a:prstGeom>
                          <a:noFill/>
                        </pic:spPr>
                      </pic:pic>
                    </a:graphicData>
                  </a:graphic>
                  <wp14:sizeRelH relativeFrom="margin">
                    <wp14:pctWidth>0</wp14:pctWidth>
                  </wp14:sizeRelH>
                  <wp14:sizeRelV relativeFrom="margin">
                    <wp14:pctHeight>0</wp14:pctHeight>
                  </wp14:sizeRelV>
                </wp:anchor>
              </w:drawing>
            </w:r>
            <w:r w:rsidR="003F43AD" w:rsidRPr="00AD0A92">
              <w:rPr>
                <w:rFonts w:asciiTheme="majorBidi" w:hAnsiTheme="majorBidi" w:cstheme="majorBidi"/>
                <w:noProof/>
                <w:lang w:val="en-US"/>
              </w:rPr>
              <w:drawing>
                <wp:anchor distT="0" distB="0" distL="114300" distR="114300" simplePos="0" relativeHeight="251659264" behindDoc="1" locked="0" layoutInCell="1" allowOverlap="1" wp14:anchorId="3223B2E3" wp14:editId="245913D6">
                  <wp:simplePos x="0" y="0"/>
                  <wp:positionH relativeFrom="column">
                    <wp:posOffset>1458595</wp:posOffset>
                  </wp:positionH>
                  <wp:positionV relativeFrom="paragraph">
                    <wp:posOffset>219075</wp:posOffset>
                  </wp:positionV>
                  <wp:extent cx="1095375" cy="657225"/>
                  <wp:effectExtent l="0" t="0" r="9525" b="952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92571" w:rsidRPr="00AD0A92" w14:paraId="1940900F" w14:textId="77777777" w:rsidTr="00315D9C">
        <w:tc>
          <w:tcPr>
            <w:tcW w:w="4855" w:type="dxa"/>
          </w:tcPr>
          <w:p w14:paraId="0D3595BA" w14:textId="52D4F9AE" w:rsidR="00AD634C" w:rsidRPr="00AD0A92" w:rsidRDefault="00BE15E7" w:rsidP="002E37EB">
            <w:pPr>
              <w:spacing w:line="360" w:lineRule="auto"/>
              <w:jc w:val="lowKashida"/>
              <w:rPr>
                <w:rFonts w:asciiTheme="majorBidi" w:hAnsiTheme="majorBidi" w:cstheme="majorBidi"/>
                <w:noProof/>
              </w:rPr>
            </w:pPr>
            <w:r>
              <w:rPr>
                <w:rFonts w:asciiTheme="majorBidi" w:hAnsiTheme="majorBidi" w:cstheme="majorBidi"/>
                <w:noProof/>
                <w:lang w:val="en-US"/>
              </w:rPr>
              <w:drawing>
                <wp:anchor distT="0" distB="0" distL="114300" distR="114300" simplePos="0" relativeHeight="251687936" behindDoc="1" locked="0" layoutInCell="1" allowOverlap="1" wp14:anchorId="10074EBD" wp14:editId="76CA0C78">
                  <wp:simplePos x="0" y="0"/>
                  <wp:positionH relativeFrom="column">
                    <wp:posOffset>-44450</wp:posOffset>
                  </wp:positionH>
                  <wp:positionV relativeFrom="paragraph">
                    <wp:posOffset>12700</wp:posOffset>
                  </wp:positionV>
                  <wp:extent cx="2661920" cy="2409825"/>
                  <wp:effectExtent l="0" t="0" r="5080" b="9525"/>
                  <wp:wrapTight wrapText="bothSides">
                    <wp:wrapPolygon edited="0">
                      <wp:start x="1546" y="854"/>
                      <wp:lineTo x="1391" y="1878"/>
                      <wp:lineTo x="2937" y="3586"/>
                      <wp:lineTo x="5101" y="3927"/>
                      <wp:lineTo x="2782" y="4781"/>
                      <wp:lineTo x="2782" y="5464"/>
                      <wp:lineTo x="5101" y="6659"/>
                      <wp:lineTo x="1237" y="7172"/>
                      <wp:lineTo x="1391" y="15368"/>
                      <wp:lineTo x="4483" y="17587"/>
                      <wp:lineTo x="2319" y="17587"/>
                      <wp:lineTo x="2473" y="20319"/>
                      <wp:lineTo x="8656" y="20319"/>
                      <wp:lineTo x="8656" y="21515"/>
                      <wp:lineTo x="12676" y="21515"/>
                      <wp:lineTo x="17622" y="21515"/>
                      <wp:lineTo x="18086" y="20490"/>
                      <wp:lineTo x="20714" y="20319"/>
                      <wp:lineTo x="21487" y="20149"/>
                      <wp:lineTo x="21177" y="1537"/>
                      <wp:lineTo x="21023" y="854"/>
                      <wp:lineTo x="1546" y="854"/>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1920" cy="2409825"/>
                          </a:xfrm>
                          <a:prstGeom prst="rect">
                            <a:avLst/>
                          </a:prstGeom>
                          <a:noFill/>
                        </pic:spPr>
                      </pic:pic>
                    </a:graphicData>
                  </a:graphic>
                  <wp14:sizeRelH relativeFrom="margin">
                    <wp14:pctWidth>0</wp14:pctWidth>
                  </wp14:sizeRelH>
                  <wp14:sizeRelV relativeFrom="margin">
                    <wp14:pctHeight>0</wp14:pctHeight>
                  </wp14:sizeRelV>
                </wp:anchor>
              </w:drawing>
            </w:r>
          </w:p>
        </w:tc>
        <w:tc>
          <w:tcPr>
            <w:tcW w:w="4495" w:type="dxa"/>
          </w:tcPr>
          <w:p w14:paraId="5BBDBE76" w14:textId="10D71C8F" w:rsidR="00AD634C" w:rsidRPr="00AD0A92" w:rsidRDefault="00BE15E7" w:rsidP="002E37EB">
            <w:pPr>
              <w:spacing w:line="360" w:lineRule="auto"/>
              <w:jc w:val="lowKashida"/>
              <w:rPr>
                <w:rFonts w:asciiTheme="majorBidi" w:hAnsiTheme="majorBidi" w:cstheme="majorBidi"/>
                <w:noProof/>
              </w:rPr>
            </w:pPr>
            <w:r>
              <w:rPr>
                <w:rFonts w:asciiTheme="majorBidi" w:hAnsiTheme="majorBidi" w:cstheme="majorBidi"/>
                <w:noProof/>
                <w:lang w:val="en-US"/>
              </w:rPr>
              <w:drawing>
                <wp:anchor distT="0" distB="0" distL="114300" distR="114300" simplePos="0" relativeHeight="251686912" behindDoc="1" locked="0" layoutInCell="1" allowOverlap="1" wp14:anchorId="42FA2673" wp14:editId="2CBD322A">
                  <wp:simplePos x="0" y="0"/>
                  <wp:positionH relativeFrom="column">
                    <wp:posOffset>58420</wp:posOffset>
                  </wp:positionH>
                  <wp:positionV relativeFrom="paragraph">
                    <wp:posOffset>13335</wp:posOffset>
                  </wp:positionV>
                  <wp:extent cx="2600325" cy="2495550"/>
                  <wp:effectExtent l="0" t="0" r="9525" b="0"/>
                  <wp:wrapTight wrapText="bothSides">
                    <wp:wrapPolygon edited="0">
                      <wp:start x="1108" y="495"/>
                      <wp:lineTo x="1108" y="1649"/>
                      <wp:lineTo x="1899" y="3463"/>
                      <wp:lineTo x="2215" y="6101"/>
                      <wp:lineTo x="949" y="7090"/>
                      <wp:lineTo x="633" y="7585"/>
                      <wp:lineTo x="791" y="13850"/>
                      <wp:lineTo x="1108" y="14015"/>
                      <wp:lineTo x="2690" y="14015"/>
                      <wp:lineTo x="2690" y="16653"/>
                      <wp:lineTo x="4273" y="16653"/>
                      <wp:lineTo x="3323" y="17643"/>
                      <wp:lineTo x="3798" y="19292"/>
                      <wp:lineTo x="9178" y="19786"/>
                      <wp:lineTo x="9336" y="20611"/>
                      <wp:lineTo x="13292" y="20940"/>
                      <wp:lineTo x="15508" y="20940"/>
                      <wp:lineTo x="16457" y="19951"/>
                      <wp:lineTo x="21046" y="19292"/>
                      <wp:lineTo x="21521" y="19127"/>
                      <wp:lineTo x="21521" y="1319"/>
                      <wp:lineTo x="19938" y="1154"/>
                      <wp:lineTo x="2057" y="495"/>
                      <wp:lineTo x="1108" y="495"/>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0325" cy="24955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C58904F" w14:textId="320BF84C" w:rsidR="00AD634C" w:rsidRPr="008F09B4" w:rsidRDefault="00AD634C" w:rsidP="008F09B4">
      <w:pPr>
        <w:spacing w:after="160" w:line="360" w:lineRule="auto"/>
        <w:ind w:firstLine="432"/>
        <w:jc w:val="lowKashida"/>
        <w:rPr>
          <w:rFonts w:asciiTheme="majorBidi" w:hAnsiTheme="majorBidi" w:cstheme="majorBidi"/>
          <w:color w:val="000000"/>
        </w:rPr>
      </w:pPr>
      <w:r w:rsidRPr="002E37EB">
        <w:rPr>
          <w:rFonts w:asciiTheme="majorBidi" w:hAnsiTheme="majorBidi" w:cstheme="majorBidi"/>
          <w:b/>
          <w:bCs/>
          <w:sz w:val="24"/>
          <w:szCs w:val="24"/>
        </w:rPr>
        <w:t>Fig. S2.</w:t>
      </w:r>
      <w:r w:rsidRPr="00AD0A92">
        <w:rPr>
          <w:rFonts w:asciiTheme="majorBidi" w:hAnsiTheme="majorBidi" w:cstheme="majorBidi"/>
          <w:color w:val="000000"/>
          <w:sz w:val="24"/>
          <w:szCs w:val="24"/>
        </w:rPr>
        <w:t xml:space="preserve"> </w:t>
      </w:r>
      <w:r w:rsidRPr="002E37EB">
        <w:rPr>
          <w:rFonts w:asciiTheme="majorBidi" w:hAnsiTheme="majorBidi" w:cstheme="majorBidi"/>
          <w:color w:val="000000"/>
        </w:rPr>
        <w:t>(</w:t>
      </w:r>
      <w:r w:rsidR="00BF6B7A">
        <w:rPr>
          <w:rFonts w:asciiTheme="majorBidi" w:hAnsiTheme="majorBidi" w:cstheme="majorBidi"/>
          <w:color w:val="000000"/>
        </w:rPr>
        <w:t>a</w:t>
      </w:r>
      <w:r w:rsidRPr="002E37EB">
        <w:rPr>
          <w:rFonts w:asciiTheme="majorBidi" w:hAnsiTheme="majorBidi" w:cstheme="majorBidi"/>
          <w:color w:val="000000"/>
        </w:rPr>
        <w:t>) Cyclic Voltammograms for varied electrodes in 5mM [</w:t>
      </w:r>
      <w:proofErr w:type="gramStart"/>
      <w:r w:rsidRPr="002E37EB">
        <w:rPr>
          <w:rFonts w:asciiTheme="majorBidi" w:hAnsiTheme="majorBidi" w:cstheme="majorBidi"/>
          <w:color w:val="000000"/>
        </w:rPr>
        <w:t>Fe(</w:t>
      </w:r>
      <w:proofErr w:type="gramEnd"/>
      <w:r w:rsidRPr="002E37EB">
        <w:rPr>
          <w:rFonts w:asciiTheme="majorBidi" w:hAnsiTheme="majorBidi" w:cstheme="majorBidi"/>
          <w:color w:val="000000"/>
        </w:rPr>
        <w:t>CN)</w:t>
      </w:r>
      <w:r w:rsidRPr="002E37EB">
        <w:rPr>
          <w:rFonts w:asciiTheme="majorBidi" w:hAnsiTheme="majorBidi" w:cstheme="majorBidi"/>
          <w:color w:val="000000"/>
          <w:vertAlign w:val="subscript"/>
        </w:rPr>
        <w:t>6</w:t>
      </w:r>
      <w:r w:rsidRPr="002E37EB">
        <w:rPr>
          <w:rFonts w:asciiTheme="majorBidi" w:hAnsiTheme="majorBidi" w:cstheme="majorBidi"/>
          <w:color w:val="000000"/>
        </w:rPr>
        <w:t>]</w:t>
      </w:r>
      <w:r w:rsidRPr="002E37EB">
        <w:rPr>
          <w:rFonts w:asciiTheme="majorBidi" w:hAnsiTheme="majorBidi" w:cstheme="majorBidi"/>
          <w:color w:val="000000"/>
          <w:vertAlign w:val="superscript"/>
        </w:rPr>
        <w:t>-3</w:t>
      </w:r>
      <w:r w:rsidRPr="002E37EB">
        <w:rPr>
          <w:rFonts w:asciiTheme="majorBidi" w:hAnsiTheme="majorBidi" w:cstheme="majorBidi"/>
          <w:color w:val="000000"/>
        </w:rPr>
        <w:t>/[Fe(CN)</w:t>
      </w:r>
      <w:r w:rsidRPr="002E37EB">
        <w:rPr>
          <w:rFonts w:asciiTheme="majorBidi" w:hAnsiTheme="majorBidi" w:cstheme="majorBidi"/>
          <w:color w:val="000000"/>
          <w:vertAlign w:val="subscript"/>
        </w:rPr>
        <w:t>6</w:t>
      </w:r>
      <w:r w:rsidRPr="002E37EB">
        <w:rPr>
          <w:rFonts w:asciiTheme="majorBidi" w:hAnsiTheme="majorBidi" w:cstheme="majorBidi"/>
          <w:color w:val="000000"/>
        </w:rPr>
        <w:t>]</w:t>
      </w:r>
      <w:r w:rsidRPr="002E37EB">
        <w:rPr>
          <w:rFonts w:asciiTheme="majorBidi" w:hAnsiTheme="majorBidi" w:cstheme="majorBidi"/>
          <w:color w:val="000000"/>
          <w:vertAlign w:val="superscript"/>
        </w:rPr>
        <w:t xml:space="preserve">-4 </w:t>
      </w:r>
      <w:r w:rsidRPr="002E37EB">
        <w:rPr>
          <w:rFonts w:asciiTheme="majorBidi" w:hAnsiTheme="majorBidi" w:cstheme="majorBidi"/>
          <w:color w:val="000000"/>
        </w:rPr>
        <w:t xml:space="preserve">with </w:t>
      </w:r>
      <w:proofErr w:type="spellStart"/>
      <w:r w:rsidRPr="002E37EB">
        <w:rPr>
          <w:rFonts w:asciiTheme="majorBidi" w:hAnsiTheme="majorBidi" w:cstheme="majorBidi"/>
          <w:color w:val="000000"/>
        </w:rPr>
        <w:t>KCl</w:t>
      </w:r>
      <w:proofErr w:type="spellEnd"/>
      <w:r w:rsidRPr="002E37EB">
        <w:rPr>
          <w:rFonts w:asciiTheme="majorBidi" w:hAnsiTheme="majorBidi" w:cstheme="majorBidi"/>
          <w:color w:val="000000"/>
        </w:rPr>
        <w:t xml:space="preserve"> 0.1M as supporting electrolyte at the scan rate of 50 mV.s</w:t>
      </w:r>
      <w:r w:rsidRPr="002E37EB">
        <w:rPr>
          <w:rFonts w:asciiTheme="majorBidi" w:hAnsiTheme="majorBidi" w:cstheme="majorBidi"/>
          <w:color w:val="000000"/>
          <w:vertAlign w:val="superscript"/>
        </w:rPr>
        <w:t>-1</w:t>
      </w:r>
      <w:r w:rsidRPr="002E37EB">
        <w:rPr>
          <w:rFonts w:asciiTheme="majorBidi" w:hAnsiTheme="majorBidi" w:cstheme="majorBidi"/>
          <w:color w:val="000000"/>
        </w:rPr>
        <w:t>. (a) Bare FTO; (b) CoMnFeO</w:t>
      </w:r>
      <w:r w:rsidRPr="002E37EB">
        <w:rPr>
          <w:rFonts w:asciiTheme="majorBidi" w:hAnsiTheme="majorBidi" w:cstheme="majorBidi"/>
          <w:color w:val="000000"/>
          <w:vertAlign w:val="subscript"/>
        </w:rPr>
        <w:t>4</w:t>
      </w:r>
      <w:r w:rsidRPr="002E37EB">
        <w:rPr>
          <w:rFonts w:asciiTheme="majorBidi" w:hAnsiTheme="majorBidi" w:cstheme="majorBidi"/>
          <w:color w:val="000000"/>
        </w:rPr>
        <w:t>/FTO; (c) ZnMnFeO</w:t>
      </w:r>
      <w:r w:rsidRPr="002E37EB">
        <w:rPr>
          <w:rFonts w:asciiTheme="majorBidi" w:hAnsiTheme="majorBidi" w:cstheme="majorBidi"/>
          <w:color w:val="000000"/>
          <w:vertAlign w:val="subscript"/>
        </w:rPr>
        <w:t>4</w:t>
      </w:r>
      <w:r w:rsidRPr="002E37EB">
        <w:rPr>
          <w:rFonts w:asciiTheme="majorBidi" w:hAnsiTheme="majorBidi" w:cstheme="majorBidi"/>
          <w:color w:val="000000"/>
        </w:rPr>
        <w:t>/FTO; (d) ZnMnFeO</w:t>
      </w:r>
      <w:r w:rsidRPr="002E37EB">
        <w:rPr>
          <w:rFonts w:asciiTheme="majorBidi" w:hAnsiTheme="majorBidi" w:cstheme="majorBidi"/>
          <w:color w:val="000000"/>
          <w:vertAlign w:val="subscript"/>
        </w:rPr>
        <w:t>4</w:t>
      </w:r>
      <w:r w:rsidRPr="002E37EB">
        <w:rPr>
          <w:rFonts w:asciiTheme="majorBidi" w:hAnsiTheme="majorBidi" w:cstheme="majorBidi"/>
          <w:color w:val="000000"/>
        </w:rPr>
        <w:t>/CoMnFeO</w:t>
      </w:r>
      <w:r w:rsidRPr="002E37EB">
        <w:rPr>
          <w:rFonts w:asciiTheme="majorBidi" w:hAnsiTheme="majorBidi" w:cstheme="majorBidi"/>
          <w:color w:val="000000"/>
        </w:rPr>
        <w:softHyphen/>
      </w:r>
      <w:r w:rsidRPr="002E37EB">
        <w:rPr>
          <w:rFonts w:asciiTheme="majorBidi" w:hAnsiTheme="majorBidi" w:cstheme="majorBidi"/>
          <w:color w:val="000000"/>
          <w:vertAlign w:val="subscript"/>
        </w:rPr>
        <w:t>4</w:t>
      </w:r>
      <w:r w:rsidRPr="002E37EB">
        <w:rPr>
          <w:rFonts w:asciiTheme="majorBidi" w:hAnsiTheme="majorBidi" w:cstheme="majorBidi"/>
          <w:color w:val="000000"/>
        </w:rPr>
        <w:t>/FTO; (</w:t>
      </w:r>
      <w:r w:rsidR="000D6D2E">
        <w:rPr>
          <w:rFonts w:asciiTheme="majorBidi" w:hAnsiTheme="majorBidi" w:cstheme="majorBidi"/>
          <w:color w:val="000000"/>
        </w:rPr>
        <w:t>b</w:t>
      </w:r>
      <w:r w:rsidRPr="002E37EB">
        <w:rPr>
          <w:rFonts w:asciiTheme="majorBidi" w:hAnsiTheme="majorBidi" w:cstheme="majorBidi"/>
          <w:color w:val="000000"/>
        </w:rPr>
        <w:t>) Electrochemical impedance spectroscopy (EIS) of Bare FTO and the other modified electrodes in 5mM [Fe(CN)</w:t>
      </w:r>
      <w:r w:rsidRPr="002E37EB">
        <w:rPr>
          <w:rFonts w:asciiTheme="majorBidi" w:hAnsiTheme="majorBidi" w:cstheme="majorBidi"/>
          <w:color w:val="000000"/>
          <w:vertAlign w:val="subscript"/>
        </w:rPr>
        <w:t>6</w:t>
      </w:r>
      <w:r w:rsidRPr="002E37EB">
        <w:rPr>
          <w:rFonts w:asciiTheme="majorBidi" w:hAnsiTheme="majorBidi" w:cstheme="majorBidi"/>
          <w:color w:val="000000"/>
        </w:rPr>
        <w:t>]</w:t>
      </w:r>
      <w:r w:rsidRPr="002E37EB">
        <w:rPr>
          <w:rFonts w:asciiTheme="majorBidi" w:hAnsiTheme="majorBidi" w:cstheme="majorBidi"/>
          <w:color w:val="000000"/>
          <w:vertAlign w:val="superscript"/>
        </w:rPr>
        <w:t>-3</w:t>
      </w:r>
      <w:r w:rsidRPr="002E37EB">
        <w:rPr>
          <w:rFonts w:asciiTheme="majorBidi" w:hAnsiTheme="majorBidi" w:cstheme="majorBidi"/>
          <w:color w:val="000000"/>
        </w:rPr>
        <w:t>/[Fe(CN)</w:t>
      </w:r>
      <w:r w:rsidRPr="002E37EB">
        <w:rPr>
          <w:rFonts w:asciiTheme="majorBidi" w:hAnsiTheme="majorBidi" w:cstheme="majorBidi"/>
          <w:color w:val="000000"/>
          <w:vertAlign w:val="subscript"/>
        </w:rPr>
        <w:t>6</w:t>
      </w:r>
      <w:r w:rsidRPr="002E37EB">
        <w:rPr>
          <w:rFonts w:asciiTheme="majorBidi" w:hAnsiTheme="majorBidi" w:cstheme="majorBidi"/>
          <w:color w:val="000000"/>
        </w:rPr>
        <w:t>]</w:t>
      </w:r>
      <w:r w:rsidRPr="002E37EB">
        <w:rPr>
          <w:rFonts w:asciiTheme="majorBidi" w:hAnsiTheme="majorBidi" w:cstheme="majorBidi"/>
          <w:color w:val="000000"/>
          <w:vertAlign w:val="superscript"/>
        </w:rPr>
        <w:t xml:space="preserve">-4 </w:t>
      </w:r>
      <w:r w:rsidRPr="002E37EB">
        <w:rPr>
          <w:rFonts w:asciiTheme="majorBidi" w:hAnsiTheme="majorBidi" w:cstheme="majorBidi"/>
          <w:color w:val="000000"/>
        </w:rPr>
        <w:t xml:space="preserve">with </w:t>
      </w:r>
      <w:proofErr w:type="spellStart"/>
      <w:r w:rsidRPr="002E37EB">
        <w:rPr>
          <w:rFonts w:asciiTheme="majorBidi" w:hAnsiTheme="majorBidi" w:cstheme="majorBidi"/>
          <w:color w:val="000000"/>
        </w:rPr>
        <w:t>KCl</w:t>
      </w:r>
      <w:proofErr w:type="spellEnd"/>
      <w:r w:rsidRPr="002E37EB">
        <w:rPr>
          <w:rFonts w:asciiTheme="majorBidi" w:hAnsiTheme="majorBidi" w:cstheme="majorBidi"/>
          <w:color w:val="000000"/>
        </w:rPr>
        <w:t xml:space="preserve"> 0.1M, (</w:t>
      </w:r>
      <w:r w:rsidR="000D6D2E">
        <w:rPr>
          <w:rFonts w:asciiTheme="majorBidi" w:hAnsiTheme="majorBidi" w:cstheme="majorBidi"/>
          <w:color w:val="000000"/>
        </w:rPr>
        <w:t>c</w:t>
      </w:r>
      <w:r w:rsidRPr="002E37EB">
        <w:rPr>
          <w:rFonts w:asciiTheme="majorBidi" w:hAnsiTheme="majorBidi" w:cstheme="majorBidi"/>
          <w:color w:val="000000"/>
        </w:rPr>
        <w:t>) CV responses of the ZnMnFeO</w:t>
      </w:r>
      <w:r w:rsidRPr="002E37EB">
        <w:rPr>
          <w:rFonts w:asciiTheme="majorBidi" w:hAnsiTheme="majorBidi" w:cstheme="majorBidi"/>
          <w:color w:val="000000"/>
          <w:vertAlign w:val="subscript"/>
        </w:rPr>
        <w:t>4</w:t>
      </w:r>
      <w:r w:rsidRPr="002E37EB">
        <w:rPr>
          <w:rFonts w:asciiTheme="majorBidi" w:hAnsiTheme="majorBidi" w:cstheme="majorBidi"/>
          <w:color w:val="000000"/>
        </w:rPr>
        <w:t>/CoMnFeO</w:t>
      </w:r>
      <w:r w:rsidRPr="002E37EB">
        <w:rPr>
          <w:rFonts w:asciiTheme="majorBidi" w:hAnsiTheme="majorBidi" w:cstheme="majorBidi"/>
          <w:color w:val="000000"/>
          <w:vertAlign w:val="subscript"/>
        </w:rPr>
        <w:t>4</w:t>
      </w:r>
      <w:r w:rsidRPr="002E37EB">
        <w:rPr>
          <w:rFonts w:asciiTheme="majorBidi" w:hAnsiTheme="majorBidi" w:cstheme="majorBidi"/>
          <w:color w:val="000000"/>
        </w:rPr>
        <w:t>/FTO in 5mM [Fe(CN)</w:t>
      </w:r>
      <w:r w:rsidRPr="002E37EB">
        <w:rPr>
          <w:rFonts w:asciiTheme="majorBidi" w:hAnsiTheme="majorBidi" w:cstheme="majorBidi"/>
          <w:color w:val="000000"/>
          <w:vertAlign w:val="subscript"/>
        </w:rPr>
        <w:t>6</w:t>
      </w:r>
      <w:r w:rsidRPr="002E37EB">
        <w:rPr>
          <w:rFonts w:asciiTheme="majorBidi" w:hAnsiTheme="majorBidi" w:cstheme="majorBidi"/>
          <w:color w:val="000000"/>
        </w:rPr>
        <w:t>]</w:t>
      </w:r>
      <w:r w:rsidRPr="002E37EB">
        <w:rPr>
          <w:rFonts w:asciiTheme="majorBidi" w:hAnsiTheme="majorBidi" w:cstheme="majorBidi"/>
          <w:color w:val="000000"/>
          <w:vertAlign w:val="superscript"/>
        </w:rPr>
        <w:t>-3</w:t>
      </w:r>
      <w:r w:rsidRPr="002E37EB">
        <w:rPr>
          <w:rFonts w:asciiTheme="majorBidi" w:hAnsiTheme="majorBidi" w:cstheme="majorBidi"/>
          <w:color w:val="000000"/>
        </w:rPr>
        <w:t>/[Fe(CN)</w:t>
      </w:r>
      <w:r w:rsidRPr="002E37EB">
        <w:rPr>
          <w:rFonts w:asciiTheme="majorBidi" w:hAnsiTheme="majorBidi" w:cstheme="majorBidi"/>
          <w:color w:val="000000"/>
          <w:vertAlign w:val="subscript"/>
        </w:rPr>
        <w:t>6</w:t>
      </w:r>
      <w:r w:rsidRPr="002E37EB">
        <w:rPr>
          <w:rFonts w:asciiTheme="majorBidi" w:hAnsiTheme="majorBidi" w:cstheme="majorBidi"/>
          <w:color w:val="000000"/>
        </w:rPr>
        <w:t>]</w:t>
      </w:r>
      <w:r w:rsidRPr="002E37EB">
        <w:rPr>
          <w:rFonts w:asciiTheme="majorBidi" w:hAnsiTheme="majorBidi" w:cstheme="majorBidi"/>
          <w:color w:val="000000"/>
          <w:vertAlign w:val="superscript"/>
        </w:rPr>
        <w:t xml:space="preserve">-4 </w:t>
      </w:r>
      <w:r w:rsidRPr="002E37EB">
        <w:rPr>
          <w:rFonts w:asciiTheme="majorBidi" w:hAnsiTheme="majorBidi" w:cstheme="majorBidi"/>
          <w:color w:val="000000"/>
        </w:rPr>
        <w:t xml:space="preserve">containing 0.1 M </w:t>
      </w:r>
      <w:proofErr w:type="spellStart"/>
      <w:r w:rsidRPr="002E37EB">
        <w:rPr>
          <w:rFonts w:asciiTheme="majorBidi" w:hAnsiTheme="majorBidi" w:cstheme="majorBidi"/>
          <w:color w:val="000000"/>
        </w:rPr>
        <w:t>KCl</w:t>
      </w:r>
      <w:proofErr w:type="spellEnd"/>
      <w:r w:rsidRPr="002E37EB">
        <w:rPr>
          <w:rFonts w:asciiTheme="majorBidi" w:hAnsiTheme="majorBidi" w:cstheme="majorBidi"/>
          <w:color w:val="000000"/>
        </w:rPr>
        <w:t xml:space="preserve"> at the scan rates of 5, 10, 20, 30, 40, 50, 75, 100, 150, 200, 300 mV.s</w:t>
      </w:r>
      <w:r w:rsidRPr="002E37EB">
        <w:rPr>
          <w:rFonts w:asciiTheme="majorBidi" w:hAnsiTheme="majorBidi" w:cstheme="majorBidi"/>
          <w:color w:val="000000"/>
          <w:vertAlign w:val="superscript"/>
        </w:rPr>
        <w:t>-1</w:t>
      </w:r>
      <w:r w:rsidRPr="002E37EB">
        <w:rPr>
          <w:rFonts w:asciiTheme="majorBidi" w:hAnsiTheme="majorBidi" w:cstheme="majorBidi"/>
          <w:color w:val="000000"/>
        </w:rPr>
        <w:t xml:space="preserve"> (inner to outer), (</w:t>
      </w:r>
      <w:r w:rsidR="000D6D2E">
        <w:rPr>
          <w:rFonts w:asciiTheme="majorBidi" w:hAnsiTheme="majorBidi" w:cstheme="majorBidi"/>
          <w:color w:val="000000"/>
        </w:rPr>
        <w:t>d</w:t>
      </w:r>
      <w:r w:rsidRPr="002E37EB">
        <w:rPr>
          <w:rFonts w:asciiTheme="majorBidi" w:hAnsiTheme="majorBidi" w:cstheme="majorBidi"/>
          <w:color w:val="000000"/>
        </w:rPr>
        <w:t xml:space="preserve">) Diagram of peak current against square root of the scan rates. </w:t>
      </w:r>
    </w:p>
    <w:p w14:paraId="13831786" w14:textId="2686731F" w:rsidR="00B372AD" w:rsidRDefault="00B372AD" w:rsidP="002E37EB">
      <w:pPr>
        <w:spacing w:line="360" w:lineRule="auto"/>
        <w:ind w:firstLine="432"/>
        <w:jc w:val="lowKashida"/>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45FF4" w14:paraId="26F5AB08" w14:textId="77777777" w:rsidTr="00645FF4">
        <w:tc>
          <w:tcPr>
            <w:tcW w:w="9350" w:type="dxa"/>
          </w:tcPr>
          <w:p w14:paraId="1BF52769" w14:textId="0EFB2C07" w:rsidR="00645FF4" w:rsidRDefault="00645FF4" w:rsidP="007C1599">
            <w:pPr>
              <w:spacing w:line="360" w:lineRule="auto"/>
              <w:jc w:val="center"/>
              <w:rPr>
                <w:rFonts w:asciiTheme="majorBidi" w:hAnsiTheme="majorBidi" w:cstheme="majorBidi"/>
                <w:sz w:val="24"/>
                <w:szCs w:val="24"/>
              </w:rPr>
            </w:pPr>
          </w:p>
        </w:tc>
      </w:tr>
    </w:tbl>
    <w:p w14:paraId="5989DAF8" w14:textId="75EF6FAD" w:rsidR="00876814" w:rsidRPr="00AD0A92" w:rsidRDefault="00876814" w:rsidP="007A5DA1">
      <w:pPr>
        <w:pStyle w:val="NormalWeb"/>
        <w:spacing w:before="240" w:beforeAutospacing="0" w:after="240" w:afterAutospacing="0" w:line="360" w:lineRule="auto"/>
        <w:jc w:val="lowKashida"/>
        <w:rPr>
          <w:rFonts w:asciiTheme="majorBidi" w:hAnsiTheme="majorBidi" w:cstheme="majorBid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C4B43" w:rsidRPr="00AD0A92" w14:paraId="4EEAA102" w14:textId="77777777" w:rsidTr="00315D9C">
        <w:tc>
          <w:tcPr>
            <w:tcW w:w="4675" w:type="dxa"/>
          </w:tcPr>
          <w:p w14:paraId="34C7E869" w14:textId="0D783047" w:rsidR="00CC4B43" w:rsidRPr="00AD0A92" w:rsidRDefault="00BE15E7" w:rsidP="002E37EB">
            <w:pPr>
              <w:spacing w:line="360" w:lineRule="auto"/>
              <w:jc w:val="lowKashida"/>
              <w:rPr>
                <w:rFonts w:asciiTheme="majorBidi" w:hAnsiTheme="majorBidi" w:cstheme="majorBidi"/>
              </w:rPr>
            </w:pPr>
            <w:r>
              <w:rPr>
                <w:rFonts w:asciiTheme="majorBidi" w:hAnsiTheme="majorBidi" w:cstheme="majorBidi"/>
                <w:noProof/>
                <w:lang w:val="en-US"/>
              </w:rPr>
              <w:drawing>
                <wp:anchor distT="0" distB="0" distL="114300" distR="114300" simplePos="0" relativeHeight="251685888" behindDoc="1" locked="0" layoutInCell="1" allowOverlap="1" wp14:anchorId="519FC1EF" wp14:editId="7E294C00">
                  <wp:simplePos x="0" y="0"/>
                  <wp:positionH relativeFrom="column">
                    <wp:posOffset>-68580</wp:posOffset>
                  </wp:positionH>
                  <wp:positionV relativeFrom="paragraph">
                    <wp:posOffset>89535</wp:posOffset>
                  </wp:positionV>
                  <wp:extent cx="2361565" cy="2362200"/>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1896" cy="2362531"/>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5" w:type="dxa"/>
          </w:tcPr>
          <w:p w14:paraId="742BC9D3" w14:textId="3BC7E768" w:rsidR="00CC4B43" w:rsidRPr="00AD0A92" w:rsidRDefault="00E35EFA" w:rsidP="002E37EB">
            <w:pPr>
              <w:spacing w:line="360" w:lineRule="auto"/>
              <w:jc w:val="lowKashida"/>
              <w:rPr>
                <w:rFonts w:asciiTheme="majorBidi" w:hAnsiTheme="majorBidi" w:cstheme="majorBidi"/>
              </w:rPr>
            </w:pPr>
            <w:r>
              <w:rPr>
                <w:rFonts w:asciiTheme="majorBidi" w:hAnsiTheme="majorBidi" w:cstheme="majorBidi"/>
                <w:noProof/>
                <w:lang w:val="en-US"/>
              </w:rPr>
              <w:drawing>
                <wp:anchor distT="0" distB="0" distL="114300" distR="114300" simplePos="0" relativeHeight="251684864" behindDoc="1" locked="0" layoutInCell="1" allowOverlap="1" wp14:anchorId="55793251" wp14:editId="094520FB">
                  <wp:simplePos x="0" y="0"/>
                  <wp:positionH relativeFrom="column">
                    <wp:posOffset>-65405</wp:posOffset>
                  </wp:positionH>
                  <wp:positionV relativeFrom="paragraph">
                    <wp:posOffset>60960</wp:posOffset>
                  </wp:positionV>
                  <wp:extent cx="2409825" cy="2334895"/>
                  <wp:effectExtent l="0" t="0" r="9525" b="8255"/>
                  <wp:wrapTight wrapText="bothSides">
                    <wp:wrapPolygon edited="0">
                      <wp:start x="854" y="529"/>
                      <wp:lineTo x="854" y="1410"/>
                      <wp:lineTo x="3074" y="3701"/>
                      <wp:lineTo x="2220" y="4053"/>
                      <wp:lineTo x="2220" y="4406"/>
                      <wp:lineTo x="3586" y="6521"/>
                      <wp:lineTo x="1195" y="7049"/>
                      <wp:lineTo x="854" y="7578"/>
                      <wp:lineTo x="1025" y="13394"/>
                      <wp:lineTo x="2391" y="14980"/>
                      <wp:lineTo x="3586" y="14980"/>
                      <wp:lineTo x="2732" y="15861"/>
                      <wp:lineTo x="2732" y="16566"/>
                      <wp:lineTo x="3586" y="17799"/>
                      <wp:lineTo x="2049" y="19209"/>
                      <wp:lineTo x="2220" y="20443"/>
                      <wp:lineTo x="4269" y="20971"/>
                      <wp:lineTo x="9221" y="21500"/>
                      <wp:lineTo x="11953" y="21500"/>
                      <wp:lineTo x="16734" y="21500"/>
                      <wp:lineTo x="16734" y="20795"/>
                      <wp:lineTo x="21173" y="20619"/>
                      <wp:lineTo x="21515" y="20443"/>
                      <wp:lineTo x="21515" y="1234"/>
                      <wp:lineTo x="20490" y="1057"/>
                      <wp:lineTo x="3244" y="529"/>
                      <wp:lineTo x="854" y="529"/>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9825" cy="2334895"/>
                          </a:xfrm>
                          <a:prstGeom prst="rect">
                            <a:avLst/>
                          </a:prstGeom>
                          <a:noFill/>
                        </pic:spPr>
                      </pic:pic>
                    </a:graphicData>
                  </a:graphic>
                  <wp14:sizeRelH relativeFrom="margin">
                    <wp14:pctWidth>0</wp14:pctWidth>
                  </wp14:sizeRelH>
                  <wp14:sizeRelV relativeFrom="margin">
                    <wp14:pctHeight>0</wp14:pctHeight>
                  </wp14:sizeRelV>
                </wp:anchor>
              </w:drawing>
            </w:r>
          </w:p>
        </w:tc>
      </w:tr>
      <w:tr w:rsidR="00CC4B43" w14:paraId="34F75E94" w14:textId="77777777" w:rsidTr="00315D9C">
        <w:tc>
          <w:tcPr>
            <w:tcW w:w="9350" w:type="dxa"/>
            <w:gridSpan w:val="2"/>
          </w:tcPr>
          <w:p w14:paraId="4978A8FA" w14:textId="2F654F9A" w:rsidR="00CC4B43" w:rsidRDefault="00E35EFA" w:rsidP="00ED0DCE">
            <w:pPr>
              <w:spacing w:line="360" w:lineRule="auto"/>
              <w:jc w:val="center"/>
              <w:rPr>
                <w:rFonts w:asciiTheme="majorBidi" w:hAnsiTheme="majorBidi" w:cstheme="majorBidi"/>
              </w:rPr>
            </w:pPr>
            <w:r>
              <w:rPr>
                <w:rFonts w:asciiTheme="majorBidi" w:hAnsiTheme="majorBidi" w:cstheme="majorBidi"/>
                <w:noProof/>
                <w:lang w:val="en-US"/>
              </w:rPr>
              <w:drawing>
                <wp:anchor distT="0" distB="0" distL="114300" distR="114300" simplePos="0" relativeHeight="251683840" behindDoc="1" locked="0" layoutInCell="1" allowOverlap="1" wp14:anchorId="56039480" wp14:editId="2404B7B1">
                  <wp:simplePos x="0" y="0"/>
                  <wp:positionH relativeFrom="column">
                    <wp:posOffset>1417320</wp:posOffset>
                  </wp:positionH>
                  <wp:positionV relativeFrom="paragraph">
                    <wp:posOffset>209550</wp:posOffset>
                  </wp:positionV>
                  <wp:extent cx="2505075" cy="2450465"/>
                  <wp:effectExtent l="0" t="0" r="9525" b="6985"/>
                  <wp:wrapTight wrapText="bothSides">
                    <wp:wrapPolygon edited="0">
                      <wp:start x="1150" y="504"/>
                      <wp:lineTo x="1150" y="1511"/>
                      <wp:lineTo x="3121" y="3526"/>
                      <wp:lineTo x="2464" y="3862"/>
                      <wp:lineTo x="2464" y="4366"/>
                      <wp:lineTo x="3778" y="6213"/>
                      <wp:lineTo x="1314" y="6213"/>
                      <wp:lineTo x="821" y="6717"/>
                      <wp:lineTo x="821" y="13601"/>
                      <wp:lineTo x="1643" y="14273"/>
                      <wp:lineTo x="3778" y="14273"/>
                      <wp:lineTo x="2957" y="15616"/>
                      <wp:lineTo x="2957" y="16120"/>
                      <wp:lineTo x="3778" y="16960"/>
                      <wp:lineTo x="2135" y="18975"/>
                      <wp:lineTo x="2135" y="19311"/>
                      <wp:lineTo x="3614" y="19647"/>
                      <wp:lineTo x="3449" y="20318"/>
                      <wp:lineTo x="7556" y="21326"/>
                      <wp:lineTo x="12155" y="21494"/>
                      <wp:lineTo x="16919" y="21494"/>
                      <wp:lineTo x="18397" y="21494"/>
                      <wp:lineTo x="21354" y="20318"/>
                      <wp:lineTo x="21518" y="1175"/>
                      <wp:lineTo x="20532" y="1008"/>
                      <wp:lineTo x="3778" y="504"/>
                      <wp:lineTo x="1150" y="50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5075" cy="245046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89AF329" w14:textId="5CE9E8BC" w:rsidR="00876814" w:rsidRPr="00876814" w:rsidRDefault="00CC4B43" w:rsidP="00ED0DCE">
      <w:pPr>
        <w:spacing w:before="200" w:line="360" w:lineRule="auto"/>
        <w:ind w:firstLine="432"/>
        <w:jc w:val="lowKashida"/>
        <w:rPr>
          <w:rFonts w:ascii="Times New Roman" w:eastAsia="Times New Roman" w:hAnsi="Times New Roman"/>
          <w:color w:val="000000"/>
          <w:sz w:val="28"/>
          <w:szCs w:val="28"/>
          <w:lang w:val="en-US"/>
        </w:rPr>
      </w:pPr>
      <w:r w:rsidRPr="002E37EB">
        <w:rPr>
          <w:rFonts w:asciiTheme="majorBidi" w:hAnsiTheme="majorBidi" w:cstheme="majorBidi"/>
          <w:b/>
          <w:bCs/>
          <w:color w:val="000000"/>
          <w:sz w:val="24"/>
          <w:szCs w:val="24"/>
        </w:rPr>
        <w:t xml:space="preserve">Fig. </w:t>
      </w:r>
      <w:r w:rsidR="007A5DA1">
        <w:rPr>
          <w:rFonts w:asciiTheme="majorBidi" w:hAnsiTheme="majorBidi" w:cstheme="majorBidi"/>
          <w:b/>
          <w:bCs/>
          <w:color w:val="000000"/>
          <w:sz w:val="24"/>
          <w:szCs w:val="24"/>
        </w:rPr>
        <w:t>S3</w:t>
      </w:r>
      <w:r w:rsidRPr="002E37EB">
        <w:rPr>
          <w:rFonts w:asciiTheme="majorBidi" w:hAnsiTheme="majorBidi" w:cstheme="majorBidi"/>
          <w:b/>
          <w:bCs/>
          <w:color w:val="000000"/>
          <w:sz w:val="24"/>
          <w:szCs w:val="24"/>
        </w:rPr>
        <w:t>.</w:t>
      </w:r>
      <w:r>
        <w:rPr>
          <w:rFonts w:asciiTheme="majorBidi" w:hAnsiTheme="majorBidi" w:cstheme="majorBidi"/>
          <w:color w:val="000000"/>
          <w:sz w:val="24"/>
          <w:szCs w:val="24"/>
        </w:rPr>
        <w:t xml:space="preserve"> </w:t>
      </w:r>
      <w:r w:rsidRPr="002E37EB">
        <w:rPr>
          <w:rFonts w:asciiTheme="majorBidi" w:hAnsiTheme="majorBidi" w:cstheme="majorBidi"/>
          <w:color w:val="000000"/>
        </w:rPr>
        <w:t>(</w:t>
      </w:r>
      <w:r w:rsidR="000D6D2E">
        <w:rPr>
          <w:rFonts w:asciiTheme="majorBidi" w:hAnsiTheme="majorBidi" w:cstheme="majorBidi"/>
          <w:color w:val="000000"/>
        </w:rPr>
        <w:t>a</w:t>
      </w:r>
      <w:r w:rsidRPr="002E37EB">
        <w:rPr>
          <w:rFonts w:asciiTheme="majorBidi" w:hAnsiTheme="majorBidi" w:cstheme="majorBidi"/>
          <w:color w:val="000000"/>
        </w:rPr>
        <w:t>) stability of the ZnMnFeO</w:t>
      </w:r>
      <w:r w:rsidRPr="002E37EB">
        <w:rPr>
          <w:rFonts w:asciiTheme="majorBidi" w:hAnsiTheme="majorBidi" w:cstheme="majorBidi"/>
          <w:color w:val="000000"/>
          <w:vertAlign w:val="subscript"/>
        </w:rPr>
        <w:t>4</w:t>
      </w:r>
      <w:r w:rsidRPr="002E37EB">
        <w:rPr>
          <w:rFonts w:asciiTheme="majorBidi" w:hAnsiTheme="majorBidi" w:cstheme="majorBidi"/>
          <w:color w:val="000000"/>
        </w:rPr>
        <w:t>/CoMnFeO</w:t>
      </w:r>
      <w:r w:rsidRPr="002E37EB">
        <w:rPr>
          <w:rFonts w:asciiTheme="majorBidi" w:hAnsiTheme="majorBidi" w:cstheme="majorBidi"/>
          <w:color w:val="000000"/>
        </w:rPr>
        <w:softHyphen/>
      </w:r>
      <w:r w:rsidRPr="002E37EB">
        <w:rPr>
          <w:rFonts w:asciiTheme="majorBidi" w:hAnsiTheme="majorBidi" w:cstheme="majorBidi"/>
          <w:color w:val="000000"/>
          <w:vertAlign w:val="subscript"/>
        </w:rPr>
        <w:t>4</w:t>
      </w:r>
      <w:r w:rsidRPr="002E37EB">
        <w:rPr>
          <w:rFonts w:asciiTheme="majorBidi" w:hAnsiTheme="majorBidi" w:cstheme="majorBidi"/>
          <w:color w:val="000000"/>
        </w:rPr>
        <w:t>/FTO electrode at the first, 7</w:t>
      </w:r>
      <w:r w:rsidRPr="002E37EB">
        <w:rPr>
          <w:rFonts w:asciiTheme="majorBidi" w:hAnsiTheme="majorBidi" w:cstheme="majorBidi"/>
          <w:color w:val="000000"/>
          <w:vertAlign w:val="superscript"/>
        </w:rPr>
        <w:t>th</w:t>
      </w:r>
      <w:r w:rsidRPr="002E37EB">
        <w:rPr>
          <w:rFonts w:asciiTheme="majorBidi" w:hAnsiTheme="majorBidi" w:cstheme="majorBidi"/>
          <w:color w:val="000000"/>
        </w:rPr>
        <w:t xml:space="preserve"> and 30</w:t>
      </w:r>
      <w:r w:rsidRPr="002E37EB">
        <w:rPr>
          <w:rFonts w:asciiTheme="majorBidi" w:hAnsiTheme="majorBidi" w:cstheme="majorBidi"/>
          <w:color w:val="000000"/>
          <w:vertAlign w:val="superscript"/>
        </w:rPr>
        <w:t>th</w:t>
      </w:r>
      <w:r w:rsidRPr="002E37EB">
        <w:rPr>
          <w:rFonts w:asciiTheme="majorBidi" w:hAnsiTheme="majorBidi" w:cstheme="majorBidi"/>
          <w:color w:val="000000"/>
        </w:rPr>
        <w:t xml:space="preserve"> days, (</w:t>
      </w:r>
      <w:r w:rsidR="000D6D2E">
        <w:rPr>
          <w:rFonts w:asciiTheme="majorBidi" w:hAnsiTheme="majorBidi" w:cstheme="majorBidi"/>
          <w:color w:val="000000"/>
        </w:rPr>
        <w:t>b</w:t>
      </w:r>
      <w:r w:rsidRPr="002E37EB">
        <w:rPr>
          <w:rFonts w:asciiTheme="majorBidi" w:hAnsiTheme="majorBidi" w:cstheme="majorBidi"/>
          <w:color w:val="000000"/>
        </w:rPr>
        <w:t>) is repeatability and (</w:t>
      </w:r>
      <w:r w:rsidR="000D6D2E">
        <w:rPr>
          <w:rFonts w:asciiTheme="majorBidi" w:hAnsiTheme="majorBidi" w:cstheme="majorBidi"/>
          <w:color w:val="000000"/>
        </w:rPr>
        <w:t>c</w:t>
      </w:r>
      <w:r w:rsidRPr="002E37EB">
        <w:rPr>
          <w:rFonts w:asciiTheme="majorBidi" w:hAnsiTheme="majorBidi" w:cstheme="majorBidi"/>
          <w:color w:val="000000"/>
        </w:rPr>
        <w:t>) is the reproducibility of the ZnMnFeO</w:t>
      </w:r>
      <w:r w:rsidRPr="002E37EB">
        <w:rPr>
          <w:rFonts w:asciiTheme="majorBidi" w:hAnsiTheme="majorBidi" w:cstheme="majorBidi"/>
          <w:color w:val="000000"/>
          <w:vertAlign w:val="subscript"/>
        </w:rPr>
        <w:t>4</w:t>
      </w:r>
      <w:r w:rsidRPr="002E37EB">
        <w:rPr>
          <w:rFonts w:asciiTheme="majorBidi" w:hAnsiTheme="majorBidi" w:cstheme="majorBidi"/>
          <w:color w:val="000000"/>
        </w:rPr>
        <w:t>/CoMnFeO</w:t>
      </w:r>
      <w:r w:rsidRPr="002E37EB">
        <w:rPr>
          <w:rFonts w:asciiTheme="majorBidi" w:hAnsiTheme="majorBidi" w:cstheme="majorBidi"/>
          <w:color w:val="000000"/>
        </w:rPr>
        <w:softHyphen/>
      </w:r>
      <w:r w:rsidRPr="002E37EB">
        <w:rPr>
          <w:rFonts w:asciiTheme="majorBidi" w:hAnsiTheme="majorBidi" w:cstheme="majorBidi"/>
          <w:color w:val="000000"/>
          <w:vertAlign w:val="subscript"/>
        </w:rPr>
        <w:t>4</w:t>
      </w:r>
      <w:r w:rsidRPr="002E37EB">
        <w:rPr>
          <w:rFonts w:asciiTheme="majorBidi" w:hAnsiTheme="majorBidi" w:cstheme="majorBidi"/>
          <w:color w:val="000000"/>
        </w:rPr>
        <w:t>/FTO electrode.</w:t>
      </w:r>
    </w:p>
    <w:p w14:paraId="2B5EB38D" w14:textId="77777777" w:rsidR="00364A28" w:rsidRPr="00D50640" w:rsidRDefault="00364A28" w:rsidP="008F09B4">
      <w:pPr>
        <w:spacing w:before="200" w:line="360" w:lineRule="auto"/>
        <w:ind w:left="1271"/>
        <w:jc w:val="lowKashida"/>
        <w:rPr>
          <w:rFonts w:ascii="Times New Roman" w:eastAsia="Times New Roman" w:hAnsi="Times New Roman"/>
          <w:b/>
          <w:bCs/>
          <w:i/>
          <w:iCs/>
          <w:color w:val="000000"/>
          <w:sz w:val="24"/>
          <w:szCs w:val="24"/>
          <w:lang w:val="en-US"/>
        </w:rPr>
      </w:pPr>
    </w:p>
    <w:p w14:paraId="5D59D631" w14:textId="1D8A8E7A" w:rsidR="00D50640" w:rsidRPr="00D50640" w:rsidRDefault="00D50640" w:rsidP="002E37EB">
      <w:pPr>
        <w:spacing w:before="200" w:line="360" w:lineRule="auto"/>
        <w:ind w:firstLine="720"/>
        <w:jc w:val="lowKashida"/>
        <w:rPr>
          <w:rFonts w:ascii="Times New Roman" w:eastAsia="Times New Roman" w:hAnsi="Times New Roman"/>
          <w:b/>
          <w:bCs/>
          <w:color w:val="000000"/>
          <w:sz w:val="24"/>
          <w:szCs w:val="24"/>
          <w:lang w:val="en-US"/>
        </w:rPr>
      </w:pPr>
    </w:p>
    <w:p w14:paraId="1AC00177" w14:textId="77777777" w:rsidR="002E37EB" w:rsidRDefault="002E37EB" w:rsidP="002E37EB">
      <w:pPr>
        <w:spacing w:after="160" w:line="259" w:lineRule="auto"/>
        <w:jc w:val="lowKashida"/>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br w:type="page"/>
      </w:r>
    </w:p>
    <w:p w14:paraId="0241A0E4" w14:textId="41FDBB8C" w:rsidR="00DB22A0" w:rsidRPr="002E37EB" w:rsidRDefault="00585C36" w:rsidP="00585C36">
      <w:pPr>
        <w:autoSpaceDE w:val="0"/>
        <w:autoSpaceDN w:val="0"/>
        <w:adjustRightInd w:val="0"/>
        <w:spacing w:before="200" w:line="360" w:lineRule="auto"/>
        <w:ind w:firstLine="288"/>
        <w:jc w:val="lowKashida"/>
        <w:rPr>
          <w:rFonts w:ascii="Times New Roman" w:eastAsia="Times New Roman" w:hAnsi="Times New Roman"/>
          <w:b/>
          <w:bCs/>
          <w:color w:val="000000"/>
          <w:sz w:val="24"/>
          <w:szCs w:val="24"/>
          <w:lang w:val="en-US" w:bidi="fa-IR"/>
        </w:rPr>
      </w:pPr>
      <w:r>
        <w:rPr>
          <w:rFonts w:ascii="Times New Roman" w:eastAsia="Times New Roman" w:hAnsi="Times New Roman"/>
          <w:b/>
          <w:bCs/>
          <w:color w:val="000000"/>
          <w:sz w:val="24"/>
          <w:szCs w:val="24"/>
          <w:lang w:val="en-US" w:bidi="fa-IR"/>
        </w:rPr>
        <w:lastRenderedPageBreak/>
        <w:t xml:space="preserve"> </w:t>
      </w:r>
      <w:r w:rsidR="001E59CB" w:rsidRPr="002E37EB">
        <w:rPr>
          <w:rFonts w:ascii="Times New Roman" w:eastAsia="Times New Roman" w:hAnsi="Times New Roman"/>
          <w:b/>
          <w:bCs/>
          <w:color w:val="000000"/>
          <w:sz w:val="24"/>
          <w:szCs w:val="24"/>
          <w:lang w:val="en-US" w:bidi="fa-IR"/>
        </w:rPr>
        <w:t>References</w:t>
      </w:r>
    </w:p>
    <w:p w14:paraId="6143B8BD" w14:textId="1100F2B4" w:rsidR="00CF4680" w:rsidRPr="00CF4680" w:rsidRDefault="00DB22A0" w:rsidP="00585C36">
      <w:pPr>
        <w:pStyle w:val="EndNoteBibliography"/>
        <w:spacing w:after="0" w:line="360" w:lineRule="auto"/>
        <w:ind w:left="720" w:hanging="288"/>
        <w:rPr>
          <w:rFonts w:asciiTheme="majorBidi" w:hAnsiTheme="majorBidi" w:cstheme="majorBidi"/>
        </w:rPr>
      </w:pPr>
      <w:r w:rsidRPr="00CF4680">
        <w:rPr>
          <w:rFonts w:asciiTheme="majorBidi" w:hAnsiTheme="majorBidi" w:cstheme="majorBidi"/>
        </w:rPr>
        <w:fldChar w:fldCharType="begin"/>
      </w:r>
      <w:r w:rsidRPr="00CF4680">
        <w:rPr>
          <w:rFonts w:asciiTheme="majorBidi" w:hAnsiTheme="majorBidi" w:cstheme="majorBidi"/>
        </w:rPr>
        <w:instrText xml:space="preserve"> ADDIN EN.REFLIST </w:instrText>
      </w:r>
      <w:r w:rsidRPr="00CF4680">
        <w:rPr>
          <w:rFonts w:asciiTheme="majorBidi" w:hAnsiTheme="majorBidi" w:cstheme="majorBidi"/>
        </w:rPr>
        <w:fldChar w:fldCharType="separate"/>
      </w:r>
      <w:r w:rsidR="00CF4680" w:rsidRPr="00CF4680">
        <w:rPr>
          <w:rFonts w:asciiTheme="majorBidi" w:hAnsiTheme="majorBidi" w:cstheme="majorBidi"/>
        </w:rPr>
        <w:t>1</w:t>
      </w:r>
      <w:r w:rsidR="00585C36">
        <w:rPr>
          <w:rFonts w:asciiTheme="majorBidi" w:hAnsiTheme="majorBidi" w:cstheme="majorBidi"/>
        </w:rPr>
        <w:t xml:space="preserve">. </w:t>
      </w:r>
      <w:r w:rsidR="00CF4680" w:rsidRPr="00CF4680">
        <w:rPr>
          <w:rFonts w:asciiTheme="majorBidi" w:hAnsiTheme="majorBidi" w:cstheme="majorBidi"/>
        </w:rPr>
        <w:t xml:space="preserve">Patil, R., Delekar, S., Mane, D. &amp; Hankare, P. Synthesis, structural and magnetic properties of different metal ion substituted nanocrystalline zinc ferrite. </w:t>
      </w:r>
      <w:r w:rsidR="00CF4680" w:rsidRPr="00CF4680">
        <w:rPr>
          <w:rFonts w:asciiTheme="majorBidi" w:hAnsiTheme="majorBidi" w:cstheme="majorBidi"/>
          <w:i/>
        </w:rPr>
        <w:t>Results in Physics</w:t>
      </w:r>
      <w:r w:rsidR="00CF4680" w:rsidRPr="00CF4680">
        <w:rPr>
          <w:rFonts w:asciiTheme="majorBidi" w:hAnsiTheme="majorBidi" w:cstheme="majorBidi"/>
        </w:rPr>
        <w:t xml:space="preserve"> </w:t>
      </w:r>
      <w:r w:rsidR="00CF4680" w:rsidRPr="00CF4680">
        <w:rPr>
          <w:rFonts w:asciiTheme="majorBidi" w:hAnsiTheme="majorBidi" w:cstheme="majorBidi"/>
          <w:b/>
        </w:rPr>
        <w:t>3</w:t>
      </w:r>
      <w:r w:rsidR="00CF4680" w:rsidRPr="00CF4680">
        <w:rPr>
          <w:rFonts w:asciiTheme="majorBidi" w:hAnsiTheme="majorBidi" w:cstheme="majorBidi"/>
        </w:rPr>
        <w:t>, 129-133 (2013).</w:t>
      </w:r>
    </w:p>
    <w:p w14:paraId="7D46D4C9" w14:textId="0EF4044F" w:rsidR="00CF4680" w:rsidRPr="00CF4680" w:rsidRDefault="00CF4680" w:rsidP="00585C36">
      <w:pPr>
        <w:pStyle w:val="EndNoteBibliography"/>
        <w:spacing w:after="0" w:line="360" w:lineRule="auto"/>
        <w:ind w:left="720" w:hanging="288"/>
        <w:rPr>
          <w:rFonts w:asciiTheme="majorBidi" w:hAnsiTheme="majorBidi" w:cstheme="majorBidi"/>
        </w:rPr>
      </w:pPr>
      <w:r w:rsidRPr="00CF4680">
        <w:rPr>
          <w:rFonts w:asciiTheme="majorBidi" w:hAnsiTheme="majorBidi" w:cstheme="majorBidi"/>
        </w:rPr>
        <w:t>2</w:t>
      </w:r>
      <w:r w:rsidR="00585C36">
        <w:rPr>
          <w:rFonts w:asciiTheme="majorBidi" w:hAnsiTheme="majorBidi" w:cstheme="majorBidi"/>
        </w:rPr>
        <w:t xml:space="preserve">. </w:t>
      </w:r>
      <w:r w:rsidRPr="00CF4680">
        <w:rPr>
          <w:rFonts w:asciiTheme="majorBidi" w:hAnsiTheme="majorBidi" w:cstheme="majorBidi"/>
        </w:rPr>
        <w:t xml:space="preserve">Ghadimi, L. S., Arsalani, N., Ahadzadeh, I., Hajalilou, A. &amp; Abouzari-Lotf, E. Effect of synthesis route on the electrochemical performance of CoMnFeO4 nanoparticles as a novel supercapacitor electrode material. </w:t>
      </w:r>
      <w:r w:rsidRPr="00CF4680">
        <w:rPr>
          <w:rFonts w:asciiTheme="majorBidi" w:hAnsiTheme="majorBidi" w:cstheme="majorBidi"/>
          <w:i/>
        </w:rPr>
        <w:t>Applied Surface Science</w:t>
      </w:r>
      <w:r w:rsidRPr="00CF4680">
        <w:rPr>
          <w:rFonts w:asciiTheme="majorBidi" w:hAnsiTheme="majorBidi" w:cstheme="majorBidi"/>
        </w:rPr>
        <w:t xml:space="preserve"> </w:t>
      </w:r>
      <w:r w:rsidRPr="00CF4680">
        <w:rPr>
          <w:rFonts w:asciiTheme="majorBidi" w:hAnsiTheme="majorBidi" w:cstheme="majorBidi"/>
          <w:b/>
        </w:rPr>
        <w:t>494</w:t>
      </w:r>
      <w:r w:rsidRPr="00CF4680">
        <w:rPr>
          <w:rFonts w:asciiTheme="majorBidi" w:hAnsiTheme="majorBidi" w:cstheme="majorBidi"/>
        </w:rPr>
        <w:t>, 440-451 (2019).</w:t>
      </w:r>
    </w:p>
    <w:p w14:paraId="7506B6BB" w14:textId="7022E51E" w:rsidR="00CF4680" w:rsidRPr="00CF4680" w:rsidRDefault="00CF4680" w:rsidP="00585C36">
      <w:pPr>
        <w:pStyle w:val="EndNoteBibliography"/>
        <w:spacing w:after="0" w:line="360" w:lineRule="auto"/>
        <w:ind w:left="720" w:hanging="288"/>
        <w:rPr>
          <w:rFonts w:asciiTheme="majorBidi" w:hAnsiTheme="majorBidi" w:cstheme="majorBidi"/>
        </w:rPr>
      </w:pPr>
      <w:r w:rsidRPr="00CF4680">
        <w:rPr>
          <w:rFonts w:asciiTheme="majorBidi" w:hAnsiTheme="majorBidi" w:cstheme="majorBidi"/>
        </w:rPr>
        <w:t>3</w:t>
      </w:r>
      <w:r w:rsidR="00585C36">
        <w:rPr>
          <w:rFonts w:asciiTheme="majorBidi" w:hAnsiTheme="majorBidi" w:cstheme="majorBidi"/>
        </w:rPr>
        <w:t xml:space="preserve">. </w:t>
      </w:r>
      <w:r w:rsidRPr="00CF4680">
        <w:rPr>
          <w:rFonts w:asciiTheme="majorBidi" w:hAnsiTheme="majorBidi" w:cstheme="majorBidi"/>
        </w:rPr>
        <w:t xml:space="preserve">Baby, J. N., Sriram, B., Wang, S.-F. &amp; George, M. Effect of various deep eutectic solvents on the sustainable synthesis of MgFe2O4 nanoparticles for simultaneous electrochemical determination of nitrofurantoin and 4-nitrophenol. </w:t>
      </w:r>
      <w:r w:rsidRPr="00CF4680">
        <w:rPr>
          <w:rFonts w:asciiTheme="majorBidi" w:hAnsiTheme="majorBidi" w:cstheme="majorBidi"/>
          <w:i/>
        </w:rPr>
        <w:t>ACS Sustainable Chemistry &amp; Engineering</w:t>
      </w:r>
      <w:r w:rsidRPr="00CF4680">
        <w:rPr>
          <w:rFonts w:asciiTheme="majorBidi" w:hAnsiTheme="majorBidi" w:cstheme="majorBidi"/>
        </w:rPr>
        <w:t xml:space="preserve"> </w:t>
      </w:r>
      <w:r w:rsidRPr="00CF4680">
        <w:rPr>
          <w:rFonts w:asciiTheme="majorBidi" w:hAnsiTheme="majorBidi" w:cstheme="majorBidi"/>
          <w:b/>
        </w:rPr>
        <w:t>8</w:t>
      </w:r>
      <w:r w:rsidRPr="00CF4680">
        <w:rPr>
          <w:rFonts w:asciiTheme="majorBidi" w:hAnsiTheme="majorBidi" w:cstheme="majorBidi"/>
        </w:rPr>
        <w:t>, 1479-1486 (2020).</w:t>
      </w:r>
    </w:p>
    <w:p w14:paraId="31F1A0FE" w14:textId="2C316587" w:rsidR="00CF4680" w:rsidRPr="00CF4680" w:rsidRDefault="00CF4680" w:rsidP="00585C36">
      <w:pPr>
        <w:pStyle w:val="EndNoteBibliography"/>
        <w:spacing w:line="360" w:lineRule="auto"/>
        <w:ind w:left="720" w:hanging="288"/>
        <w:rPr>
          <w:rFonts w:asciiTheme="majorBidi" w:hAnsiTheme="majorBidi" w:cstheme="majorBidi"/>
        </w:rPr>
      </w:pPr>
      <w:r w:rsidRPr="00CF4680">
        <w:rPr>
          <w:rFonts w:asciiTheme="majorBidi" w:hAnsiTheme="majorBidi" w:cstheme="majorBidi"/>
        </w:rPr>
        <w:t>4</w:t>
      </w:r>
      <w:r w:rsidR="00585C36">
        <w:rPr>
          <w:rFonts w:asciiTheme="majorBidi" w:hAnsiTheme="majorBidi" w:cstheme="majorBidi"/>
        </w:rPr>
        <w:t xml:space="preserve">. </w:t>
      </w:r>
      <w:r w:rsidRPr="00CF4680">
        <w:rPr>
          <w:rFonts w:asciiTheme="majorBidi" w:hAnsiTheme="majorBidi" w:cstheme="majorBidi"/>
        </w:rPr>
        <w:t xml:space="preserve">Hajalilou, A., Hashim, M., Ebrahimi-Kahrizsangi, R. &amp; Sarami, N. Influence of CaO and SiO2 co-doping on the magnetic, electrical properties and microstructure of a Ni–Zn ferrite. </w:t>
      </w:r>
      <w:r w:rsidRPr="00CF4680">
        <w:rPr>
          <w:rFonts w:asciiTheme="majorBidi" w:hAnsiTheme="majorBidi" w:cstheme="majorBidi"/>
          <w:i/>
        </w:rPr>
        <w:t>Journal of Physics D: Applied Physics</w:t>
      </w:r>
      <w:r w:rsidRPr="00CF4680">
        <w:rPr>
          <w:rFonts w:asciiTheme="majorBidi" w:hAnsiTheme="majorBidi" w:cstheme="majorBidi"/>
        </w:rPr>
        <w:t xml:space="preserve"> </w:t>
      </w:r>
      <w:r w:rsidRPr="00CF4680">
        <w:rPr>
          <w:rFonts w:asciiTheme="majorBidi" w:hAnsiTheme="majorBidi" w:cstheme="majorBidi"/>
          <w:b/>
        </w:rPr>
        <w:t>48</w:t>
      </w:r>
      <w:r w:rsidRPr="00CF4680">
        <w:rPr>
          <w:rFonts w:asciiTheme="majorBidi" w:hAnsiTheme="majorBidi" w:cstheme="majorBidi"/>
        </w:rPr>
        <w:t>, 145001 (2015).</w:t>
      </w:r>
    </w:p>
    <w:p w14:paraId="1DD05279" w14:textId="2C3615DE" w:rsidR="00BF1837" w:rsidRPr="00CF4680" w:rsidRDefault="00DB22A0" w:rsidP="00585C36">
      <w:pPr>
        <w:spacing w:line="360" w:lineRule="auto"/>
        <w:ind w:hanging="288"/>
        <w:jc w:val="lowKashida"/>
        <w:rPr>
          <w:rFonts w:asciiTheme="majorBidi" w:hAnsiTheme="majorBidi" w:cstheme="majorBidi"/>
        </w:rPr>
      </w:pPr>
      <w:r w:rsidRPr="00CF4680">
        <w:rPr>
          <w:rFonts w:asciiTheme="majorBidi" w:hAnsiTheme="majorBidi" w:cstheme="majorBidi"/>
        </w:rPr>
        <w:fldChar w:fldCharType="end"/>
      </w:r>
    </w:p>
    <w:sectPr w:rsidR="00BF1837" w:rsidRPr="00CF4680" w:rsidSect="008F09B4">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9E33D" w14:textId="77777777" w:rsidR="004959B0" w:rsidRDefault="004959B0" w:rsidP="001E59CB">
      <w:pPr>
        <w:spacing w:after="0" w:line="240" w:lineRule="auto"/>
      </w:pPr>
      <w:r>
        <w:separator/>
      </w:r>
    </w:p>
  </w:endnote>
  <w:endnote w:type="continuationSeparator" w:id="0">
    <w:p w14:paraId="1B16F43E" w14:textId="77777777" w:rsidR="004959B0" w:rsidRDefault="004959B0" w:rsidP="001E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GulliverRM">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071497"/>
      <w:docPartObj>
        <w:docPartGallery w:val="Page Numbers (Bottom of Page)"/>
        <w:docPartUnique/>
      </w:docPartObj>
    </w:sdtPr>
    <w:sdtEndPr>
      <w:rPr>
        <w:noProof/>
      </w:rPr>
    </w:sdtEndPr>
    <w:sdtContent>
      <w:p w14:paraId="22A585B3" w14:textId="26E6658B" w:rsidR="008F09B4" w:rsidRDefault="008F09B4" w:rsidP="008F09B4">
        <w:pPr>
          <w:pStyle w:val="Footer"/>
          <w:jc w:val="center"/>
        </w:pPr>
        <w:r>
          <w:fldChar w:fldCharType="begin"/>
        </w:r>
        <w:r>
          <w:instrText xml:space="preserve"> PAGE   \* MERGEFORMAT </w:instrText>
        </w:r>
        <w:r>
          <w:fldChar w:fldCharType="separate"/>
        </w:r>
        <w:r w:rsidR="004A798D">
          <w:rPr>
            <w:noProof/>
          </w:rPr>
          <w:t>9</w:t>
        </w:r>
        <w:r>
          <w:rPr>
            <w:noProof/>
          </w:rPr>
          <w:fldChar w:fldCharType="end"/>
        </w:r>
      </w:p>
    </w:sdtContent>
  </w:sdt>
  <w:p w14:paraId="66D10FF8" w14:textId="77777777" w:rsidR="008F09B4" w:rsidRDefault="008F09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2116A" w14:textId="77777777" w:rsidR="004959B0" w:rsidRDefault="004959B0" w:rsidP="001E59CB">
      <w:pPr>
        <w:spacing w:after="0" w:line="240" w:lineRule="auto"/>
      </w:pPr>
      <w:r>
        <w:separator/>
      </w:r>
    </w:p>
  </w:footnote>
  <w:footnote w:type="continuationSeparator" w:id="0">
    <w:p w14:paraId="61130B61" w14:textId="77777777" w:rsidR="004959B0" w:rsidRDefault="004959B0" w:rsidP="001E59CB">
      <w:pPr>
        <w:spacing w:after="0" w:line="240" w:lineRule="auto"/>
      </w:pPr>
      <w:r>
        <w:continuationSeparator/>
      </w:r>
    </w:p>
  </w:footnote>
  <w:footnote w:id="1">
    <w:p w14:paraId="18A23E0F" w14:textId="77777777" w:rsidR="002E3935" w:rsidRPr="00C221A8" w:rsidRDefault="002E3935" w:rsidP="002E3935">
      <w:pPr>
        <w:autoSpaceDE w:val="0"/>
        <w:autoSpaceDN w:val="0"/>
        <w:adjustRightInd w:val="0"/>
        <w:spacing w:line="240" w:lineRule="auto"/>
        <w:rPr>
          <w:rFonts w:ascii="Times New Roman" w:hAnsi="Times New Roman"/>
          <w:color w:val="000000"/>
          <w:sz w:val="24"/>
          <w:szCs w:val="24"/>
        </w:rPr>
      </w:pPr>
      <w:r w:rsidRPr="007E1049">
        <w:rPr>
          <w:rStyle w:val="FootnoteReference"/>
          <w:sz w:val="20"/>
          <w:szCs w:val="20"/>
        </w:rPr>
        <w:sym w:font="Symbol" w:char="F02A"/>
      </w:r>
      <w:r>
        <w:t xml:space="preserve"> </w:t>
      </w:r>
      <w:r w:rsidRPr="00C221A8">
        <w:rPr>
          <w:rFonts w:ascii="Times New Roman" w:hAnsi="Times New Roman"/>
          <w:color w:val="000000"/>
          <w:sz w:val="24"/>
          <w:szCs w:val="24"/>
        </w:rPr>
        <w:t xml:space="preserve"> Corresponding author: </w:t>
      </w:r>
      <w:r w:rsidRPr="00C221A8">
        <w:rPr>
          <w:rFonts w:ascii="Times New Roman" w:hAnsi="Times New Roman"/>
          <w:lang w:eastAsia="zh-CN"/>
        </w:rPr>
        <w:t xml:space="preserve">K. </w:t>
      </w:r>
      <w:proofErr w:type="spellStart"/>
      <w:r w:rsidRPr="00C221A8">
        <w:rPr>
          <w:rFonts w:ascii="Times New Roman" w:hAnsi="Times New Roman"/>
          <w:lang w:eastAsia="zh-CN"/>
        </w:rPr>
        <w:t>Asadpour-Zeynali</w:t>
      </w:r>
      <w:proofErr w:type="spellEnd"/>
    </w:p>
    <w:p w14:paraId="233384B1" w14:textId="77777777" w:rsidR="002E3935" w:rsidRPr="00C221A8" w:rsidRDefault="002E3935" w:rsidP="002E3935">
      <w:pPr>
        <w:autoSpaceDE w:val="0"/>
        <w:autoSpaceDN w:val="0"/>
        <w:adjustRightInd w:val="0"/>
        <w:spacing w:line="240" w:lineRule="auto"/>
        <w:rPr>
          <w:rFonts w:ascii="Times New Roman" w:hAnsi="Times New Roman"/>
          <w:color w:val="000000"/>
          <w:sz w:val="24"/>
          <w:szCs w:val="24"/>
        </w:rPr>
      </w:pPr>
      <w:r w:rsidRPr="00C221A8">
        <w:rPr>
          <w:rFonts w:ascii="Times New Roman" w:hAnsi="Times New Roman"/>
          <w:color w:val="000000"/>
          <w:sz w:val="24"/>
          <w:szCs w:val="24"/>
        </w:rPr>
        <w:t xml:space="preserve">Tel.: +98 </w:t>
      </w:r>
      <w:r w:rsidRPr="00C221A8">
        <w:rPr>
          <w:rFonts w:ascii="Times New Roman" w:hAnsi="Times New Roman"/>
          <w:sz w:val="24"/>
          <w:szCs w:val="24"/>
        </w:rPr>
        <w:t>41</w:t>
      </w:r>
      <w:r>
        <w:rPr>
          <w:rFonts w:ascii="Times New Roman" w:hAnsi="Times New Roman"/>
          <w:sz w:val="24"/>
          <w:szCs w:val="24"/>
        </w:rPr>
        <w:t>3</w:t>
      </w:r>
      <w:r w:rsidRPr="00C221A8">
        <w:rPr>
          <w:rFonts w:ascii="Times New Roman" w:hAnsi="Times New Roman"/>
          <w:sz w:val="24"/>
          <w:szCs w:val="24"/>
        </w:rPr>
        <w:t xml:space="preserve"> 3393113</w:t>
      </w:r>
      <w:r w:rsidRPr="00C221A8">
        <w:rPr>
          <w:rFonts w:ascii="Times New Roman" w:hAnsi="Times New Roman"/>
          <w:color w:val="000000"/>
          <w:sz w:val="24"/>
          <w:szCs w:val="24"/>
        </w:rPr>
        <w:t>; Fax: +98 41</w:t>
      </w:r>
      <w:r>
        <w:rPr>
          <w:rFonts w:ascii="Times New Roman" w:hAnsi="Times New Roman"/>
          <w:color w:val="000000"/>
          <w:sz w:val="24"/>
          <w:szCs w:val="24"/>
        </w:rPr>
        <w:t>3</w:t>
      </w:r>
      <w:r w:rsidRPr="00C221A8">
        <w:rPr>
          <w:rFonts w:ascii="Times New Roman" w:hAnsi="Times New Roman"/>
          <w:color w:val="000000"/>
          <w:sz w:val="24"/>
          <w:szCs w:val="24"/>
        </w:rPr>
        <w:t xml:space="preserve"> 3340191.</w:t>
      </w:r>
    </w:p>
    <w:p w14:paraId="0A763978" w14:textId="77777777" w:rsidR="002E3935" w:rsidRPr="00C221A8" w:rsidRDefault="002E3935" w:rsidP="002E3935">
      <w:pPr>
        <w:autoSpaceDE w:val="0"/>
        <w:autoSpaceDN w:val="0"/>
        <w:adjustRightInd w:val="0"/>
        <w:spacing w:line="240" w:lineRule="auto"/>
        <w:rPr>
          <w:rFonts w:ascii="Times New Roman" w:hAnsi="Times New Roman"/>
          <w:sz w:val="24"/>
          <w:szCs w:val="24"/>
          <w:lang w:bidi="fa-IR"/>
        </w:rPr>
      </w:pPr>
      <w:r w:rsidRPr="00C221A8">
        <w:rPr>
          <w:rFonts w:ascii="Times New Roman" w:hAnsi="Times New Roman"/>
          <w:color w:val="000000"/>
          <w:sz w:val="24"/>
          <w:szCs w:val="24"/>
        </w:rPr>
        <w:t xml:space="preserve">E-mail address: </w:t>
      </w:r>
      <w:hyperlink r:id="rId1" w:history="1">
        <w:r w:rsidRPr="00C221A8">
          <w:rPr>
            <w:rStyle w:val="Hyperlink"/>
            <w:rFonts w:ascii="Times New Roman" w:hAnsi="Times New Roman"/>
            <w:sz w:val="24"/>
            <w:szCs w:val="24"/>
          </w:rPr>
          <w:t>asadpour@tabrizu.ac.ir</w:t>
        </w:r>
      </w:hyperlink>
      <w:r w:rsidRPr="00C221A8">
        <w:rPr>
          <w:rFonts w:ascii="Times New Roman" w:hAnsi="Times New Roman"/>
          <w:sz w:val="24"/>
          <w:szCs w:val="24"/>
          <w:lang w:bidi="fa-IR"/>
        </w:rPr>
        <w:t xml:space="preserve">; </w:t>
      </w:r>
      <w:hyperlink r:id="rId2" w:history="1">
        <w:r w:rsidRPr="00C47DDC">
          <w:rPr>
            <w:rStyle w:val="Hyperlink"/>
            <w:rFonts w:ascii="Times New Roman" w:hAnsi="Times New Roman"/>
            <w:sz w:val="24"/>
            <w:szCs w:val="24"/>
            <w:lang w:bidi="fa-IR"/>
          </w:rPr>
          <w:t>k.zeynali@gmail.com</w:t>
        </w:r>
      </w:hyperlink>
      <w:r>
        <w:rPr>
          <w:rFonts w:ascii="Times New Roman" w:hAnsi="Times New Roman"/>
          <w:sz w:val="24"/>
          <w:szCs w:val="24"/>
          <w:lang w:bidi="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F02674"/>
    <w:multiLevelType w:val="multilevel"/>
    <w:tmpl w:val="714CF2C8"/>
    <w:lvl w:ilvl="0">
      <w:start w:val="1"/>
      <w:numFmt w:val="decimal"/>
      <w:lvlText w:val="%1."/>
      <w:lvlJc w:val="left"/>
      <w:pPr>
        <w:ind w:left="360" w:hanging="360"/>
      </w:pPr>
      <w:rPr>
        <w:rFonts w:hint="default"/>
        <w:b/>
        <w:bCs/>
        <w:i w:val="0"/>
        <w:iCs w:val="0"/>
      </w:rPr>
    </w:lvl>
    <w:lvl w:ilvl="1">
      <w:start w:val="1"/>
      <w:numFmt w:val="decimal"/>
      <w:isLgl/>
      <w:lvlText w:val="%1.%2."/>
      <w:lvlJc w:val="left"/>
      <w:pPr>
        <w:ind w:left="360" w:hanging="360"/>
      </w:pPr>
      <w:rPr>
        <w:rFonts w:hint="default"/>
        <w:b w:val="0"/>
        <w:bCs w:val="0"/>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41872A7E"/>
    <w:multiLevelType w:val="hybridMultilevel"/>
    <w:tmpl w:val="AFFC0D72"/>
    <w:lvl w:ilvl="0" w:tplc="DB26D082">
      <w:start w:val="3"/>
      <w:numFmt w:val="decimal"/>
      <w:lvlText w:val="S%1"/>
      <w:lvlJc w:val="left"/>
      <w:pPr>
        <w:ind w:left="2811" w:hanging="360"/>
      </w:pPr>
      <w:rPr>
        <w:rFonts w:hint="default"/>
        <w:b w:val="0"/>
        <w:bCs w:val="0"/>
        <w:i/>
        <w:iCs/>
        <w:sz w:val="22"/>
        <w:szCs w:val="22"/>
      </w:rPr>
    </w:lvl>
    <w:lvl w:ilvl="1" w:tplc="4850ADEE">
      <w:start w:val="1"/>
      <w:numFmt w:val="decimal"/>
      <w:lvlText w:val="S.%2"/>
      <w:lvlJc w:val="left"/>
      <w:pPr>
        <w:ind w:left="1530" w:hanging="360"/>
      </w:pPr>
      <w:rPr>
        <w:rFonts w:hint="default"/>
        <w:i w:val="0"/>
        <w:iCs w:val="0"/>
        <w:sz w:val="24"/>
        <w:szCs w:val="24"/>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4E3D5187"/>
    <w:multiLevelType w:val="hybridMultilevel"/>
    <w:tmpl w:val="BB682A80"/>
    <w:lvl w:ilvl="0" w:tplc="73A87C9E">
      <w:start w:val="1"/>
      <w:numFmt w:val="decimal"/>
      <w:lvlText w:val="S.%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fvzf2poe2vsmew2r8v90e4xfdtfxaeeede&quot;&gt;My EndNote Library&lt;record-ids&gt;&lt;item&gt;68&lt;/item&gt;&lt;item&gt;73&lt;/item&gt;&lt;item&gt;74&lt;/item&gt;&lt;item&gt;75&lt;/item&gt;&lt;/record-ids&gt;&lt;/item&gt;&lt;/Libraries&gt;"/>
  </w:docVars>
  <w:rsids>
    <w:rsidRoot w:val="00471463"/>
    <w:rsid w:val="00056070"/>
    <w:rsid w:val="000807C3"/>
    <w:rsid w:val="00080BC8"/>
    <w:rsid w:val="000B24FD"/>
    <w:rsid w:val="000D6D2E"/>
    <w:rsid w:val="001D7243"/>
    <w:rsid w:val="001E59CB"/>
    <w:rsid w:val="002C24FB"/>
    <w:rsid w:val="002E37EB"/>
    <w:rsid w:val="002E3935"/>
    <w:rsid w:val="00364A28"/>
    <w:rsid w:val="00392571"/>
    <w:rsid w:val="003E5D41"/>
    <w:rsid w:val="003F43AD"/>
    <w:rsid w:val="0040525E"/>
    <w:rsid w:val="004055E8"/>
    <w:rsid w:val="00444B4E"/>
    <w:rsid w:val="00457F2F"/>
    <w:rsid w:val="00471463"/>
    <w:rsid w:val="004959B0"/>
    <w:rsid w:val="004A798D"/>
    <w:rsid w:val="004F518D"/>
    <w:rsid w:val="00543D1C"/>
    <w:rsid w:val="005549D1"/>
    <w:rsid w:val="00585C36"/>
    <w:rsid w:val="005A6181"/>
    <w:rsid w:val="005A67E4"/>
    <w:rsid w:val="0060264C"/>
    <w:rsid w:val="00606E71"/>
    <w:rsid w:val="00620DC4"/>
    <w:rsid w:val="00642520"/>
    <w:rsid w:val="00645FF4"/>
    <w:rsid w:val="006560CF"/>
    <w:rsid w:val="006964DE"/>
    <w:rsid w:val="006A61D7"/>
    <w:rsid w:val="00752B00"/>
    <w:rsid w:val="007555AD"/>
    <w:rsid w:val="007A5DA1"/>
    <w:rsid w:val="007B7346"/>
    <w:rsid w:val="007C1599"/>
    <w:rsid w:val="007D0FFA"/>
    <w:rsid w:val="00860BC9"/>
    <w:rsid w:val="00876814"/>
    <w:rsid w:val="008B19FB"/>
    <w:rsid w:val="008F09B4"/>
    <w:rsid w:val="008F5A66"/>
    <w:rsid w:val="009A4E81"/>
    <w:rsid w:val="009E1BAB"/>
    <w:rsid w:val="00A347D4"/>
    <w:rsid w:val="00AA59A7"/>
    <w:rsid w:val="00AD16ED"/>
    <w:rsid w:val="00AD634C"/>
    <w:rsid w:val="00AF4AE3"/>
    <w:rsid w:val="00B1720F"/>
    <w:rsid w:val="00B372AD"/>
    <w:rsid w:val="00B81A42"/>
    <w:rsid w:val="00BC2AA9"/>
    <w:rsid w:val="00BD5308"/>
    <w:rsid w:val="00BD5E0A"/>
    <w:rsid w:val="00BE15E7"/>
    <w:rsid w:val="00BF1837"/>
    <w:rsid w:val="00BF6B7A"/>
    <w:rsid w:val="00C3744F"/>
    <w:rsid w:val="00C56E03"/>
    <w:rsid w:val="00C6700F"/>
    <w:rsid w:val="00CC4B43"/>
    <w:rsid w:val="00CF4680"/>
    <w:rsid w:val="00D50640"/>
    <w:rsid w:val="00D626C3"/>
    <w:rsid w:val="00D773CF"/>
    <w:rsid w:val="00DB22A0"/>
    <w:rsid w:val="00DD1011"/>
    <w:rsid w:val="00DE653B"/>
    <w:rsid w:val="00E26562"/>
    <w:rsid w:val="00E35EFA"/>
    <w:rsid w:val="00E41FD2"/>
    <w:rsid w:val="00E428DC"/>
    <w:rsid w:val="00E61E66"/>
    <w:rsid w:val="00E70697"/>
    <w:rsid w:val="00EA25CB"/>
    <w:rsid w:val="00EB0F9C"/>
    <w:rsid w:val="00EB3016"/>
    <w:rsid w:val="00ED0DCE"/>
    <w:rsid w:val="00EE1F2C"/>
    <w:rsid w:val="00F021D6"/>
    <w:rsid w:val="00F97ACA"/>
    <w:rsid w:val="00FB08D0"/>
    <w:rsid w:val="00FE39E7"/>
    <w:rsid w:val="00FE4133"/>
    <w:rsid w:val="00FE5F09"/>
    <w:rsid w:val="00FF7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25925"/>
  <w15:chartTrackingRefBased/>
  <w15:docId w15:val="{E3C8E0B8-C31C-4271-9D57-13755435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463"/>
    <w:pPr>
      <w:spacing w:after="200" w:line="276" w:lineRule="auto"/>
    </w:pPr>
    <w:rPr>
      <w:rFonts w:ascii="Calibri" w:eastAsia="Calibri" w:hAnsi="Calibri" w:cs="Times New Roman"/>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463"/>
    <w:pPr>
      <w:ind w:left="720"/>
      <w:contextualSpacing/>
    </w:pPr>
  </w:style>
  <w:style w:type="paragraph" w:customStyle="1" w:styleId="EndNoteBibliographyTitle">
    <w:name w:val="EndNote Bibliography Title"/>
    <w:basedOn w:val="Normal"/>
    <w:link w:val="EndNoteBibliographyTitleChar"/>
    <w:rsid w:val="00DB22A0"/>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DB22A0"/>
    <w:rPr>
      <w:rFonts w:ascii="Calibri" w:eastAsia="Calibri" w:hAnsi="Calibri" w:cs="Calibri"/>
      <w:noProof/>
    </w:rPr>
  </w:style>
  <w:style w:type="paragraph" w:customStyle="1" w:styleId="EndNoteBibliography">
    <w:name w:val="EndNote Bibliography"/>
    <w:basedOn w:val="Normal"/>
    <w:link w:val="EndNoteBibliographyChar"/>
    <w:rsid w:val="00DB22A0"/>
    <w:pPr>
      <w:spacing w:line="240" w:lineRule="auto"/>
      <w:jc w:val="lowKashida"/>
    </w:pPr>
    <w:rPr>
      <w:rFonts w:cs="Calibri"/>
      <w:noProof/>
      <w:lang w:val="en-US"/>
    </w:rPr>
  </w:style>
  <w:style w:type="character" w:customStyle="1" w:styleId="EndNoteBibliographyChar">
    <w:name w:val="EndNote Bibliography Char"/>
    <w:basedOn w:val="DefaultParagraphFont"/>
    <w:link w:val="EndNoteBibliography"/>
    <w:rsid w:val="00DB22A0"/>
    <w:rPr>
      <w:rFonts w:ascii="Calibri" w:eastAsia="Calibri" w:hAnsi="Calibri" w:cs="Calibri"/>
      <w:noProof/>
    </w:rPr>
  </w:style>
  <w:style w:type="paragraph" w:styleId="NormalWeb">
    <w:name w:val="Normal (Web)"/>
    <w:basedOn w:val="Normal"/>
    <w:uiPriority w:val="99"/>
    <w:unhideWhenUsed/>
    <w:rsid w:val="00876814"/>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AD63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s">
    <w:name w:val="Authors"/>
    <w:basedOn w:val="Normal"/>
    <w:next w:val="Normal"/>
    <w:rsid w:val="001E59CB"/>
    <w:pPr>
      <w:spacing w:after="0" w:line="240" w:lineRule="auto"/>
      <w:ind w:firstLine="567"/>
      <w:jc w:val="center"/>
    </w:pPr>
    <w:rPr>
      <w:rFonts w:ascii="Times New Roman" w:eastAsia="SimSun" w:hAnsi="Times New Roman"/>
      <w:sz w:val="24"/>
      <w:szCs w:val="24"/>
      <w:lang w:val="hr-HR"/>
    </w:rPr>
  </w:style>
  <w:style w:type="character" w:styleId="Hyperlink">
    <w:name w:val="Hyperlink"/>
    <w:uiPriority w:val="99"/>
    <w:unhideWhenUsed/>
    <w:rsid w:val="001E59CB"/>
    <w:rPr>
      <w:rFonts w:cs="Times New Roman"/>
      <w:color w:val="0000FF"/>
      <w:u w:val="single"/>
    </w:rPr>
  </w:style>
  <w:style w:type="character" w:styleId="FootnoteReference">
    <w:name w:val="footnote reference"/>
    <w:uiPriority w:val="99"/>
    <w:semiHidden/>
    <w:unhideWhenUsed/>
    <w:rsid w:val="001E59CB"/>
    <w:rPr>
      <w:vertAlign w:val="superscript"/>
    </w:rPr>
  </w:style>
  <w:style w:type="paragraph" w:styleId="Header">
    <w:name w:val="header"/>
    <w:basedOn w:val="Normal"/>
    <w:link w:val="HeaderChar"/>
    <w:uiPriority w:val="99"/>
    <w:unhideWhenUsed/>
    <w:rsid w:val="008F0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9B4"/>
    <w:rPr>
      <w:rFonts w:ascii="Calibri" w:eastAsia="Calibri" w:hAnsi="Calibri" w:cs="Times New Roman"/>
      <w:lang w:val="en-SG"/>
    </w:rPr>
  </w:style>
  <w:style w:type="paragraph" w:styleId="Footer">
    <w:name w:val="footer"/>
    <w:basedOn w:val="Normal"/>
    <w:link w:val="FooterChar"/>
    <w:uiPriority w:val="99"/>
    <w:unhideWhenUsed/>
    <w:rsid w:val="008F0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9B4"/>
    <w:rPr>
      <w:rFonts w:ascii="Calibri" w:eastAsia="Calibri" w:hAnsi="Calibri" w:cs="Times New Roman"/>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nalyticalsciencejournals.onlinelibrary.wiley.com/action/doSearch?ContribAuthorRaw=Niazi+Saei%2C+Jalal"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k.zeynali@gmail.com" TargetMode="External"/><Relationship Id="rId1" Type="http://schemas.openxmlformats.org/officeDocument/2006/relationships/hyperlink" Target="mailto:asadpour@tabriz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2798</Words>
  <Characters>15952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Jalal</dc:creator>
  <cp:keywords/>
  <dc:description/>
  <cp:lastModifiedBy>Microsoft account</cp:lastModifiedBy>
  <cp:revision>8</cp:revision>
  <dcterms:created xsi:type="dcterms:W3CDTF">2023-01-12T12:42:00Z</dcterms:created>
  <dcterms:modified xsi:type="dcterms:W3CDTF">2023-03-23T11:46:00Z</dcterms:modified>
</cp:coreProperties>
</file>