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1C52" w14:textId="77777777" w:rsidR="004B4A70" w:rsidRPr="00914BFC" w:rsidRDefault="004B4A70" w:rsidP="004B4A70">
      <w:pPr>
        <w:rPr>
          <w:rFonts w:cstheme="minorBidi"/>
          <w:lang w:bidi="ar-SA"/>
        </w:rPr>
      </w:pPr>
      <w:r w:rsidRPr="00914BFC">
        <w:rPr>
          <w:rFonts w:ascii="Times New Roman" w:hAnsi="Times New Roman" w:cs="Times New Roman"/>
          <w:sz w:val="24"/>
          <w:szCs w:val="24"/>
          <w:lang w:val="en-US" w:bidi="ar-SA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 w:bidi="ar-SA"/>
        </w:rPr>
        <w:t>3</w:t>
      </w:r>
      <w:r w:rsidRPr="00914BFC">
        <w:rPr>
          <w:rFonts w:ascii="Times New Roman" w:hAnsi="Times New Roman" w:cs="Times New Roman"/>
          <w:sz w:val="24"/>
          <w:szCs w:val="24"/>
          <w:lang w:val="en-US" w:bidi="ar-SA"/>
        </w:rPr>
        <w:t>: Risk of Bias assessment using ECOBIAS checklist</w:t>
      </w:r>
    </w:p>
    <w:tbl>
      <w:tblPr>
        <w:tblStyle w:val="TableGrid"/>
        <w:tblW w:w="15566" w:type="dxa"/>
        <w:tblInd w:w="-1089" w:type="dxa"/>
        <w:tblLayout w:type="fixed"/>
        <w:tblLook w:val="04A0" w:firstRow="1" w:lastRow="0" w:firstColumn="1" w:lastColumn="0" w:noHBand="0" w:noVBand="1"/>
      </w:tblPr>
      <w:tblGrid>
        <w:gridCol w:w="459"/>
        <w:gridCol w:w="2411"/>
        <w:gridCol w:w="630"/>
        <w:gridCol w:w="5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16"/>
        <w:gridCol w:w="637"/>
        <w:gridCol w:w="567"/>
        <w:gridCol w:w="567"/>
        <w:gridCol w:w="567"/>
        <w:gridCol w:w="567"/>
        <w:gridCol w:w="530"/>
        <w:gridCol w:w="650"/>
        <w:gridCol w:w="557"/>
        <w:gridCol w:w="10"/>
        <w:gridCol w:w="544"/>
      </w:tblGrid>
      <w:tr w:rsidR="004B4A70" w:rsidRPr="00914BFC" w14:paraId="1A5E07DF" w14:textId="77777777" w:rsidTr="00B05A7E">
        <w:trPr>
          <w:trHeight w:val="903"/>
        </w:trPr>
        <w:tc>
          <w:tcPr>
            <w:tcW w:w="459" w:type="dxa"/>
            <w:vMerge w:val="restart"/>
          </w:tcPr>
          <w:p w14:paraId="058C604E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0" w:name="_Hlk120524430"/>
          </w:p>
        </w:tc>
        <w:tc>
          <w:tcPr>
            <w:tcW w:w="2411" w:type="dxa"/>
            <w:vMerge w:val="restart"/>
          </w:tcPr>
          <w:p w14:paraId="755749F4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0BD09A2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F274638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0BDBF4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A6057C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D13EAE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0273FB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CC48D5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B6E03E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698F74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55365B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B72E2A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Primary study</w:t>
            </w:r>
          </w:p>
        </w:tc>
        <w:tc>
          <w:tcPr>
            <w:tcW w:w="6317" w:type="dxa"/>
            <w:gridSpan w:val="11"/>
            <w:vMerge w:val="restart"/>
          </w:tcPr>
          <w:p w14:paraId="316EA040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7C0680E7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208C0CF7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Part A</w:t>
            </w:r>
          </w:p>
          <w:p w14:paraId="37DA1AB3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Overall checklist for bias in economic evaluation</w:t>
            </w:r>
          </w:p>
          <w:p w14:paraId="453F1CF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gridSpan w:val="12"/>
          </w:tcPr>
          <w:p w14:paraId="21481F8E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66EF57E9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Part B </w:t>
            </w:r>
          </w:p>
          <w:p w14:paraId="070C70DF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Model-specific aspects of bias in economic evaluation</w:t>
            </w:r>
          </w:p>
          <w:p w14:paraId="0352CBB8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</w:tr>
      <w:tr w:rsidR="004B4A70" w:rsidRPr="00914BFC" w14:paraId="1F29B5B0" w14:textId="77777777" w:rsidTr="00B05A7E">
        <w:trPr>
          <w:cantSplit/>
          <w:trHeight w:val="510"/>
        </w:trPr>
        <w:tc>
          <w:tcPr>
            <w:tcW w:w="459" w:type="dxa"/>
            <w:vMerge/>
          </w:tcPr>
          <w:p w14:paraId="2460A81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11" w:type="dxa"/>
            <w:vMerge/>
          </w:tcPr>
          <w:p w14:paraId="2B1C6B8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17" w:type="dxa"/>
            <w:gridSpan w:val="11"/>
            <w:vMerge/>
            <w:textDirection w:val="btLr"/>
          </w:tcPr>
          <w:p w14:paraId="7C568564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20" w:type="dxa"/>
            <w:gridSpan w:val="3"/>
          </w:tcPr>
          <w:p w14:paraId="1E483BA0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  <w:p w14:paraId="54242AFC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</w:t>
            </w:r>
          </w:p>
        </w:tc>
        <w:tc>
          <w:tcPr>
            <w:tcW w:w="4015" w:type="dxa"/>
            <w:gridSpan w:val="8"/>
          </w:tcPr>
          <w:p w14:paraId="0A91F8CA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val="en-GB"/>
              </w:rPr>
            </w:pPr>
          </w:p>
          <w:p w14:paraId="1D021ECC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II</w:t>
            </w:r>
          </w:p>
        </w:tc>
        <w:tc>
          <w:tcPr>
            <w:tcW w:w="544" w:type="dxa"/>
          </w:tcPr>
          <w:p w14:paraId="75644189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val="en-GB"/>
              </w:rPr>
            </w:pPr>
          </w:p>
          <w:p w14:paraId="22332546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III</w:t>
            </w:r>
          </w:p>
        </w:tc>
      </w:tr>
      <w:tr w:rsidR="004B4A70" w:rsidRPr="00914BFC" w14:paraId="354F429D" w14:textId="77777777" w:rsidTr="00B05A7E">
        <w:trPr>
          <w:cantSplit/>
          <w:trHeight w:val="2625"/>
        </w:trPr>
        <w:tc>
          <w:tcPr>
            <w:tcW w:w="459" w:type="dxa"/>
            <w:vMerge/>
          </w:tcPr>
          <w:p w14:paraId="1E2BF0D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11" w:type="dxa"/>
            <w:vMerge/>
          </w:tcPr>
          <w:p w14:paraId="16C2272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extDirection w:val="btLr"/>
          </w:tcPr>
          <w:p w14:paraId="31655AAA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Narrow perspective</w:t>
            </w:r>
          </w:p>
          <w:p w14:paraId="1853EE86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bias</w:t>
            </w:r>
          </w:p>
        </w:tc>
        <w:tc>
          <w:tcPr>
            <w:tcW w:w="584" w:type="dxa"/>
            <w:textDirection w:val="btLr"/>
          </w:tcPr>
          <w:p w14:paraId="66F23816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Inefficient comparator</w:t>
            </w:r>
          </w:p>
          <w:p w14:paraId="755E80AD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NewRoman,Bold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bias</w:t>
            </w:r>
            <w:r w:rsidRPr="00914BFC">
              <w:rPr>
                <w:rFonts w:ascii="Times New Roman" w:eastAsia="TimesNewRoman,Bold" w:hAnsi="Times New Roman" w:cs="Times New Roman"/>
                <w:b/>
                <w:bCs/>
                <w:sz w:val="18"/>
                <w:szCs w:val="18"/>
                <w:lang w:val="en-GB"/>
              </w:rPr>
              <w:t>*</w:t>
            </w:r>
          </w:p>
          <w:p w14:paraId="457B6123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294A51F6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Cost measurement omission bias</w:t>
            </w:r>
          </w:p>
          <w:p w14:paraId="23370078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1019B49E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Intermittent data</w:t>
            </w:r>
          </w:p>
          <w:p w14:paraId="4532CDA4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collection bias</w:t>
            </w:r>
          </w:p>
          <w:p w14:paraId="4907E7EA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4F58E5F5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Invalid valuation bias</w:t>
            </w:r>
          </w:p>
          <w:p w14:paraId="207ABBB3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1F7F97BF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Ordinal ICER bias</w:t>
            </w:r>
          </w:p>
          <w:p w14:paraId="7CED4C6E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369A1431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Double-counting bias</w:t>
            </w:r>
          </w:p>
          <w:p w14:paraId="50057BEF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7D705B62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Inappropriate discounting bias</w:t>
            </w:r>
          </w:p>
          <w:p w14:paraId="5A6EBD74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6566F8E9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Limited sensitivity</w:t>
            </w:r>
          </w:p>
          <w:p w14:paraId="3A67E075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analysis bias§</w:t>
            </w:r>
          </w:p>
          <w:p w14:paraId="3E1AABDD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20402271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Sponsor bias</w:t>
            </w:r>
          </w:p>
          <w:p w14:paraId="577604C4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65A1CA7D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Reporting and dissemination bias</w:t>
            </w:r>
          </w:p>
          <w:p w14:paraId="0AE1FDD9" w14:textId="77777777" w:rsidR="004B4A70" w:rsidRPr="00914BFC" w:rsidRDefault="004B4A70" w:rsidP="00B05A7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1AD4188B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Structural assumptions bias</w:t>
            </w:r>
          </w:p>
          <w:p w14:paraId="55BE5480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6" w:type="dxa"/>
            <w:textDirection w:val="btLr"/>
          </w:tcPr>
          <w:p w14:paraId="01BCA1B3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No treatment</w:t>
            </w:r>
          </w:p>
          <w:p w14:paraId="3C93F26C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comparator bias</w:t>
            </w:r>
            <w:r w:rsidRPr="00914BFC">
              <w:rPr>
                <w:rFonts w:ascii="Times New Roman" w:eastAsia="TimesNewRoman,Bold" w:hAnsi="Times New Roman" w:cs="Times New Roman"/>
                <w:b/>
                <w:bCs/>
                <w:sz w:val="18"/>
                <w:szCs w:val="18"/>
                <w:lang w:val="en-GB"/>
              </w:rPr>
              <w:t>*</w:t>
            </w:r>
          </w:p>
        </w:tc>
        <w:tc>
          <w:tcPr>
            <w:tcW w:w="637" w:type="dxa"/>
            <w:textDirection w:val="btLr"/>
          </w:tcPr>
          <w:p w14:paraId="12C7DB07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Wrong model bias</w:t>
            </w:r>
          </w:p>
        </w:tc>
        <w:tc>
          <w:tcPr>
            <w:tcW w:w="567" w:type="dxa"/>
            <w:textDirection w:val="btLr"/>
          </w:tcPr>
          <w:p w14:paraId="182A5218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Limited time-horizon bias</w:t>
            </w:r>
          </w:p>
          <w:p w14:paraId="2A9C1F30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extDirection w:val="btLr"/>
          </w:tcPr>
          <w:p w14:paraId="42653E51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Bias related to data                    identification</w:t>
            </w:r>
          </w:p>
          <w:p w14:paraId="41148703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extDirection w:val="btLr"/>
          </w:tcPr>
          <w:p w14:paraId="4B8C52E9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Bias related to baseline</w:t>
            </w:r>
          </w:p>
          <w:p w14:paraId="61557FCC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data</w:t>
            </w:r>
          </w:p>
          <w:p w14:paraId="28149612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extDirection w:val="btLr"/>
          </w:tcPr>
          <w:p w14:paraId="38CDE5AA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Bias related to treatment effects</w:t>
            </w:r>
          </w:p>
        </w:tc>
        <w:tc>
          <w:tcPr>
            <w:tcW w:w="530" w:type="dxa"/>
            <w:textDirection w:val="btLr"/>
          </w:tcPr>
          <w:p w14:paraId="4DF07C47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Bias related to quality-of-life weights </w:t>
            </w:r>
            <w:r w:rsidRPr="00914BFC">
              <w:rPr>
                <w:rFonts w:ascii="Times New Roman" w:eastAsia="TimesNewRoman,Bold" w:hAnsi="Times New Roman" w:cs="Times New Roman"/>
                <w:b/>
                <w:bCs/>
                <w:sz w:val="18"/>
                <w:szCs w:val="18"/>
                <w:lang w:val="en-GB"/>
              </w:rPr>
              <w:t>(</w:t>
            </w: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utilities</w:t>
            </w:r>
            <w:r w:rsidRPr="00914BFC">
              <w:rPr>
                <w:rFonts w:ascii="Times New Roman" w:eastAsia="TimesNewRoman,Bold" w:hAnsi="Times New Roman" w:cs="Times New Roman"/>
                <w:b/>
                <w:bCs/>
                <w:sz w:val="18"/>
                <w:szCs w:val="18"/>
                <w:lang w:val="en-GB"/>
              </w:rPr>
              <w:t>)</w:t>
            </w:r>
          </w:p>
          <w:p w14:paraId="1DDCA19D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3430B424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50" w:type="dxa"/>
            <w:textDirection w:val="btLr"/>
          </w:tcPr>
          <w:p w14:paraId="4B7B9415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Non-transparent data incorporation bias</w:t>
            </w:r>
          </w:p>
          <w:p w14:paraId="5EECBCA6" w14:textId="77777777" w:rsidR="004B4A70" w:rsidRPr="00914BFC" w:rsidRDefault="004B4A70" w:rsidP="00B05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7" w:type="dxa"/>
            <w:textDirection w:val="btLr"/>
          </w:tcPr>
          <w:p w14:paraId="3B0E1009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Limited scope bias</w:t>
            </w:r>
          </w:p>
          <w:p w14:paraId="2589FA0B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4" w:type="dxa"/>
            <w:gridSpan w:val="2"/>
            <w:textDirection w:val="btLr"/>
          </w:tcPr>
          <w:p w14:paraId="394A4A7E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Bias related to internal</w:t>
            </w:r>
          </w:p>
          <w:p w14:paraId="72189D16" w14:textId="77777777" w:rsidR="004B4A70" w:rsidRPr="00914BFC" w:rsidRDefault="004B4A70" w:rsidP="00B05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14B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consistency</w:t>
            </w:r>
          </w:p>
        </w:tc>
      </w:tr>
      <w:tr w:rsidR="004B4A70" w:rsidRPr="00914BFC" w14:paraId="013D7D3C" w14:textId="77777777" w:rsidTr="00B05A7E">
        <w:trPr>
          <w:trHeight w:val="306"/>
        </w:trPr>
        <w:tc>
          <w:tcPr>
            <w:tcW w:w="459" w:type="dxa"/>
          </w:tcPr>
          <w:p w14:paraId="3CBB50FC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411" w:type="dxa"/>
          </w:tcPr>
          <w:p w14:paraId="791EA61D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Labori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et al (2022)</w:t>
            </w:r>
          </w:p>
        </w:tc>
        <w:tc>
          <w:tcPr>
            <w:tcW w:w="630" w:type="dxa"/>
            <w:shd w:val="clear" w:color="auto" w:fill="92D050"/>
          </w:tcPr>
          <w:p w14:paraId="27D7AD2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181BA74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77ED72B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6B57809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6EE240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8E84F3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334FAA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280BF8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14:paraId="5041206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D84A7E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52ACB6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25CABB3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6D7BE8D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459F859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3D5192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7133779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E80989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066A37D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92D050"/>
          </w:tcPr>
          <w:p w14:paraId="33EBFC6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92D050"/>
          </w:tcPr>
          <w:p w14:paraId="7F3FE7F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51B1FC8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34321ADE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76DB9608" w14:textId="77777777" w:rsidTr="00B05A7E">
        <w:trPr>
          <w:trHeight w:val="306"/>
        </w:trPr>
        <w:tc>
          <w:tcPr>
            <w:tcW w:w="459" w:type="dxa"/>
          </w:tcPr>
          <w:p w14:paraId="2EFA1E52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411" w:type="dxa"/>
          </w:tcPr>
          <w:p w14:paraId="4C69FA1E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Kawakami et al (2020)</w:t>
            </w:r>
          </w:p>
        </w:tc>
        <w:tc>
          <w:tcPr>
            <w:tcW w:w="630" w:type="dxa"/>
            <w:shd w:val="clear" w:color="auto" w:fill="FF0000"/>
          </w:tcPr>
          <w:p w14:paraId="18AD3D6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491A961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BFD47E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5EBD18D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76E4CA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D7FF2D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0932CB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19266A6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14:paraId="71CBCA2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3218105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038AEE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799ABC1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402DC47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36D6356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52CAE6F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4D0C517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6C9D84F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7201D50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4B57939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92D050"/>
          </w:tcPr>
          <w:p w14:paraId="79C6CEE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5AFCE1E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3272BD79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4CF4A73C" w14:textId="77777777" w:rsidTr="00B05A7E">
        <w:trPr>
          <w:trHeight w:val="284"/>
        </w:trPr>
        <w:tc>
          <w:tcPr>
            <w:tcW w:w="459" w:type="dxa"/>
          </w:tcPr>
          <w:p w14:paraId="6117B142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411" w:type="dxa"/>
          </w:tcPr>
          <w:p w14:paraId="64F810A8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Reddy et al (20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30" w:type="dxa"/>
            <w:shd w:val="clear" w:color="auto" w:fill="FF0000"/>
          </w:tcPr>
          <w:p w14:paraId="1BA3FB8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7CF49B7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4EFC297F" w14:textId="77777777" w:rsidR="004B4A70" w:rsidRPr="00914BFC" w:rsidRDefault="004B4A70" w:rsidP="00B05A7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3AD0D94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92B96E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84A467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47EE00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2657CB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4A6DF18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76D70C8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3094E8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0716214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770870C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19DB21B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06A83AF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7EEB3AB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2138A40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14F850E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154514B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92D050"/>
          </w:tcPr>
          <w:p w14:paraId="1637DBE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77FB6A8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0332BFCC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0E5A6375" w14:textId="77777777" w:rsidTr="00B05A7E">
        <w:trPr>
          <w:trHeight w:val="284"/>
        </w:trPr>
        <w:tc>
          <w:tcPr>
            <w:tcW w:w="459" w:type="dxa"/>
          </w:tcPr>
          <w:p w14:paraId="60C0967E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411" w:type="dxa"/>
          </w:tcPr>
          <w:p w14:paraId="575A4D9E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Reddy et al (201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30" w:type="dxa"/>
            <w:shd w:val="clear" w:color="auto" w:fill="FF0000"/>
          </w:tcPr>
          <w:p w14:paraId="3E608B2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18C822F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50F1A9CE" w14:textId="77777777" w:rsidR="004B4A70" w:rsidRPr="00914BFC" w:rsidRDefault="004B4A70" w:rsidP="00B05A7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620C226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06905F6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BA7A1D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8F7B4C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71DE244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7221D12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166131E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9C49DC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6E57E8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5D33294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0EC4545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CE4D15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113EFB5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383D66E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26A0FF5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09705D2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92D050"/>
          </w:tcPr>
          <w:p w14:paraId="36B2BC5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01F05CA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7D1E4C19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03589456" w14:textId="77777777" w:rsidTr="00B05A7E">
        <w:trPr>
          <w:trHeight w:val="306"/>
        </w:trPr>
        <w:tc>
          <w:tcPr>
            <w:tcW w:w="459" w:type="dxa"/>
          </w:tcPr>
          <w:p w14:paraId="3CA63A2C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411" w:type="dxa"/>
          </w:tcPr>
          <w:p w14:paraId="50128C71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Ontario HTA (2017)</w:t>
            </w:r>
          </w:p>
        </w:tc>
        <w:tc>
          <w:tcPr>
            <w:tcW w:w="630" w:type="dxa"/>
            <w:shd w:val="clear" w:color="auto" w:fill="FF0000"/>
          </w:tcPr>
          <w:p w14:paraId="72A2987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62BF65F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3B7AE0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89C926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9A9019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3AEA99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0EADC8E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3BFFEEF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14:paraId="647EB53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6BFC0AF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F3DF18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667F10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1C95A43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33C94DD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CBCCB2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01C9CBD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359EC86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14:paraId="277C1A6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5F0E98B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92D050"/>
          </w:tcPr>
          <w:p w14:paraId="4E06A65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7029027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70518B44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37181A86" w14:textId="77777777" w:rsidTr="00B05A7E">
        <w:trPr>
          <w:trHeight w:val="306"/>
        </w:trPr>
        <w:tc>
          <w:tcPr>
            <w:tcW w:w="459" w:type="dxa"/>
          </w:tcPr>
          <w:p w14:paraId="783F589E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411" w:type="dxa"/>
          </w:tcPr>
          <w:p w14:paraId="31379A23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Lee et al (2016)</w:t>
            </w:r>
          </w:p>
        </w:tc>
        <w:tc>
          <w:tcPr>
            <w:tcW w:w="630" w:type="dxa"/>
            <w:shd w:val="clear" w:color="auto" w:fill="FF0000"/>
          </w:tcPr>
          <w:p w14:paraId="3D210A8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379EBB4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F82AC5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331B606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C4D0EA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337027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066701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4E7DD2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1E1B179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106535E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5D1B94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9BDDB3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7390BC6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129998D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98816B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64DD2CD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140D5E2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5FE23DF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0570C66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92D050"/>
          </w:tcPr>
          <w:p w14:paraId="527795A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50B4679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33F77389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56FFBB38" w14:textId="77777777" w:rsidTr="00B05A7E">
        <w:trPr>
          <w:trHeight w:val="284"/>
        </w:trPr>
        <w:tc>
          <w:tcPr>
            <w:tcW w:w="459" w:type="dxa"/>
          </w:tcPr>
          <w:p w14:paraId="32BE52A8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411" w:type="dxa"/>
          </w:tcPr>
          <w:p w14:paraId="4A75D7EA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Reddy et al (2016)</w:t>
            </w:r>
          </w:p>
        </w:tc>
        <w:tc>
          <w:tcPr>
            <w:tcW w:w="630" w:type="dxa"/>
            <w:shd w:val="clear" w:color="auto" w:fill="FF0000"/>
          </w:tcPr>
          <w:p w14:paraId="25E9008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76C610A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277AFB0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33FCA29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DF6686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110005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0DE93FF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847385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6F499DD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76388C4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26A7DE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A6CAF0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36829A1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4B5E77B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0224728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4B49F82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6FC21E4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051165E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077F71E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ED7D31" w:themeFill="accent2"/>
          </w:tcPr>
          <w:p w14:paraId="3F40EDE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38F47C7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16585D4B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78DE8100" w14:textId="77777777" w:rsidTr="00B05A7E">
        <w:trPr>
          <w:trHeight w:val="287"/>
        </w:trPr>
        <w:tc>
          <w:tcPr>
            <w:tcW w:w="459" w:type="dxa"/>
          </w:tcPr>
          <w:p w14:paraId="2BBE3D4B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411" w:type="dxa"/>
          </w:tcPr>
          <w:p w14:paraId="3C4239F1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Freeman et al (2016)</w:t>
            </w:r>
          </w:p>
        </w:tc>
        <w:tc>
          <w:tcPr>
            <w:tcW w:w="630" w:type="dxa"/>
            <w:shd w:val="clear" w:color="auto" w:fill="FF0000"/>
          </w:tcPr>
          <w:p w14:paraId="53B5A84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7B05311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139FB6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786E7E8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1F9C2C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5B271A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9BF35A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477A895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42F456A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2AD226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70DAC2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292FD4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7C0AAEA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40DC440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D2A429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39488AD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2F0355F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2E05A1E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291FCA3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92D050"/>
          </w:tcPr>
          <w:p w14:paraId="439E8B6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345606C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634F6B91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250CF1AB" w14:textId="77777777" w:rsidTr="00B05A7E">
        <w:trPr>
          <w:trHeight w:val="284"/>
        </w:trPr>
        <w:tc>
          <w:tcPr>
            <w:tcW w:w="459" w:type="dxa"/>
          </w:tcPr>
          <w:p w14:paraId="0B07C95A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411" w:type="dxa"/>
          </w:tcPr>
          <w:p w14:paraId="44C427FC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Saw et al (2016)</w:t>
            </w:r>
          </w:p>
        </w:tc>
        <w:tc>
          <w:tcPr>
            <w:tcW w:w="630" w:type="dxa"/>
            <w:shd w:val="clear" w:color="auto" w:fill="FF0000"/>
          </w:tcPr>
          <w:p w14:paraId="343EC16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668EFBA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65981C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02D45AA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7A77F3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FC7DE5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1AA528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E2DD0F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4EB6D3E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6ECDB0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79C652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5E1646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52D6B2F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119B9F5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A3DAE7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4B5BED5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20AD0D1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29DB966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6824C01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92D050"/>
          </w:tcPr>
          <w:p w14:paraId="64EAC6D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1DDB09B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770F67C5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57084AA5" w14:textId="77777777" w:rsidTr="00B05A7E">
        <w:trPr>
          <w:trHeight w:val="306"/>
        </w:trPr>
        <w:tc>
          <w:tcPr>
            <w:tcW w:w="459" w:type="dxa"/>
          </w:tcPr>
          <w:p w14:paraId="7CA005C2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411" w:type="dxa"/>
          </w:tcPr>
          <w:p w14:paraId="2209DF1C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Micieli</w:t>
            </w:r>
            <w:proofErr w:type="spellEnd"/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et al (2015)</w:t>
            </w:r>
          </w:p>
        </w:tc>
        <w:tc>
          <w:tcPr>
            <w:tcW w:w="630" w:type="dxa"/>
            <w:shd w:val="clear" w:color="auto" w:fill="FF0000"/>
          </w:tcPr>
          <w:p w14:paraId="6FC103E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5AC04AE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1E06559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740D406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B6C165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CA1011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07B4674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EEB4CB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13EBB3B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45B6BF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24AE5A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E595DF0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657575F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663C2E6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2DCDB1F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4731043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3E7B36E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17F6FB7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791AB8A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ED7D31" w:themeFill="accent2"/>
          </w:tcPr>
          <w:p w14:paraId="112A10F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15D9C62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5E93614A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5566BCC6" w14:textId="77777777" w:rsidTr="00B05A7E">
        <w:trPr>
          <w:trHeight w:val="284"/>
        </w:trPr>
        <w:tc>
          <w:tcPr>
            <w:tcW w:w="459" w:type="dxa"/>
          </w:tcPr>
          <w:p w14:paraId="742471F5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2411" w:type="dxa"/>
          </w:tcPr>
          <w:p w14:paraId="3534B1ED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Reddy et al (2015)</w:t>
            </w:r>
          </w:p>
        </w:tc>
        <w:tc>
          <w:tcPr>
            <w:tcW w:w="630" w:type="dxa"/>
            <w:shd w:val="clear" w:color="auto" w:fill="FF0000"/>
          </w:tcPr>
          <w:p w14:paraId="419A968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628EAE0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16B7710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1678DB2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57B984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18D5EA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07748FA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DB8880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4B469C5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6EE90A8D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7D46A59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1A4BF1D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6E88B5E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0DB7CDC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F5E9AE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4B6A0FB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3EEA0AB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33A9040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760BCD8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92D050"/>
          </w:tcPr>
          <w:p w14:paraId="3DD8266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28463B8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2966520E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035E805C" w14:textId="77777777" w:rsidTr="00B05A7E">
        <w:trPr>
          <w:trHeight w:val="284"/>
        </w:trPr>
        <w:tc>
          <w:tcPr>
            <w:tcW w:w="459" w:type="dxa"/>
          </w:tcPr>
          <w:p w14:paraId="6164E207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" w:name="_Hlk89862090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2411" w:type="dxa"/>
          </w:tcPr>
          <w:p w14:paraId="7640082C" w14:textId="77777777" w:rsidR="004B4A70" w:rsidRPr="00914BFC" w:rsidRDefault="004B4A70" w:rsidP="00B05A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914B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et al (2013)</w:t>
            </w:r>
          </w:p>
        </w:tc>
        <w:tc>
          <w:tcPr>
            <w:tcW w:w="630" w:type="dxa"/>
            <w:shd w:val="clear" w:color="auto" w:fill="FF0000"/>
          </w:tcPr>
          <w:p w14:paraId="118673D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shd w:val="clear" w:color="auto" w:fill="92D050"/>
          </w:tcPr>
          <w:p w14:paraId="6E163898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5862257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5E05F0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BA9D62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D894465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611D9BE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35DB1C0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31CEEF64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AC2A7A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48A72AE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5024D8D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92D050"/>
          </w:tcPr>
          <w:p w14:paraId="309EDD63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92D050"/>
          </w:tcPr>
          <w:p w14:paraId="599FE46C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92D050"/>
          </w:tcPr>
          <w:p w14:paraId="660AEBAF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ED7D31" w:themeFill="accent2"/>
          </w:tcPr>
          <w:p w14:paraId="4C007A5B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4962D079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14:paraId="6EE47C82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0" w:type="dxa"/>
            <w:shd w:val="clear" w:color="auto" w:fill="ED7D31" w:themeFill="accent2"/>
          </w:tcPr>
          <w:p w14:paraId="4E897D2A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shd w:val="clear" w:color="auto" w:fill="ED7D31" w:themeFill="accent2"/>
          </w:tcPr>
          <w:p w14:paraId="0B938A81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shd w:val="clear" w:color="auto" w:fill="FFFF00"/>
          </w:tcPr>
          <w:p w14:paraId="36352CF6" w14:textId="77777777" w:rsidR="004B4A70" w:rsidRPr="00914BFC" w:rsidRDefault="004B4A70" w:rsidP="00B05A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  <w:gridSpan w:val="2"/>
            <w:shd w:val="clear" w:color="auto" w:fill="FF0000"/>
          </w:tcPr>
          <w:p w14:paraId="310AB8C1" w14:textId="77777777" w:rsidR="004B4A70" w:rsidRPr="00E7789E" w:rsidRDefault="004B4A70" w:rsidP="00B05A7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4B4A70" w:rsidRPr="00914BFC" w14:paraId="5B377670" w14:textId="77777777" w:rsidTr="00B05A7E">
        <w:trPr>
          <w:trHeight w:val="284"/>
        </w:trPr>
        <w:tc>
          <w:tcPr>
            <w:tcW w:w="2870" w:type="dxa"/>
            <w:gridSpan w:val="2"/>
          </w:tcPr>
          <w:p w14:paraId="5B6EFE65" w14:textId="77777777" w:rsidR="004B4A70" w:rsidRPr="00914BFC" w:rsidRDefault="004B4A70" w:rsidP="00B05A7E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Percentage with low risk of bias </w:t>
            </w:r>
          </w:p>
        </w:tc>
        <w:tc>
          <w:tcPr>
            <w:tcW w:w="630" w:type="dxa"/>
            <w:shd w:val="clear" w:color="auto" w:fill="FFFFFF" w:themeFill="background1"/>
          </w:tcPr>
          <w:p w14:paraId="4C2252A4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08%</w:t>
            </w:r>
          </w:p>
        </w:tc>
        <w:tc>
          <w:tcPr>
            <w:tcW w:w="584" w:type="dxa"/>
            <w:shd w:val="clear" w:color="auto" w:fill="FFFFFF" w:themeFill="background1"/>
          </w:tcPr>
          <w:p w14:paraId="5BC93146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100%</w:t>
            </w:r>
          </w:p>
        </w:tc>
        <w:tc>
          <w:tcPr>
            <w:tcW w:w="567" w:type="dxa"/>
            <w:shd w:val="clear" w:color="auto" w:fill="FFFFFF" w:themeFill="background1"/>
          </w:tcPr>
          <w:p w14:paraId="50742026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50%</w:t>
            </w:r>
          </w:p>
        </w:tc>
        <w:tc>
          <w:tcPr>
            <w:tcW w:w="567" w:type="dxa"/>
            <w:shd w:val="clear" w:color="auto" w:fill="FFFFFF" w:themeFill="background1"/>
          </w:tcPr>
          <w:p w14:paraId="120223DB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17%</w:t>
            </w:r>
          </w:p>
        </w:tc>
        <w:tc>
          <w:tcPr>
            <w:tcW w:w="567" w:type="dxa"/>
            <w:shd w:val="clear" w:color="auto" w:fill="FFFFFF" w:themeFill="background1"/>
          </w:tcPr>
          <w:p w14:paraId="7726380F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100%</w:t>
            </w:r>
          </w:p>
        </w:tc>
        <w:tc>
          <w:tcPr>
            <w:tcW w:w="567" w:type="dxa"/>
            <w:shd w:val="clear" w:color="auto" w:fill="FFFFFF" w:themeFill="background1"/>
          </w:tcPr>
          <w:p w14:paraId="10419DCD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100%</w:t>
            </w:r>
          </w:p>
        </w:tc>
        <w:tc>
          <w:tcPr>
            <w:tcW w:w="567" w:type="dxa"/>
            <w:shd w:val="clear" w:color="auto" w:fill="FFFFFF" w:themeFill="background1"/>
          </w:tcPr>
          <w:p w14:paraId="404F68CF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100%</w:t>
            </w:r>
          </w:p>
        </w:tc>
        <w:tc>
          <w:tcPr>
            <w:tcW w:w="567" w:type="dxa"/>
            <w:shd w:val="clear" w:color="auto" w:fill="FFFFFF" w:themeFill="background1"/>
          </w:tcPr>
          <w:p w14:paraId="4174B4E6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67%</w:t>
            </w:r>
          </w:p>
        </w:tc>
        <w:tc>
          <w:tcPr>
            <w:tcW w:w="567" w:type="dxa"/>
            <w:shd w:val="clear" w:color="auto" w:fill="FFFFFF" w:themeFill="background1"/>
          </w:tcPr>
          <w:p w14:paraId="354CC461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0%</w:t>
            </w:r>
          </w:p>
        </w:tc>
        <w:tc>
          <w:tcPr>
            <w:tcW w:w="567" w:type="dxa"/>
            <w:shd w:val="clear" w:color="auto" w:fill="FFFFFF" w:themeFill="background1"/>
          </w:tcPr>
          <w:p w14:paraId="5D169B7F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42%</w:t>
            </w:r>
          </w:p>
        </w:tc>
        <w:tc>
          <w:tcPr>
            <w:tcW w:w="567" w:type="dxa"/>
            <w:shd w:val="clear" w:color="auto" w:fill="FFFFFF" w:themeFill="background1"/>
          </w:tcPr>
          <w:p w14:paraId="4758444F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100%</w:t>
            </w:r>
          </w:p>
        </w:tc>
        <w:tc>
          <w:tcPr>
            <w:tcW w:w="567" w:type="dxa"/>
            <w:shd w:val="clear" w:color="auto" w:fill="FFFFFF" w:themeFill="background1"/>
          </w:tcPr>
          <w:p w14:paraId="20415721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83%</w:t>
            </w:r>
          </w:p>
        </w:tc>
        <w:tc>
          <w:tcPr>
            <w:tcW w:w="616" w:type="dxa"/>
            <w:shd w:val="clear" w:color="auto" w:fill="FFFFFF" w:themeFill="background1"/>
          </w:tcPr>
          <w:p w14:paraId="05B84AF5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100%</w:t>
            </w:r>
          </w:p>
        </w:tc>
        <w:tc>
          <w:tcPr>
            <w:tcW w:w="637" w:type="dxa"/>
            <w:shd w:val="clear" w:color="auto" w:fill="FFFFFF" w:themeFill="background1"/>
          </w:tcPr>
          <w:p w14:paraId="0A2054CD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100%</w:t>
            </w:r>
          </w:p>
        </w:tc>
        <w:tc>
          <w:tcPr>
            <w:tcW w:w="567" w:type="dxa"/>
            <w:shd w:val="clear" w:color="auto" w:fill="FFFFFF" w:themeFill="background1"/>
          </w:tcPr>
          <w:p w14:paraId="1561EE01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92%</w:t>
            </w:r>
          </w:p>
        </w:tc>
        <w:tc>
          <w:tcPr>
            <w:tcW w:w="567" w:type="dxa"/>
            <w:shd w:val="clear" w:color="auto" w:fill="FFFFFF" w:themeFill="background1"/>
          </w:tcPr>
          <w:p w14:paraId="68F4524F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0%</w:t>
            </w:r>
          </w:p>
        </w:tc>
        <w:tc>
          <w:tcPr>
            <w:tcW w:w="567" w:type="dxa"/>
            <w:shd w:val="clear" w:color="auto" w:fill="FFFFFF" w:themeFill="background1"/>
          </w:tcPr>
          <w:p w14:paraId="00069884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08%</w:t>
            </w:r>
          </w:p>
        </w:tc>
        <w:tc>
          <w:tcPr>
            <w:tcW w:w="567" w:type="dxa"/>
            <w:shd w:val="clear" w:color="auto" w:fill="FFFFFF" w:themeFill="background1"/>
          </w:tcPr>
          <w:p w14:paraId="18159E14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08%</w:t>
            </w:r>
          </w:p>
        </w:tc>
        <w:tc>
          <w:tcPr>
            <w:tcW w:w="530" w:type="dxa"/>
            <w:shd w:val="clear" w:color="auto" w:fill="FFFFFF" w:themeFill="background1"/>
          </w:tcPr>
          <w:p w14:paraId="105E197F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08%</w:t>
            </w:r>
          </w:p>
        </w:tc>
        <w:tc>
          <w:tcPr>
            <w:tcW w:w="650" w:type="dxa"/>
            <w:shd w:val="clear" w:color="auto" w:fill="FFFFFF" w:themeFill="background1"/>
          </w:tcPr>
          <w:p w14:paraId="0504CF10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75%</w:t>
            </w:r>
          </w:p>
        </w:tc>
        <w:tc>
          <w:tcPr>
            <w:tcW w:w="557" w:type="dxa"/>
            <w:shd w:val="clear" w:color="auto" w:fill="FFFFFF" w:themeFill="background1"/>
          </w:tcPr>
          <w:p w14:paraId="24884364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0%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1A8E2BEA" w14:textId="77777777" w:rsidR="004B4A70" w:rsidRPr="008B3872" w:rsidRDefault="004B4A70" w:rsidP="00B05A7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0%</w:t>
            </w:r>
          </w:p>
        </w:tc>
      </w:tr>
      <w:bookmarkEnd w:id="0"/>
      <w:bookmarkEnd w:id="1"/>
    </w:tbl>
    <w:p w14:paraId="1CBF5DB2" w14:textId="54DEC899" w:rsidR="006A6051" w:rsidRDefault="00000000"/>
    <w:p w14:paraId="0382AA9C" w14:textId="6E6BC4BB" w:rsidR="004B4A70" w:rsidRPr="00914BFC" w:rsidRDefault="004B4A70" w:rsidP="004B4A70">
      <w:pPr>
        <w:spacing w:after="0" w:line="360" w:lineRule="auto"/>
        <w:rPr>
          <w:rFonts w:ascii="Times New Roman" w:hAnsi="Times New Roman" w:cs="Times New Roman"/>
          <w:sz w:val="24"/>
          <w:szCs w:val="24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13730F" wp14:editId="27EA9BE7">
                <wp:simplePos x="0" y="0"/>
                <wp:positionH relativeFrom="column">
                  <wp:posOffset>4365625</wp:posOffset>
                </wp:positionH>
                <wp:positionV relativeFrom="paragraph">
                  <wp:posOffset>24765</wp:posOffset>
                </wp:positionV>
                <wp:extent cx="228600" cy="13335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34FD8" id="Rectangle 4" o:spid="_x0000_s1026" style="position:absolute;margin-left:343.75pt;margin-top:1.95pt;width:18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" fillcolor="#ed7d31" strokecolor="#2f528f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31D4E6" wp14:editId="6247A791">
                <wp:simplePos x="0" y="0"/>
                <wp:positionH relativeFrom="column">
                  <wp:posOffset>2945130</wp:posOffset>
                </wp:positionH>
                <wp:positionV relativeFrom="paragraph">
                  <wp:posOffset>36830</wp:posOffset>
                </wp:positionV>
                <wp:extent cx="228600" cy="13335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D4965" id="Rectangle 3" o:spid="_x0000_s1026" style="position:absolute;margin-left:231.9pt;margin-top:2.9pt;width:18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" fillcolor="red" strokecolor="#2f528f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17336" wp14:editId="04CE4313">
                <wp:simplePos x="0" y="0"/>
                <wp:positionH relativeFrom="column">
                  <wp:posOffset>1456690</wp:posOffset>
                </wp:positionH>
                <wp:positionV relativeFrom="paragraph">
                  <wp:posOffset>20320</wp:posOffset>
                </wp:positionV>
                <wp:extent cx="228600" cy="13335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04798" id="Rectangle 2" o:spid="_x0000_s1026" style="position:absolute;margin-left:114.7pt;margin-top:1.6pt;width:18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" fillcolor="yellow" strokecolor="#2f528f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DE1F8" wp14:editId="5FD946DB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228600" cy="1333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E26D7" id="Rectangle 1" o:spid="_x0000_s1026" style="position:absolute;margin-left:0;margin-top:2.1pt;width:18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" fillcolor="#92d050" strokecolor="#2f528f" strokeweight="1pt">
                <v:path arrowok="t"/>
              </v:rect>
            </w:pict>
          </mc:Fallback>
        </mc:AlternateContent>
      </w:r>
      <w:r w:rsidRPr="00914BFC">
        <w:rPr>
          <w:rFonts w:ascii="Times New Roman" w:hAnsi="Times New Roman" w:cs="Times New Roman" w:hint="cs"/>
          <w:b/>
          <w:bCs/>
          <w:sz w:val="24"/>
          <w:szCs w:val="24"/>
          <w:cs/>
          <w:lang w:val="en-GB"/>
        </w:rPr>
        <w:t xml:space="preserve">        </w:t>
      </w:r>
      <w:r w:rsidRPr="00914BFC">
        <w:rPr>
          <w:rFonts w:ascii="Times New Roman" w:hAnsi="Times New Roman" w:cs="Times New Roman" w:hint="cs"/>
          <w:sz w:val="24"/>
          <w:szCs w:val="24"/>
          <w:cs/>
          <w:lang w:val="en-GB"/>
        </w:rPr>
        <w:t>Low risk of bias</w:t>
      </w:r>
      <w:r w:rsidRPr="00914BFC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914BFC">
        <w:rPr>
          <w:rFonts w:ascii="Times New Roman" w:hAnsi="Times New Roman" w:cs="Times New Roman" w:hint="cs"/>
          <w:sz w:val="24"/>
          <w:szCs w:val="24"/>
          <w:cs/>
        </w:rPr>
        <w:t xml:space="preserve">         Partial risk of bias </w:t>
      </w:r>
      <w:r w:rsidRPr="00914BF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14BFC">
        <w:rPr>
          <w:rFonts w:ascii="Times New Roman" w:hAnsi="Times New Roman" w:cs="Times New Roman" w:hint="cs"/>
          <w:sz w:val="24"/>
          <w:szCs w:val="24"/>
          <w:cs/>
        </w:rPr>
        <w:t xml:space="preserve">        High risk of bias           High risk bias due to unclear/ inadequate reporting     </w:t>
      </w:r>
    </w:p>
    <w:p w14:paraId="01C28275" w14:textId="77777777" w:rsidR="004B4A70" w:rsidRDefault="004B4A70"/>
    <w:sectPr w:rsidR="004B4A70" w:rsidSect="004B4A70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70"/>
    <w:rsid w:val="00433AED"/>
    <w:rsid w:val="004B4A70"/>
    <w:rsid w:val="004C36DD"/>
    <w:rsid w:val="009871BC"/>
    <w:rsid w:val="00A4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C8268"/>
  <w15:chartTrackingRefBased/>
  <w15:docId w15:val="{1A746C77-7FD6-4942-AF22-62A98553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A70"/>
    <w:rPr>
      <w:rFonts w:cs="Arial Unicode MS"/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Sumudu Hewage</dc:creator>
  <cp:keywords/>
  <dc:description/>
  <cp:lastModifiedBy>Sumudu Hewage</cp:lastModifiedBy>
  <cp:revision>1</cp:revision>
  <dcterms:created xsi:type="dcterms:W3CDTF">2022-12-31T08:39:00Z</dcterms:created>
  <dcterms:modified xsi:type="dcterms:W3CDTF">2022-12-31T08:40:00Z</dcterms:modified>
</cp:coreProperties>
</file>