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4EA9E6C" w14:textId="77777777" w:rsidR="00055B25" w:rsidRPr="00663BA3" w:rsidRDefault="00055B25" w:rsidP="00055B25">
      <w:pPr>
        <w:spacing w:line="360" w:lineRule="auto"/>
        <w:ind w:firstLineChars="200" w:firstLine="480"/>
        <w:jc w:val="left"/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>Table 1. Baseline characteristics.</w:t>
      </w:r>
      <w:r w:rsidRPr="00663BA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14:paraId="07CC4B90" w14:textId="77777777" w:rsidR="00055B25" w:rsidRPr="00663BA3" w:rsidRDefault="00055B25" w:rsidP="00055B25">
      <w:pPr>
        <w:spacing w:line="360" w:lineRule="auto"/>
        <w:ind w:firstLineChars="200" w:firstLine="480"/>
        <w:jc w:val="left"/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6BD5CA9B" wp14:editId="03CA8F2D">
            <wp:extent cx="4748559" cy="56197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1334" cy="56585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37B7AE0" w14:textId="77777777" w:rsidR="00055B25" w:rsidRPr="00663BA3" w:rsidRDefault="00055B25" w:rsidP="00055B25">
      <w:pPr>
        <w:rPr>
          <w:rFonts w:ascii="Times New Roman" w:eastAsia="SimSun" w:hAnsi="Times New Roman" w:cs="Times New Roman"/>
          <w:sz w:val="24"/>
          <w:szCs w:val="24"/>
        </w:rPr>
      </w:pP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>Abbreviations: SD, standard deviation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; NA, not applicable; ACEI, </w:t>
      </w:r>
      <w:r w:rsidRPr="00663BA3">
        <w:rPr>
          <w:rFonts w:ascii="Times New Roman" w:eastAsia="SimSun" w:hAnsi="Times New Roman" w:cs="Times New Roman" w:hint="eastAsia"/>
          <w:sz w:val="24"/>
          <w:szCs w:val="24"/>
        </w:rPr>
        <w:t>a</w:t>
      </w:r>
      <w:r w:rsidRPr="00663BA3">
        <w:rPr>
          <w:rFonts w:ascii="Times New Roman" w:eastAsia="SimSun" w:hAnsi="Times New Roman" w:cs="Times New Roman"/>
          <w:sz w:val="24"/>
          <w:szCs w:val="24"/>
        </w:rPr>
        <w:t>ngiotensin-converting enzyme inhibitors; ARB, a</w:t>
      </w:r>
      <w:r w:rsidRPr="00663BA3">
        <w:rPr>
          <w:rFonts w:ascii="Times New Roman" w:eastAsia="SimSun" w:hAnsi="Times New Roman" w:cs="Times New Roman" w:hint="eastAsia"/>
          <w:sz w:val="24"/>
          <w:szCs w:val="24"/>
        </w:rPr>
        <w:t>n</w:t>
      </w:r>
      <w:r w:rsidRPr="00663BA3">
        <w:rPr>
          <w:rFonts w:ascii="Times New Roman" w:eastAsia="SimSun" w:hAnsi="Times New Roman" w:cs="Times New Roman"/>
          <w:sz w:val="24"/>
          <w:szCs w:val="24"/>
        </w:rPr>
        <w:t>giotensin receptor blockers; CCB, calcium channel antagonists</w:t>
      </w:r>
    </w:p>
    <w:p w14:paraId="7325B99D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571DCD1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34F8187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C18E2A7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F6FCDF9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B32A655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94F3569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95FF80F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E34191A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2EEEEA7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EF56E01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0551374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094EBEDD" w14:textId="3889FA53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>Table 2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. </w:t>
      </w:r>
      <w:r w:rsidRPr="00663BA3">
        <w:rPr>
          <w:rFonts w:ascii="Times New Roman" w:eastAsia="SimSun" w:hAnsi="Times New Roman" w:cs="Times New Roman"/>
          <w:sz w:val="24"/>
          <w:szCs w:val="24"/>
        </w:rPr>
        <w:t xml:space="preserve">Average anti-factor Xa activity (AXA) trough and peak and the inter- individual variability at day 3 and day 30 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>s</w:t>
      </w: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 xml:space="preserve">tratified by 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rivaroxaban </w:t>
      </w: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>dose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>.</w:t>
      </w:r>
    </w:p>
    <w:p w14:paraId="2CFCDD75" w14:textId="77777777" w:rsidR="00055B25" w:rsidRPr="00663BA3" w:rsidRDefault="00055B25" w:rsidP="00055B25">
      <w:pPr>
        <w:spacing w:before="200"/>
        <w:ind w:firstLineChars="200" w:firstLine="20"/>
        <w:jc w:val="left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</w:p>
    <w:p w14:paraId="7BC89BAE" w14:textId="77777777" w:rsidR="00055B25" w:rsidRPr="00663BA3" w:rsidRDefault="00055B25" w:rsidP="00055B25">
      <w:pPr>
        <w:spacing w:before="200"/>
        <w:ind w:firstLineChars="200" w:firstLine="20"/>
        <w:jc w:val="left"/>
        <w:rPr>
          <w:rFonts w:ascii="Times New Roman" w:eastAsia="Times New Roman" w:hAnsi="Times New Roman" w:cs="Times New Roman"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663BA3">
        <w:rPr>
          <w:rFonts w:ascii="Times New Roman" w:eastAsia="Times New Roman" w:hAnsi="Times New Roman" w:cs="Times New Roman"/>
          <w:noProof/>
          <w:snapToGrid w:val="0"/>
          <w:color w:val="000000"/>
          <w:w w:val="0"/>
          <w:kern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drawing>
          <wp:inline distT="0" distB="0" distL="0" distR="0" wp14:anchorId="0CE3765C" wp14:editId="0D406611">
            <wp:extent cx="5074285" cy="22860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631"/>
                    <a:stretch/>
                  </pic:blipFill>
                  <pic:spPr bwMode="auto">
                    <a:xfrm>
                      <a:off x="0" y="0"/>
                      <a:ext cx="5074715" cy="22861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A095BAB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>Abbreviations: CV, coefficient of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>variation; max, maximum; min, minimum; M, mean; SD, standard deviation</w:t>
      </w:r>
    </w:p>
    <w:p w14:paraId="340E99E5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B78E5C4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F3652DF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1EBA263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061E5488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F5D6C7C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EDDE2CC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7707B6F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F89B6D0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C3ECD9C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CF3C530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7515E90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71D233C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6BE48FE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4BBEF2F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75B61B5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10FD884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D5B97DA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DDA2C0D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5A1EFDD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0EAF915E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1D552B8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732FD1F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72EA997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C8533AF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DC141A7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12C06C4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643E6DC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3143269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F32B9D0" w14:textId="48DEBC03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>T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>able 3. Paired samples test of average anti-factor Xa activity (AXA) between at day 3 and day 30 stratified by rivaroxaban dose.</w:t>
      </w:r>
    </w:p>
    <w:p w14:paraId="23DF9F13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830BFBE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7A9847F4" wp14:editId="3F0D5B2B">
            <wp:extent cx="5304790" cy="1393567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186" cy="1407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 </w:t>
      </w:r>
    </w:p>
    <w:p w14:paraId="59C4F883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80F2F50" w14:textId="6138C406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Abbreviations: </w:t>
      </w:r>
      <w:r w:rsidRPr="00663BA3">
        <w:rPr>
          <w:rFonts w:ascii="Times New Roman" w:hAnsi="Times New Roman" w:cs="Times New Roman"/>
          <w:bCs/>
          <w:noProof/>
          <w:sz w:val="24"/>
          <w:szCs w:val="24"/>
        </w:rPr>
        <w:t>Sig. (2-tailed),</w:t>
      </w:r>
      <w:r w:rsidRPr="00663BA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>correlation is significant at the 0.05 level (2-tailed)</w:t>
      </w:r>
    </w:p>
    <w:p w14:paraId="0996E63C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FDFA3F4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5C4836B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66AD5D7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223DDF6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8F5FF0C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21A0AB8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0DFFE945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FE9D073" w14:textId="747EADBA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ADBA73D" w14:textId="17ABB3F1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122E3CB" w14:textId="2289A1EA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5154635" w14:textId="6C331B92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FB59257" w14:textId="73BC1FCB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31CA942" w14:textId="4D95FBDA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0DEBC0DA" w14:textId="285218D4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08F483E" w14:textId="43D35A73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E41C539" w14:textId="5C37CE35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3EEB16D" w14:textId="57198B32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09FDECE3" w14:textId="6D756D45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CEDE1BB" w14:textId="5CF9B1E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22AC521" w14:textId="6DD97780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ACA54B9" w14:textId="4F211459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3167DB0" w14:textId="50E09D3B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3FCC789" w14:textId="237FAA3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3B1B27B" w14:textId="031902DC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18F743B" w14:textId="276AF220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CD77563" w14:textId="00BF46E9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5101A5B" w14:textId="15CFFA5E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6C496E7" w14:textId="1EDE02F2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623CE63" w14:textId="66B188F3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3DFBC14" w14:textId="793F1105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037CF125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D0B3AEC" w14:textId="2DA4A20E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 xml:space="preserve">Table 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>4</w:t>
      </w: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>. Correlations between anti-factor Xa activity (AXA) and</w:t>
      </w:r>
      <w:r w:rsidRPr="00663BA3">
        <w:rPr>
          <w:rFonts w:ascii="Times New Roman" w:eastAsia="SimSun" w:hAnsi="Times New Roman" w:cs="Times New Roman"/>
          <w:sz w:val="24"/>
          <w:szCs w:val="24"/>
        </w:rPr>
        <w:t xml:space="preserve"> clinical characteristics at day 3 stratified by rivaroxaban dose</w:t>
      </w: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>.</w:t>
      </w:r>
    </w:p>
    <w:p w14:paraId="32E0799B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7E6F6073" wp14:editId="11D42832">
            <wp:extent cx="5112385" cy="3583138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2943" cy="359754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8A5EB2D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Abbreviations: </w:t>
      </w:r>
      <w:r w:rsidRPr="00663BA3">
        <w:rPr>
          <w:rFonts w:ascii="Times New Roman" w:hAnsi="Times New Roman" w:cs="Times New Roman"/>
          <w:bCs/>
          <w:noProof/>
          <w:sz w:val="24"/>
          <w:szCs w:val="24"/>
        </w:rPr>
        <w:t>Sig. (2-tailed),</w:t>
      </w:r>
      <w:r w:rsidRPr="00663BA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>correlation is significant at the 0.05 level (2-tailed)</w:t>
      </w:r>
    </w:p>
    <w:p w14:paraId="403BFC35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9A2E53E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AF5FCA4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B35A78A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5B80AE4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0AE54694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1162C7B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588CC11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7DB5671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FDBDEC0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BDCEC23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D582FE2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D24352D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07661F1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D3F2A20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612069A0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9A1C1F2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35F154A1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25F81021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760CA032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E58AD2C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140E890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1EDC8DBC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4F0A8DF4" w14:textId="77777777" w:rsidR="00055B25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</w:p>
    <w:p w14:paraId="58475571" w14:textId="0E362A89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 xml:space="preserve">Table 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>5</w:t>
      </w: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 xml:space="preserve">. 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Correlations between anti-factor Xa activity (AXA) and several coagulation indicators at day 3 </w:t>
      </w:r>
      <w:r w:rsidRPr="00663BA3">
        <w:rPr>
          <w:rFonts w:ascii="Times New Roman" w:eastAsia="SimSun" w:hAnsi="Times New Roman" w:cs="Times New Roman"/>
          <w:sz w:val="24"/>
          <w:szCs w:val="24"/>
        </w:rPr>
        <w:t>stratified by rivaroxaban dose</w:t>
      </w:r>
      <w:r w:rsidRPr="00663BA3">
        <w:rPr>
          <w:rFonts w:ascii="Times New Roman" w:eastAsia="SimSun" w:hAnsi="Times New Roman" w:cs="Times New Roman" w:hint="eastAsia"/>
          <w:noProof/>
          <w:sz w:val="24"/>
          <w:szCs w:val="24"/>
        </w:rPr>
        <w:t>.</w:t>
      </w:r>
    </w:p>
    <w:p w14:paraId="43A5C83C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drawing>
          <wp:inline distT="0" distB="0" distL="0" distR="0" wp14:anchorId="1316C8EE" wp14:editId="6C26FFDD">
            <wp:extent cx="5333365" cy="4212599"/>
            <wp:effectExtent l="0" t="0" r="63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0480" cy="421821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9FF8D1F" w14:textId="77777777" w:rsidR="00055B25" w:rsidRPr="00663BA3" w:rsidRDefault="00055B25" w:rsidP="00055B25">
      <w:pPr>
        <w:rPr>
          <w:rFonts w:ascii="Times New Roman" w:eastAsia="SimSun" w:hAnsi="Times New Roman" w:cs="Times New Roman"/>
          <w:noProof/>
          <w:sz w:val="24"/>
          <w:szCs w:val="24"/>
        </w:rPr>
      </w:pP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Abbreviations: </w:t>
      </w:r>
      <w:r w:rsidRPr="00663BA3">
        <w:rPr>
          <w:rFonts w:ascii="Times New Roman" w:hAnsi="Times New Roman" w:cs="Times New Roman"/>
          <w:bCs/>
          <w:noProof/>
          <w:sz w:val="24"/>
          <w:szCs w:val="24"/>
        </w:rPr>
        <w:t>Sig. (2-tailed),</w:t>
      </w:r>
      <w:r w:rsidRPr="00663BA3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 xml:space="preserve">correlation is significant at the 0.05 level (2-tailed); </w:t>
      </w:r>
      <w:bookmarkStart w:id="0" w:name="_Hlk124881262"/>
      <w:r w:rsidRPr="00663BA3">
        <w:rPr>
          <w:rFonts w:ascii="Times New Roman" w:eastAsia="SimSun" w:hAnsi="Times New Roman" w:cs="Times New Roman"/>
          <w:noProof/>
          <w:sz w:val="24"/>
          <w:szCs w:val="24"/>
        </w:rPr>
        <w:t>PT, prothrombin time; APTT, activated partial thromboplastin time; INR, international normalized ratio</w:t>
      </w:r>
    </w:p>
    <w:bookmarkEnd w:id="0"/>
    <w:p w14:paraId="5C963FB8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B25"/>
    <w:rsid w:val="00055B25"/>
    <w:rsid w:val="00755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9A2D3C"/>
  <w15:chartTrackingRefBased/>
  <w15:docId w15:val="{D0342DFE-DB7F-4EA5-B5D2-79F259839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55B25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200</Words>
  <Characters>1146</Characters>
  <Application>Microsoft Office Word</Application>
  <DocSecurity>0</DocSecurity>
  <Lines>9</Lines>
  <Paragraphs>2</Paragraphs>
  <ScaleCrop>false</ScaleCrop>
  <Company>Springer Nature</Company>
  <LinksUpToDate>false</LinksUpToDate>
  <CharactersWithSpaces>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2023-04-10T06:14:00Z</dcterms:created>
  <dcterms:modified xsi:type="dcterms:W3CDTF">2023-04-10T06:15:00Z</dcterms:modified>
</cp:coreProperties>
</file>