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6489D" w14:textId="77777777" w:rsidR="0035165A" w:rsidRDefault="0035165A" w:rsidP="0035165A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How to improve </w:t>
      </w:r>
      <w:r w:rsidRPr="1AB28E55">
        <w:rPr>
          <w:rFonts w:ascii="Arial" w:hAnsi="Arial" w:cs="Arial"/>
          <w:sz w:val="28"/>
          <w:szCs w:val="28"/>
          <w:lang w:val="en-US"/>
        </w:rPr>
        <w:t>mRNA-based CAR-T cell generation and functionality</w:t>
      </w:r>
      <w:r>
        <w:rPr>
          <w:rFonts w:ascii="Arial" w:hAnsi="Arial" w:cs="Arial"/>
          <w:sz w:val="28"/>
          <w:szCs w:val="28"/>
          <w:lang w:val="en-US"/>
        </w:rPr>
        <w:t>? A lab-scale comparison</w:t>
      </w:r>
    </w:p>
    <w:p w14:paraId="664DB8B2" w14:textId="423E94F2" w:rsidR="0035165A" w:rsidRPr="009552BF" w:rsidRDefault="0035165A" w:rsidP="0035165A">
      <w:pPr>
        <w:spacing w:line="360" w:lineRule="auto"/>
        <w:jc w:val="both"/>
        <w:rPr>
          <w:rFonts w:ascii="Arial" w:hAnsi="Arial" w:cs="Arial"/>
          <w:highlight w:val="lightGray"/>
          <w:lang w:val="en-US"/>
        </w:rPr>
      </w:pPr>
      <w:r w:rsidRPr="009552BF">
        <w:rPr>
          <w:rFonts w:ascii="Arial" w:hAnsi="Arial" w:cs="Arial"/>
          <w:lang w:val="en-US"/>
        </w:rPr>
        <w:t>Nadine von Auw</w:t>
      </w:r>
      <w:r w:rsidRPr="009552BF">
        <w:rPr>
          <w:rFonts w:ascii="Arial" w:hAnsi="Arial" w:cs="Arial"/>
          <w:vertAlign w:val="superscript"/>
          <w:lang w:val="en-US"/>
        </w:rPr>
        <w:t>1</w:t>
      </w:r>
      <w:r w:rsidRPr="009552BF">
        <w:rPr>
          <w:rFonts w:ascii="Arial" w:hAnsi="Arial" w:cs="Arial"/>
          <w:lang w:val="en-US"/>
        </w:rPr>
        <w:t>, Robert Serfling</w:t>
      </w:r>
      <w:r w:rsidRPr="009552BF">
        <w:rPr>
          <w:rFonts w:ascii="Arial" w:hAnsi="Arial" w:cs="Arial"/>
          <w:vertAlign w:val="superscript"/>
          <w:lang w:val="en-US"/>
        </w:rPr>
        <w:t>1</w:t>
      </w:r>
      <w:r w:rsidRPr="009552BF">
        <w:rPr>
          <w:rFonts w:ascii="Arial" w:hAnsi="Arial" w:cs="Arial"/>
          <w:lang w:val="en-US"/>
        </w:rPr>
        <w:t>, Reni Kitte</w:t>
      </w:r>
      <w:r w:rsidRPr="009552BF">
        <w:rPr>
          <w:rFonts w:ascii="Arial" w:hAnsi="Arial" w:cs="Arial"/>
          <w:vertAlign w:val="superscript"/>
          <w:lang w:val="en-US"/>
        </w:rPr>
        <w:t>1</w:t>
      </w:r>
      <w:r w:rsidRPr="009552BF">
        <w:rPr>
          <w:rFonts w:ascii="Arial" w:hAnsi="Arial" w:cs="Arial"/>
          <w:lang w:val="en-US"/>
        </w:rPr>
        <w:t>, Nadja Hilger</w:t>
      </w:r>
      <w:r w:rsidRPr="009552BF">
        <w:rPr>
          <w:rFonts w:ascii="Arial" w:hAnsi="Arial" w:cs="Arial"/>
          <w:vertAlign w:val="superscript"/>
          <w:lang w:val="en-US"/>
        </w:rPr>
        <w:t>1</w:t>
      </w:r>
      <w:r w:rsidRPr="009552BF">
        <w:rPr>
          <w:rFonts w:ascii="Arial" w:hAnsi="Arial" w:cs="Arial"/>
          <w:lang w:val="en-US"/>
        </w:rPr>
        <w:t xml:space="preserve">, </w:t>
      </w:r>
      <w:r w:rsidR="009D72B3" w:rsidRPr="009552BF">
        <w:rPr>
          <w:rFonts w:ascii="Arial" w:hAnsi="Arial" w:cs="Arial"/>
          <w:lang w:val="en-US"/>
        </w:rPr>
        <w:t>Chengkang Zhang</w:t>
      </w:r>
      <w:r w:rsidRPr="009552BF">
        <w:rPr>
          <w:rFonts w:ascii="Arial" w:hAnsi="Arial" w:cs="Arial"/>
          <w:vertAlign w:val="superscript"/>
          <w:lang w:val="en-US"/>
        </w:rPr>
        <w:t>2</w:t>
      </w:r>
      <w:r w:rsidRPr="009552BF">
        <w:rPr>
          <w:rFonts w:ascii="Arial" w:hAnsi="Arial" w:cs="Arial"/>
          <w:lang w:val="en-US"/>
        </w:rPr>
        <w:t>, Stephan Fricke</w:t>
      </w:r>
      <w:r w:rsidRPr="009552BF">
        <w:rPr>
          <w:rFonts w:ascii="Arial" w:hAnsi="Arial" w:cs="Arial"/>
          <w:vertAlign w:val="superscript"/>
          <w:lang w:val="en-US"/>
        </w:rPr>
        <w:t>1,3</w:t>
      </w:r>
      <w:r w:rsidRPr="009552BF">
        <w:rPr>
          <w:rFonts w:ascii="Arial" w:hAnsi="Arial" w:cs="Arial"/>
          <w:lang w:val="en-US"/>
        </w:rPr>
        <w:t>,</w:t>
      </w:r>
      <w:r w:rsidRPr="009552BF">
        <w:rPr>
          <w:rFonts w:ascii="Arial" w:hAnsi="Arial" w:cs="Arial"/>
          <w:vertAlign w:val="superscript"/>
          <w:lang w:val="en-US"/>
        </w:rPr>
        <w:t xml:space="preserve"> </w:t>
      </w:r>
      <w:r w:rsidRPr="009552BF">
        <w:rPr>
          <w:rFonts w:ascii="Arial" w:hAnsi="Arial" w:cs="Arial"/>
          <w:lang w:val="en-US"/>
        </w:rPr>
        <w:t>U. Sandy Tretbar</w:t>
      </w:r>
      <w:r w:rsidRPr="009552BF">
        <w:rPr>
          <w:rFonts w:ascii="Arial" w:hAnsi="Arial" w:cs="Arial"/>
          <w:vertAlign w:val="superscript"/>
          <w:lang w:val="en-US"/>
        </w:rPr>
        <w:t>1,3*</w:t>
      </w:r>
    </w:p>
    <w:p w14:paraId="4EB37A87" w14:textId="2125B7DC" w:rsidR="0035165A" w:rsidRDefault="00F45D07" w:rsidP="0035165A">
      <w:pPr>
        <w:spacing w:line="360" w:lineRule="auto"/>
        <w:jc w:val="both"/>
        <w:rPr>
          <w:rFonts w:ascii="Arial" w:hAnsi="Arial" w:cs="Arial"/>
          <w:lang w:val="en-US"/>
        </w:rPr>
      </w:pPr>
      <w:r w:rsidRPr="00F45D07">
        <w:rPr>
          <w:rFonts w:ascii="Arial" w:hAnsi="Arial" w:cs="Arial"/>
          <w:vertAlign w:val="superscript"/>
          <w:lang w:val="en-US"/>
        </w:rPr>
        <w:t>1</w:t>
      </w:r>
      <w:r w:rsidR="0035165A" w:rsidRPr="004E661A">
        <w:rPr>
          <w:rFonts w:ascii="Arial" w:hAnsi="Arial" w:cs="Arial"/>
          <w:lang w:val="en-US"/>
        </w:rPr>
        <w:t>Fraunhofer Institute for Cell T</w:t>
      </w:r>
      <w:r w:rsidR="0035165A">
        <w:rPr>
          <w:rFonts w:ascii="Arial" w:hAnsi="Arial" w:cs="Arial"/>
          <w:lang w:val="en-US"/>
        </w:rPr>
        <w:t>herapy and Immunology (IZI), Department for Cell and Gene Therapy Development, Perlickstr. 1, 04103 Leipzig, Germany</w:t>
      </w:r>
    </w:p>
    <w:p w14:paraId="1AC1CA7B" w14:textId="77777777" w:rsidR="009552BF" w:rsidRPr="001A598F" w:rsidRDefault="009552BF" w:rsidP="009552BF">
      <w:pPr>
        <w:spacing w:line="360" w:lineRule="auto"/>
        <w:jc w:val="both"/>
        <w:rPr>
          <w:rFonts w:ascii="Arial" w:hAnsi="Arial" w:cs="Arial"/>
          <w:lang w:val="en-US"/>
        </w:rPr>
      </w:pPr>
      <w:bookmarkStart w:id="0" w:name="_Hlk128119615"/>
      <w:r>
        <w:rPr>
          <w:rFonts w:ascii="Arial" w:hAnsi="Arial" w:cs="Arial"/>
          <w:vertAlign w:val="superscript"/>
          <w:lang w:val="en-US"/>
        </w:rPr>
        <w:t>2</w:t>
      </w:r>
      <w:bookmarkEnd w:id="0"/>
      <w:r w:rsidRPr="001A598F">
        <w:rPr>
          <w:rFonts w:ascii="Arial" w:hAnsi="Arial" w:cs="Arial"/>
          <w:lang w:val="en-US"/>
        </w:rPr>
        <w:t>Lonza, 9900 Medical Center Drive, Rockville, MD 20850, USA</w:t>
      </w:r>
    </w:p>
    <w:p w14:paraId="2F8CB045" w14:textId="1267CB21" w:rsidR="0035165A" w:rsidRDefault="0035165A" w:rsidP="0035165A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3</w:t>
      </w:r>
      <w:r w:rsidRPr="001326DE">
        <w:rPr>
          <w:rFonts w:ascii="Arial" w:hAnsi="Arial" w:cs="Arial"/>
          <w:lang w:val="en-US"/>
        </w:rPr>
        <w:t>Fraunhofer Cluster of Excellence Immune-Mediated Diseases</w:t>
      </w:r>
      <w:r>
        <w:rPr>
          <w:rFonts w:ascii="Arial" w:hAnsi="Arial" w:cs="Arial"/>
          <w:lang w:val="en-US"/>
        </w:rPr>
        <w:t xml:space="preserve"> CIMD, Leipzig, Germany</w:t>
      </w:r>
    </w:p>
    <w:p w14:paraId="63650104" w14:textId="42D7FB76" w:rsidR="0035165A" w:rsidRDefault="0035165A" w:rsidP="0035165A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*</w:t>
      </w:r>
      <w:r>
        <w:rPr>
          <w:rFonts w:ascii="Arial" w:hAnsi="Arial" w:cs="Arial"/>
          <w:lang w:val="en-US"/>
        </w:rPr>
        <w:t>corresponding author</w:t>
      </w:r>
    </w:p>
    <w:p w14:paraId="4D569D31" w14:textId="77777777" w:rsidR="00B24B00" w:rsidRDefault="00B24B00" w:rsidP="00B24B00">
      <w:pPr>
        <w:spacing w:line="360" w:lineRule="auto"/>
        <w:jc w:val="both"/>
        <w:rPr>
          <w:rFonts w:ascii="Arial" w:hAnsi="Arial" w:cs="Arial"/>
          <w:b/>
          <w:sz w:val="24"/>
          <w:lang w:val="en-US"/>
        </w:rPr>
      </w:pPr>
    </w:p>
    <w:p w14:paraId="4D569D32" w14:textId="77777777" w:rsidR="00B24B00" w:rsidRPr="00F80826" w:rsidRDefault="00B24B00" w:rsidP="00B24B00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F80826">
        <w:rPr>
          <w:rFonts w:ascii="Arial" w:hAnsi="Arial" w:cs="Arial"/>
          <w:b/>
          <w:sz w:val="28"/>
          <w:szCs w:val="28"/>
          <w:lang w:val="en-US"/>
        </w:rPr>
        <w:t>Supplemental Information</w:t>
      </w:r>
    </w:p>
    <w:p w14:paraId="4D569D43" w14:textId="279D8FE5" w:rsidR="000A670F" w:rsidRDefault="00800AAF" w:rsidP="00B24B00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F80826">
        <w:rPr>
          <w:rFonts w:ascii="Arial" w:hAnsi="Arial" w:cs="Arial"/>
          <w:b/>
          <w:lang w:val="en-US"/>
        </w:rPr>
        <w:t>Supplemental Figures:</w:t>
      </w:r>
    </w:p>
    <w:p w14:paraId="62A607B3" w14:textId="78E79911" w:rsidR="00B644CE" w:rsidRDefault="00C739AD" w:rsidP="00B24B00">
      <w:pPr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noProof/>
        </w:rPr>
        <w:lastRenderedPageBreak/>
        <w:drawing>
          <wp:inline distT="0" distB="0" distL="0" distR="0" wp14:anchorId="62171744" wp14:editId="456CC5A8">
            <wp:extent cx="5486400" cy="7629525"/>
            <wp:effectExtent l="0" t="0" r="0" b="952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B6133" w14:textId="732D094D" w:rsidR="009330B1" w:rsidRDefault="009330B1" w:rsidP="00755A78">
      <w:pPr>
        <w:pStyle w:val="Beschriftung"/>
        <w:jc w:val="both"/>
        <w:rPr>
          <w:rFonts w:ascii="Arial" w:hAnsi="Arial" w:cs="Arial"/>
          <w:b/>
          <w:i w:val="0"/>
          <w:color w:val="auto"/>
          <w:lang w:val="en-US"/>
        </w:rPr>
      </w:pPr>
      <w:r w:rsidRPr="009330B1">
        <w:rPr>
          <w:rFonts w:ascii="Arial" w:hAnsi="Arial" w:cs="Arial"/>
          <w:b/>
          <w:i w:val="0"/>
          <w:color w:val="auto"/>
          <w:lang w:val="en-US"/>
        </w:rPr>
        <w:t xml:space="preserve">Figure S1. </w:t>
      </w:r>
      <w:r w:rsidR="0003344B">
        <w:rPr>
          <w:rFonts w:ascii="Arial" w:hAnsi="Arial" w:cs="Arial"/>
          <w:b/>
          <w:i w:val="0"/>
          <w:color w:val="auto"/>
          <w:lang w:val="en-US"/>
        </w:rPr>
        <w:t>D</w:t>
      </w:r>
      <w:r w:rsidRPr="009330B1">
        <w:rPr>
          <w:rFonts w:ascii="Arial" w:hAnsi="Arial" w:cs="Arial"/>
          <w:b/>
          <w:i w:val="0"/>
          <w:color w:val="auto"/>
          <w:lang w:val="en-US"/>
        </w:rPr>
        <w:t xml:space="preserve">ays six to ten after T cell stimulation are the most suitable days for T cell transfection with mRNA. </w:t>
      </w:r>
      <w:r w:rsidR="0072348E">
        <w:rPr>
          <w:rFonts w:ascii="Arial" w:hAnsi="Arial" w:cs="Arial"/>
          <w:i w:val="0"/>
          <w:color w:val="auto"/>
          <w:lang w:val="en-US"/>
        </w:rPr>
        <w:t>(A) T</w:t>
      </w:r>
      <w:r w:rsidR="0072348E" w:rsidRPr="0072348E">
        <w:rPr>
          <w:rFonts w:ascii="Arial" w:hAnsi="Arial" w:cs="Arial"/>
          <w:i w:val="0"/>
          <w:color w:val="auto"/>
          <w:lang w:val="en-US"/>
        </w:rPr>
        <w:t>he expansion of T cells from</w:t>
      </w:r>
      <w:r w:rsidR="0003344B">
        <w:rPr>
          <w:rFonts w:ascii="Arial" w:hAnsi="Arial" w:cs="Arial"/>
          <w:i w:val="0"/>
          <w:color w:val="auto"/>
          <w:lang w:val="en-US"/>
        </w:rPr>
        <w:t xml:space="preserve"> two healthy</w:t>
      </w:r>
      <w:r w:rsidR="0072348E" w:rsidRPr="0072348E">
        <w:rPr>
          <w:rFonts w:ascii="Arial" w:hAnsi="Arial" w:cs="Arial"/>
          <w:i w:val="0"/>
          <w:color w:val="auto"/>
          <w:lang w:val="en-US"/>
        </w:rPr>
        <w:t xml:space="preserve"> donors was compared when cultured directly after isolation or expanded after thawing from frozen culture. </w:t>
      </w:r>
      <w:r w:rsidR="0072348E">
        <w:rPr>
          <w:rFonts w:ascii="Arial" w:hAnsi="Arial" w:cs="Arial"/>
          <w:i w:val="0"/>
          <w:color w:val="auto"/>
          <w:lang w:val="en-US"/>
        </w:rPr>
        <w:t xml:space="preserve">(B) </w:t>
      </w:r>
      <w:r w:rsidRPr="0072348E">
        <w:rPr>
          <w:rFonts w:ascii="Arial" w:hAnsi="Arial" w:cs="Arial"/>
          <w:i w:val="0"/>
          <w:color w:val="auto"/>
          <w:lang w:val="en-US"/>
        </w:rPr>
        <w:t xml:space="preserve">Primary T cells of </w:t>
      </w:r>
      <w:r w:rsidR="0072348E">
        <w:rPr>
          <w:rFonts w:ascii="Arial" w:hAnsi="Arial" w:cs="Arial"/>
          <w:i w:val="0"/>
          <w:color w:val="auto"/>
          <w:lang w:val="en-US"/>
        </w:rPr>
        <w:t xml:space="preserve">four </w:t>
      </w:r>
      <w:r w:rsidRPr="0072348E">
        <w:rPr>
          <w:rFonts w:ascii="Arial" w:hAnsi="Arial" w:cs="Arial"/>
          <w:i w:val="0"/>
          <w:color w:val="auto"/>
          <w:lang w:val="en-US"/>
        </w:rPr>
        <w:t>healthy donors were cultured according to protocol A and monitored for cell expansion over 14 days</w:t>
      </w:r>
      <w:r w:rsidR="0072348E">
        <w:rPr>
          <w:rFonts w:ascii="Arial" w:hAnsi="Arial" w:cs="Arial"/>
          <w:i w:val="0"/>
          <w:color w:val="auto"/>
          <w:lang w:val="en-US"/>
        </w:rPr>
        <w:t>.</w:t>
      </w:r>
      <w:r w:rsidR="0072348E" w:rsidRPr="0072348E">
        <w:rPr>
          <w:rFonts w:ascii="Arial" w:hAnsi="Arial" w:cs="Arial"/>
          <w:i w:val="0"/>
          <w:color w:val="auto"/>
          <w:lang w:val="en-US"/>
        </w:rPr>
        <w:t xml:space="preserve"> </w:t>
      </w:r>
      <w:r w:rsidR="0003344B" w:rsidRPr="0072348E">
        <w:rPr>
          <w:rFonts w:ascii="Arial" w:hAnsi="Arial" w:cs="Arial"/>
          <w:i w:val="0"/>
          <w:color w:val="auto"/>
          <w:lang w:val="en-US"/>
        </w:rPr>
        <w:t>(C</w:t>
      </w:r>
      <w:r w:rsidR="0003344B">
        <w:rPr>
          <w:rFonts w:ascii="Arial" w:hAnsi="Arial" w:cs="Arial"/>
          <w:i w:val="0"/>
          <w:color w:val="auto"/>
          <w:lang w:val="en-US"/>
        </w:rPr>
        <w:t>/D</w:t>
      </w:r>
      <w:r w:rsidR="0003344B" w:rsidRPr="0072348E">
        <w:rPr>
          <w:rFonts w:ascii="Arial" w:hAnsi="Arial" w:cs="Arial"/>
          <w:i w:val="0"/>
          <w:color w:val="auto"/>
          <w:lang w:val="en-US"/>
        </w:rPr>
        <w:t xml:space="preserve">) </w:t>
      </w:r>
      <w:r w:rsidRPr="0072348E">
        <w:rPr>
          <w:rFonts w:ascii="Arial" w:hAnsi="Arial" w:cs="Arial"/>
          <w:i w:val="0"/>
          <w:color w:val="auto"/>
          <w:lang w:val="en-US"/>
        </w:rPr>
        <w:t>14 different T cell cultures were checked for viability</w:t>
      </w:r>
      <w:r w:rsidR="0003344B">
        <w:rPr>
          <w:rFonts w:ascii="Arial" w:hAnsi="Arial" w:cs="Arial"/>
          <w:i w:val="0"/>
          <w:color w:val="auto"/>
          <w:lang w:val="en-US"/>
        </w:rPr>
        <w:t>,</w:t>
      </w:r>
      <w:r w:rsidRPr="0072348E">
        <w:rPr>
          <w:rFonts w:ascii="Arial" w:hAnsi="Arial" w:cs="Arial"/>
          <w:i w:val="0"/>
          <w:color w:val="auto"/>
          <w:lang w:val="en-US"/>
        </w:rPr>
        <w:t xml:space="preserve"> T cell subtypes</w:t>
      </w:r>
      <w:r w:rsidR="0003344B">
        <w:rPr>
          <w:rFonts w:ascii="Arial" w:hAnsi="Arial" w:cs="Arial"/>
          <w:i w:val="0"/>
          <w:color w:val="auto"/>
          <w:lang w:val="en-US"/>
        </w:rPr>
        <w:t>,</w:t>
      </w:r>
      <w:r w:rsidRPr="0072348E">
        <w:rPr>
          <w:rFonts w:ascii="Arial" w:hAnsi="Arial" w:cs="Arial"/>
          <w:i w:val="0"/>
          <w:color w:val="auto"/>
          <w:lang w:val="en-US"/>
        </w:rPr>
        <w:t xml:space="preserve"> and activation</w:t>
      </w:r>
      <w:r w:rsidR="0072348E">
        <w:rPr>
          <w:rFonts w:ascii="Arial" w:hAnsi="Arial" w:cs="Arial"/>
          <w:i w:val="0"/>
          <w:color w:val="auto"/>
          <w:lang w:val="en-US"/>
        </w:rPr>
        <w:t xml:space="preserve"> and available data points were plotted</w:t>
      </w:r>
      <w:r w:rsidRPr="0072348E">
        <w:rPr>
          <w:rFonts w:ascii="Arial" w:hAnsi="Arial" w:cs="Arial"/>
          <w:i w:val="0"/>
          <w:color w:val="auto"/>
          <w:lang w:val="en-US"/>
        </w:rPr>
        <w:t xml:space="preserve">. </w:t>
      </w:r>
      <w:r w:rsidR="0003344B">
        <w:rPr>
          <w:rFonts w:ascii="Arial" w:hAnsi="Arial" w:cs="Arial"/>
          <w:i w:val="0"/>
          <w:color w:val="auto"/>
          <w:lang w:val="en-US"/>
        </w:rPr>
        <w:t xml:space="preserve">(E/F) </w:t>
      </w:r>
      <w:r w:rsidRPr="0072348E">
        <w:rPr>
          <w:rFonts w:ascii="Arial" w:hAnsi="Arial" w:cs="Arial"/>
          <w:i w:val="0"/>
          <w:color w:val="auto"/>
          <w:lang w:val="en-US"/>
        </w:rPr>
        <w:t>The transfection efficiency of CAR-GFP</w:t>
      </w:r>
      <w:r w:rsidR="0003344B">
        <w:rPr>
          <w:rFonts w:ascii="Arial" w:hAnsi="Arial" w:cs="Arial"/>
          <w:i w:val="0"/>
          <w:color w:val="auto"/>
          <w:lang w:val="en-US"/>
        </w:rPr>
        <w:t>-</w:t>
      </w:r>
      <w:r w:rsidRPr="0072348E">
        <w:rPr>
          <w:rFonts w:ascii="Arial" w:hAnsi="Arial" w:cs="Arial"/>
          <w:i w:val="0"/>
          <w:color w:val="auto"/>
          <w:lang w:val="en-US"/>
        </w:rPr>
        <w:t>mRNA electroporated T cells was determined at day four (E) and day ten (F) post-isolation. H</w:t>
      </w:r>
      <w:r w:rsidRPr="0003344B">
        <w:rPr>
          <w:rFonts w:ascii="Arial" w:hAnsi="Arial" w:cs="Arial"/>
          <w:i w:val="0"/>
          <w:color w:val="auto"/>
          <w:vertAlign w:val="subscript"/>
          <w:lang w:val="en-US"/>
        </w:rPr>
        <w:t>2</w:t>
      </w:r>
      <w:r w:rsidRPr="0072348E">
        <w:rPr>
          <w:rFonts w:ascii="Arial" w:hAnsi="Arial" w:cs="Arial"/>
          <w:i w:val="0"/>
          <w:color w:val="auto"/>
          <w:lang w:val="en-US"/>
        </w:rPr>
        <w:t>O-transfected T cells served as negative control, and EGFP-mRNA transfected T</w:t>
      </w:r>
      <w:r w:rsidR="0003344B">
        <w:rPr>
          <w:rFonts w:ascii="Arial" w:hAnsi="Arial" w:cs="Arial"/>
          <w:i w:val="0"/>
          <w:color w:val="auto"/>
          <w:lang w:val="en-US"/>
        </w:rPr>
        <w:t> </w:t>
      </w:r>
      <w:r w:rsidRPr="0072348E">
        <w:rPr>
          <w:rFonts w:ascii="Arial" w:hAnsi="Arial" w:cs="Arial"/>
          <w:i w:val="0"/>
          <w:color w:val="auto"/>
          <w:lang w:val="en-US"/>
        </w:rPr>
        <w:t xml:space="preserve">cells as a positive control. Values are displayed as one biological experiment with two replicates (n =1). </w:t>
      </w:r>
      <w:r w:rsidRPr="009330B1">
        <w:rPr>
          <w:rFonts w:ascii="Arial" w:hAnsi="Arial" w:cs="Arial"/>
          <w:b/>
          <w:i w:val="0"/>
          <w:color w:val="auto"/>
          <w:lang w:val="en-US"/>
        </w:rPr>
        <w:t xml:space="preserve">  </w:t>
      </w:r>
    </w:p>
    <w:p w14:paraId="20D0B3E8" w14:textId="6896C430" w:rsidR="0007358B" w:rsidRDefault="0007358B" w:rsidP="00800AAF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AF3081E" wp14:editId="2130CF8B">
            <wp:extent cx="5753100" cy="192405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75923" w14:textId="5B491893" w:rsidR="00DC4A76" w:rsidRPr="00CD6EFE" w:rsidRDefault="00DC4A76" w:rsidP="00DC4A76">
      <w:pPr>
        <w:pStyle w:val="Beschriftung"/>
        <w:jc w:val="both"/>
        <w:rPr>
          <w:rFonts w:ascii="Arial" w:hAnsi="Arial" w:cs="Arial"/>
          <w:b/>
          <w:i w:val="0"/>
          <w:color w:val="auto"/>
          <w:lang w:val="en-US"/>
        </w:rPr>
      </w:pPr>
      <w:r w:rsidRPr="00CD6EFE">
        <w:rPr>
          <w:rFonts w:ascii="Arial" w:hAnsi="Arial" w:cs="Arial"/>
          <w:b/>
          <w:i w:val="0"/>
          <w:color w:val="auto"/>
          <w:lang w:val="en-US"/>
        </w:rPr>
        <w:t>Figure S</w:t>
      </w:r>
      <w:r w:rsidR="007F184D">
        <w:rPr>
          <w:rFonts w:ascii="Arial" w:hAnsi="Arial" w:cs="Arial"/>
          <w:b/>
          <w:i w:val="0"/>
          <w:color w:val="auto"/>
          <w:lang w:val="en-US"/>
        </w:rPr>
        <w:t>2</w:t>
      </w:r>
      <w:r>
        <w:rPr>
          <w:rFonts w:ascii="Arial" w:hAnsi="Arial" w:cs="Arial"/>
          <w:b/>
          <w:i w:val="0"/>
          <w:color w:val="auto"/>
          <w:lang w:val="en-US"/>
        </w:rPr>
        <w:t>: Qu</w:t>
      </w:r>
      <w:r>
        <w:rPr>
          <w:rFonts w:ascii="Arial" w:hAnsi="Arial" w:cs="Arial"/>
          <w:b/>
          <w:i w:val="0"/>
          <w:color w:val="auto"/>
          <w:lang w:val="en-US"/>
        </w:rPr>
        <w:t xml:space="preserve">ality control of T cell isolation. </w:t>
      </w:r>
      <w:r w:rsidR="00E616C1">
        <w:rPr>
          <w:rFonts w:ascii="Arial" w:hAnsi="Arial" w:cs="Arial"/>
          <w:i w:val="0"/>
          <w:color w:val="auto"/>
          <w:lang w:val="en-US"/>
        </w:rPr>
        <w:t>Since</w:t>
      </w:r>
      <w:r w:rsidR="00043991" w:rsidRPr="00043991">
        <w:rPr>
          <w:rFonts w:ascii="Arial" w:hAnsi="Arial" w:cs="Arial"/>
          <w:i w:val="0"/>
          <w:color w:val="auto"/>
          <w:lang w:val="en-US"/>
        </w:rPr>
        <w:t xml:space="preserve"> the frequency of lymphocytes varies across individuals</w:t>
      </w:r>
      <w:r w:rsidR="00E616C1">
        <w:rPr>
          <w:rFonts w:ascii="Arial" w:hAnsi="Arial" w:cs="Arial"/>
          <w:i w:val="0"/>
          <w:color w:val="auto"/>
          <w:lang w:val="en-US"/>
        </w:rPr>
        <w:t>,</w:t>
      </w:r>
      <w:r w:rsidR="00043991" w:rsidRPr="00043991">
        <w:rPr>
          <w:rFonts w:ascii="Arial" w:hAnsi="Arial" w:cs="Arial"/>
          <w:i w:val="0"/>
          <w:color w:val="auto"/>
          <w:lang w:val="en-US"/>
        </w:rPr>
        <w:t xml:space="preserve"> </w:t>
      </w:r>
      <w:r w:rsidR="00E616C1">
        <w:rPr>
          <w:rFonts w:ascii="Arial" w:hAnsi="Arial" w:cs="Arial"/>
          <w:i w:val="0"/>
          <w:color w:val="auto"/>
          <w:lang w:val="en-US"/>
        </w:rPr>
        <w:t xml:space="preserve">the </w:t>
      </w:r>
      <w:r>
        <w:rPr>
          <w:rFonts w:ascii="Arial" w:hAnsi="Arial" w:cs="Arial"/>
          <w:i w:val="0"/>
          <w:color w:val="auto"/>
          <w:lang w:val="en-US"/>
        </w:rPr>
        <w:t xml:space="preserve">quality of T cell separation </w:t>
      </w:r>
      <w:r w:rsidR="00E616C1">
        <w:rPr>
          <w:rFonts w:ascii="Arial" w:hAnsi="Arial" w:cs="Arial"/>
          <w:i w:val="0"/>
          <w:color w:val="auto"/>
          <w:lang w:val="en-US"/>
        </w:rPr>
        <w:t xml:space="preserve">was assessed </w:t>
      </w:r>
      <w:r w:rsidR="00E05901">
        <w:rPr>
          <w:rFonts w:ascii="Arial" w:hAnsi="Arial" w:cs="Arial"/>
          <w:i w:val="0"/>
          <w:color w:val="auto"/>
          <w:lang w:val="en-US"/>
        </w:rPr>
        <w:t xml:space="preserve">on </w:t>
      </w:r>
      <w:r w:rsidR="00B35A8F">
        <w:rPr>
          <w:rFonts w:ascii="Arial" w:hAnsi="Arial" w:cs="Arial"/>
          <w:i w:val="0"/>
          <w:color w:val="auto"/>
          <w:lang w:val="en-US"/>
        </w:rPr>
        <w:t xml:space="preserve">the </w:t>
      </w:r>
      <w:r>
        <w:rPr>
          <w:rFonts w:ascii="Arial" w:hAnsi="Arial" w:cs="Arial"/>
          <w:i w:val="0"/>
          <w:color w:val="auto"/>
          <w:lang w:val="en-US"/>
        </w:rPr>
        <w:t xml:space="preserve">day </w:t>
      </w:r>
      <w:r w:rsidR="00B35A8F">
        <w:rPr>
          <w:rFonts w:ascii="Arial" w:hAnsi="Arial" w:cs="Arial"/>
          <w:i w:val="0"/>
          <w:color w:val="auto"/>
          <w:lang w:val="en-US"/>
        </w:rPr>
        <w:t>of isolation (day -X)</w:t>
      </w:r>
      <w:r>
        <w:rPr>
          <w:rFonts w:ascii="Arial" w:hAnsi="Arial" w:cs="Arial"/>
          <w:i w:val="0"/>
          <w:color w:val="auto"/>
          <w:lang w:val="en-US"/>
        </w:rPr>
        <w:t xml:space="preserve"> </w:t>
      </w:r>
      <w:r w:rsidR="000E6A8F">
        <w:rPr>
          <w:rFonts w:ascii="Arial" w:hAnsi="Arial" w:cs="Arial"/>
          <w:i w:val="0"/>
          <w:color w:val="auto"/>
          <w:lang w:val="en-US"/>
        </w:rPr>
        <w:t xml:space="preserve">by </w:t>
      </w:r>
      <w:r>
        <w:rPr>
          <w:rFonts w:ascii="Arial" w:hAnsi="Arial" w:cs="Arial"/>
          <w:i w:val="0"/>
          <w:color w:val="auto"/>
          <w:lang w:val="en-US"/>
        </w:rPr>
        <w:t>a</w:t>
      </w:r>
      <w:r w:rsidR="00E616C1">
        <w:rPr>
          <w:rFonts w:ascii="Arial" w:hAnsi="Arial" w:cs="Arial"/>
          <w:i w:val="0"/>
          <w:color w:val="auto"/>
          <w:lang w:val="en-US"/>
        </w:rPr>
        <w:t>n immune</w:t>
      </w:r>
      <w:r>
        <w:rPr>
          <w:rFonts w:ascii="Arial" w:hAnsi="Arial" w:cs="Arial"/>
          <w:i w:val="0"/>
          <w:color w:val="auto"/>
          <w:lang w:val="en-US"/>
        </w:rPr>
        <w:t xml:space="preserve"> cell phenotyping using flow cytometry. After </w:t>
      </w:r>
      <w:r w:rsidR="00E05901">
        <w:rPr>
          <w:rFonts w:ascii="Arial" w:hAnsi="Arial" w:cs="Arial"/>
          <w:i w:val="0"/>
          <w:color w:val="auto"/>
          <w:lang w:val="en-US"/>
        </w:rPr>
        <w:t xml:space="preserve">the </w:t>
      </w:r>
      <w:proofErr w:type="spellStart"/>
      <w:r w:rsidR="00594ECC">
        <w:rPr>
          <w:rFonts w:ascii="Arial" w:hAnsi="Arial" w:cs="Arial"/>
          <w:i w:val="0"/>
          <w:color w:val="auto"/>
          <w:lang w:val="en-US"/>
        </w:rPr>
        <w:t>F</w:t>
      </w:r>
      <w:r>
        <w:rPr>
          <w:rFonts w:ascii="Arial" w:hAnsi="Arial" w:cs="Arial"/>
          <w:i w:val="0"/>
          <w:color w:val="auto"/>
          <w:lang w:val="en-US"/>
        </w:rPr>
        <w:t>icoll</w:t>
      </w:r>
      <w:proofErr w:type="spellEnd"/>
      <w:r>
        <w:rPr>
          <w:rFonts w:ascii="Arial" w:hAnsi="Arial" w:cs="Arial"/>
          <w:i w:val="0"/>
          <w:color w:val="auto"/>
          <w:lang w:val="en-US"/>
        </w:rPr>
        <w:t xml:space="preserve"> gradient, immune phenotyping of the obtained peripheral blood mononuclear cells (PBMCs</w:t>
      </w:r>
      <w:r w:rsidR="00594ECC">
        <w:rPr>
          <w:rFonts w:ascii="Arial" w:hAnsi="Arial" w:cs="Arial"/>
          <w:i w:val="0"/>
          <w:color w:val="auto"/>
          <w:lang w:val="en-US"/>
        </w:rPr>
        <w:t xml:space="preserve">, </w:t>
      </w:r>
      <w:r w:rsidR="000E6A8F">
        <w:rPr>
          <w:rFonts w:ascii="Arial" w:hAnsi="Arial" w:cs="Arial"/>
          <w:i w:val="0"/>
          <w:color w:val="auto"/>
          <w:lang w:val="en-US"/>
        </w:rPr>
        <w:t>d</w:t>
      </w:r>
      <w:r w:rsidR="00594ECC">
        <w:rPr>
          <w:rFonts w:ascii="Arial" w:hAnsi="Arial" w:cs="Arial"/>
          <w:i w:val="0"/>
          <w:color w:val="auto"/>
          <w:lang w:val="en-US"/>
        </w:rPr>
        <w:t>ay -</w:t>
      </w:r>
      <w:r w:rsidR="000E6A8F">
        <w:rPr>
          <w:rFonts w:ascii="Arial" w:hAnsi="Arial" w:cs="Arial"/>
          <w:i w:val="0"/>
          <w:color w:val="auto"/>
          <w:lang w:val="en-US"/>
        </w:rPr>
        <w:t>X</w:t>
      </w:r>
      <w:r>
        <w:rPr>
          <w:rFonts w:ascii="Arial" w:hAnsi="Arial" w:cs="Arial"/>
          <w:i w:val="0"/>
          <w:color w:val="auto"/>
          <w:lang w:val="en-US"/>
        </w:rPr>
        <w:t xml:space="preserve">) showed </w:t>
      </w:r>
      <w:r w:rsidR="00594ECC">
        <w:rPr>
          <w:rFonts w:ascii="Arial" w:hAnsi="Arial" w:cs="Arial"/>
          <w:i w:val="0"/>
          <w:color w:val="auto"/>
          <w:lang w:val="en-US"/>
        </w:rPr>
        <w:t xml:space="preserve">an adequate composition of 70-85 % T cells (CD3+), 5-10 % B cells (CD19+), </w:t>
      </w:r>
      <w:r w:rsidR="00043991">
        <w:rPr>
          <w:rFonts w:ascii="Arial" w:hAnsi="Arial" w:cs="Arial"/>
          <w:i w:val="0"/>
          <w:color w:val="auto"/>
          <w:lang w:val="en-US"/>
        </w:rPr>
        <w:t xml:space="preserve">5-10 % monocytes (CD14+), </w:t>
      </w:r>
      <w:r w:rsidR="00594ECC">
        <w:rPr>
          <w:rFonts w:ascii="Arial" w:hAnsi="Arial" w:cs="Arial"/>
          <w:i w:val="0"/>
          <w:color w:val="auto"/>
          <w:lang w:val="en-US"/>
        </w:rPr>
        <w:t>and 5-</w:t>
      </w:r>
      <w:r w:rsidR="00043991">
        <w:rPr>
          <w:rFonts w:ascii="Arial" w:hAnsi="Arial" w:cs="Arial"/>
          <w:i w:val="0"/>
          <w:color w:val="auto"/>
          <w:lang w:val="en-US"/>
        </w:rPr>
        <w:t>3</w:t>
      </w:r>
      <w:r w:rsidR="00594ECC">
        <w:rPr>
          <w:rFonts w:ascii="Arial" w:hAnsi="Arial" w:cs="Arial"/>
          <w:i w:val="0"/>
          <w:color w:val="auto"/>
          <w:lang w:val="en-US"/>
        </w:rPr>
        <w:t xml:space="preserve">0 % NK cells (CD56+). </w:t>
      </w:r>
      <w:r w:rsidR="00043991">
        <w:rPr>
          <w:rFonts w:ascii="Arial" w:hAnsi="Arial" w:cs="Arial"/>
          <w:i w:val="0"/>
          <w:color w:val="auto"/>
          <w:lang w:val="en-US"/>
        </w:rPr>
        <w:t xml:space="preserve">CD3+ </w:t>
      </w:r>
      <w:r w:rsidR="00594ECC">
        <w:rPr>
          <w:rFonts w:ascii="Arial" w:hAnsi="Arial" w:cs="Arial"/>
          <w:i w:val="0"/>
          <w:color w:val="auto"/>
          <w:lang w:val="en-US"/>
        </w:rPr>
        <w:t xml:space="preserve">T cells </w:t>
      </w:r>
      <w:r w:rsidR="00043991">
        <w:rPr>
          <w:rFonts w:ascii="Arial" w:hAnsi="Arial" w:cs="Arial"/>
          <w:i w:val="0"/>
          <w:color w:val="auto"/>
          <w:lang w:val="en-US"/>
        </w:rPr>
        <w:t>we</w:t>
      </w:r>
      <w:r w:rsidR="00594ECC">
        <w:rPr>
          <w:rFonts w:ascii="Arial" w:hAnsi="Arial" w:cs="Arial"/>
          <w:i w:val="0"/>
          <w:color w:val="auto"/>
          <w:lang w:val="en-US"/>
        </w:rPr>
        <w:t>re composed of CD4+ and CD8+ cells, roughly in</w:t>
      </w:r>
      <w:r w:rsidR="00043991">
        <w:rPr>
          <w:rFonts w:ascii="Arial" w:hAnsi="Arial" w:cs="Arial"/>
          <w:i w:val="0"/>
          <w:color w:val="auto"/>
          <w:lang w:val="en-US"/>
        </w:rPr>
        <w:t xml:space="preserve"> a</w:t>
      </w:r>
      <w:r w:rsidR="00594ECC">
        <w:rPr>
          <w:rFonts w:ascii="Arial" w:hAnsi="Arial" w:cs="Arial"/>
          <w:i w:val="0"/>
          <w:color w:val="auto"/>
          <w:lang w:val="en-US"/>
        </w:rPr>
        <w:t xml:space="preserve"> 2:1 ratio.</w:t>
      </w:r>
      <w:r w:rsidR="00043991">
        <w:rPr>
          <w:rFonts w:ascii="Arial" w:hAnsi="Arial" w:cs="Arial"/>
          <w:i w:val="0"/>
          <w:color w:val="auto"/>
          <w:lang w:val="en-US"/>
        </w:rPr>
        <w:t xml:space="preserve"> After T cell isolation, naïve T cells were analyzed using the same antibody panel for immune phenotyping</w:t>
      </w:r>
      <w:r w:rsidR="00E05901">
        <w:rPr>
          <w:rFonts w:ascii="Arial" w:hAnsi="Arial" w:cs="Arial"/>
          <w:i w:val="0"/>
          <w:color w:val="auto"/>
          <w:lang w:val="en-US"/>
        </w:rPr>
        <w:t>,</w:t>
      </w:r>
      <w:r w:rsidR="00043991">
        <w:rPr>
          <w:rFonts w:ascii="Arial" w:hAnsi="Arial" w:cs="Arial"/>
          <w:i w:val="0"/>
          <w:color w:val="auto"/>
          <w:lang w:val="en-US"/>
        </w:rPr>
        <w:t xml:space="preserve"> indicating high purity of the T cell population by CD3+/CD4+/CD8+ cells.</w:t>
      </w:r>
      <w:r w:rsidR="00E616C1">
        <w:rPr>
          <w:rFonts w:ascii="Arial" w:hAnsi="Arial" w:cs="Arial"/>
          <w:i w:val="0"/>
          <w:color w:val="auto"/>
          <w:lang w:val="en-US"/>
        </w:rPr>
        <w:t xml:space="preserve"> References for cell numbers: </w:t>
      </w:r>
      <w:sdt>
        <w:sdtPr>
          <w:rPr>
            <w:rFonts w:ascii="Arial" w:hAnsi="Arial" w:cs="Arial"/>
            <w:i w:val="0"/>
            <w:color w:val="auto"/>
            <w:lang w:val="en-US"/>
          </w:rPr>
          <w:alias w:val="To edit, see citavi.com/edit"/>
          <w:tag w:val="CitaviPlaceholder#b44de170-21a3-4ad6-9c0c-17d58b5664fb"/>
          <w:id w:val="1394929517"/>
          <w:placeholder>
            <w:docPart w:val="DefaultPlaceholder_-1854013440"/>
          </w:placeholder>
        </w:sdtPr>
        <w:sdtEndPr/>
        <w:sdtContent>
          <w:r w:rsidR="00E616C1">
            <w:rPr>
              <w:rFonts w:ascii="Arial" w:hAnsi="Arial" w:cs="Arial"/>
              <w:i w:val="0"/>
              <w:color w:val="auto"/>
              <w:lang w:val="en-US"/>
            </w:rPr>
            <w:fldChar w:fldCharType="begin"/>
          </w:r>
          <w:r w:rsidR="00C34F4E">
            <w:rPr>
              <w:rFonts w:ascii="Arial" w:hAnsi="Arial" w:cs="Arial"/>
              <w:i w:val="0"/>
              <w:color w:val="auto"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lYzg2MzFhLWVjNWYtNDI0ZC05NjA0LWE2OTY4ZjA4OTYzNCIsIlJhbmdlTGVuZ3RoIjoxNiwiUmVmZXJlbmNlSWQiOiJjMWM0NDVhYi01M2RlLTRmOTMtYTJkNi02NDliZTQ2MTgyZG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oYXJsb3R0ZSIsIkxhc3ROYW1lIjoiS2xlaXZlbGFuZCIsIk1pZGRsZU5hbWUiOiJSLiIsIlByb3RlY3RlZCI6ZmFsc2UsIlNleCI6MSwiQ3JlYXRlZEJ5IjoiX1NhbmR5IFRyZXRiYXIiLCJDcmVhdGVkT24iOiIyMDIzLTAxLTA1VDE2OjU0OjQyIiwiTW9kaWZpZWRCeSI6Il9TYW5keSBUcmV0YmFyIiwiSWQiOiI1ODQyYTk5NS1lNzNkLTRhMWItYjFkMS0yMWUxYWVlM2JjMTQiLCJNb2RpZmllZE9uIjoiMjAyMy0wMS0wNVQxNjo1NDo0Mi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yLCJPcmlnaW5hbFN0cmluZyI6IkM6XFxVc2Vyc1xcc2FuZHkudHJldGJhclxcQXBwRGF0YVxcTG9jYWxcXFRlbXBcXDMwcWl1ZHRhLmpwZyIsIlVyaVN0cmluZyI6ImMxYzQ0NWFiLTUzZGUtNGY5My1hMmQ2LTY0OWJlNDYxODJkZC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yOTc4NzA2MiIsIlVyaVN0cmluZyI6Imh0dHA6Ly93d3cubmNiaS5ubG0ubmloLmdvdi9wdWJtZWQvMjk3ODcwNjI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NhbmR5IFRyZXRiYXIiLCJDcmVhdGVkT24iOiIyMDIzLTAxLTA1VDE2OjU0OjQyIiwiTW9kaWZpZWRCeSI6Il9TYW5keSBUcmV0YmFyIiwiSWQiOiIwNjBkZjc2Yy1kOTUwLTQ0MWUtOTNmYy02Nzk4NWEwYjk3YjYiLCJNb2RpZmllZE9uIjoiMjAyMy0wMS0wNVQxNjo1NDo0Mi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jEwLjEwMDcvOTc4LTMtMzE5LTE2MTA0LTRfMTUiLCJVcmlTdHJpbmciOiJodHRwczovL2RvaS5vcmcvMTAuMTAwNy85NzgtMy0zMTktMTYxMDQtNF8xN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}</w:instrText>
          </w:r>
          <w:r w:rsidR="00E616C1">
            <w:rPr>
              <w:rFonts w:ascii="Arial" w:hAnsi="Arial" w:cs="Arial"/>
              <w:i w:val="0"/>
              <w:color w:val="auto"/>
              <w:lang w:val="en-US"/>
            </w:rPr>
            <w:fldChar w:fldCharType="separate"/>
          </w:r>
          <w:proofErr w:type="spellStart"/>
          <w:r w:rsidR="00E616C1" w:rsidRPr="00E616C1">
            <w:rPr>
              <w:rFonts w:ascii="Arial" w:hAnsi="Arial" w:cs="Arial"/>
              <w:i w:val="0"/>
              <w:color w:val="auto"/>
              <w:lang w:val="en-US"/>
            </w:rPr>
            <w:t>Kleiveland</w:t>
          </w:r>
          <w:proofErr w:type="spellEnd"/>
          <w:r w:rsidR="00E616C1" w:rsidRPr="00E616C1">
            <w:rPr>
              <w:rFonts w:ascii="Arial" w:hAnsi="Arial" w:cs="Arial"/>
              <w:i w:val="0"/>
              <w:color w:val="auto"/>
              <w:lang w:val="en-US"/>
            </w:rPr>
            <w:t xml:space="preserve"> 2015; </w:t>
          </w:r>
          <w:proofErr w:type="spellStart"/>
          <w:r w:rsidR="00E616C1" w:rsidRPr="00E616C1">
            <w:rPr>
              <w:rFonts w:ascii="Arial" w:hAnsi="Arial" w:cs="Arial"/>
              <w:i w:val="0"/>
              <w:color w:val="auto"/>
              <w:lang w:val="en-US"/>
            </w:rPr>
            <w:t>Miltenyi</w:t>
          </w:r>
          <w:proofErr w:type="spellEnd"/>
          <w:r w:rsidR="00E616C1" w:rsidRPr="00E616C1">
            <w:rPr>
              <w:rFonts w:ascii="Arial" w:hAnsi="Arial" w:cs="Arial"/>
              <w:i w:val="0"/>
              <w:color w:val="auto"/>
              <w:lang w:val="en-US"/>
            </w:rPr>
            <w:t xml:space="preserve"> </w:t>
          </w:r>
          <w:proofErr w:type="spellStart"/>
          <w:r w:rsidR="00E616C1" w:rsidRPr="00E616C1">
            <w:rPr>
              <w:rFonts w:ascii="Arial" w:hAnsi="Arial" w:cs="Arial"/>
              <w:i w:val="0"/>
              <w:color w:val="auto"/>
              <w:lang w:val="en-US"/>
            </w:rPr>
            <w:t>Biotec</w:t>
          </w:r>
          <w:proofErr w:type="spellEnd"/>
          <w:r w:rsidR="00E616C1">
            <w:rPr>
              <w:rFonts w:ascii="Arial" w:hAnsi="Arial" w:cs="Arial"/>
              <w:i w:val="0"/>
              <w:color w:val="auto"/>
              <w:lang w:val="en-US"/>
            </w:rPr>
            <w:fldChar w:fldCharType="end"/>
          </w:r>
          <w:r w:rsidR="00E616C1">
            <w:rPr>
              <w:rFonts w:ascii="Arial" w:hAnsi="Arial" w:cs="Arial"/>
              <w:i w:val="0"/>
              <w:color w:val="auto"/>
              <w:lang w:val="en-US"/>
            </w:rPr>
            <w:t>.</w:t>
          </w:r>
        </w:sdtContent>
      </w:sdt>
    </w:p>
    <w:p w14:paraId="71C6DB5E" w14:textId="67BE953E" w:rsidR="00277A81" w:rsidRPr="003A4DAC" w:rsidRDefault="008E618D" w:rsidP="00277A81">
      <w:pPr>
        <w:keepNext/>
        <w:rPr>
          <w:lang w:val="en-US"/>
        </w:rPr>
      </w:pPr>
      <w:r w:rsidRPr="008E618D">
        <w:rPr>
          <w:noProof/>
          <w:lang w:val="en-US"/>
        </w:rPr>
        <w:drawing>
          <wp:inline distT="0" distB="0" distL="0" distR="0" wp14:anchorId="157066DC" wp14:editId="5C454D06">
            <wp:extent cx="4391025" cy="2206161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7381" cy="221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DAC" w:rsidRPr="003A4DAC">
        <w:rPr>
          <w:lang w:val="en-US"/>
        </w:rPr>
        <w:br w:type="textWrapping" w:clear="all"/>
      </w:r>
    </w:p>
    <w:p w14:paraId="4D569D46" w14:textId="079A84DE" w:rsidR="005C4ACF" w:rsidRDefault="00277A81" w:rsidP="002B34DD">
      <w:pPr>
        <w:pStyle w:val="Beschriftung"/>
        <w:jc w:val="both"/>
        <w:rPr>
          <w:rFonts w:ascii="Arial" w:hAnsi="Arial" w:cs="Arial"/>
          <w:lang w:val="en-US"/>
        </w:rPr>
      </w:pPr>
      <w:r w:rsidRPr="00277A81">
        <w:rPr>
          <w:rFonts w:ascii="Arial" w:hAnsi="Arial" w:cs="Arial"/>
          <w:b/>
          <w:i w:val="0"/>
          <w:color w:val="auto"/>
          <w:lang w:val="en-US"/>
        </w:rPr>
        <w:t>Figure S</w:t>
      </w:r>
      <w:r w:rsidR="007F184D">
        <w:rPr>
          <w:rFonts w:ascii="Arial" w:hAnsi="Arial" w:cs="Arial"/>
          <w:b/>
          <w:i w:val="0"/>
          <w:color w:val="auto"/>
          <w:lang w:val="en-US"/>
        </w:rPr>
        <w:t>3</w:t>
      </w:r>
      <w:r w:rsidRPr="00277A81">
        <w:rPr>
          <w:rFonts w:ascii="Arial" w:hAnsi="Arial" w:cs="Arial"/>
          <w:b/>
          <w:i w:val="0"/>
          <w:color w:val="auto"/>
          <w:lang w:val="en-US"/>
        </w:rPr>
        <w:t>: T cell expa</w:t>
      </w:r>
      <w:r w:rsidRPr="00277A81">
        <w:rPr>
          <w:rFonts w:ascii="Arial" w:hAnsi="Arial" w:cs="Arial"/>
          <w:b/>
          <w:i w:val="0"/>
          <w:color w:val="auto"/>
          <w:lang w:val="en-US"/>
        </w:rPr>
        <w:t>nsion rates of four individual donors in two different media.</w:t>
      </w:r>
      <w:r>
        <w:rPr>
          <w:rFonts w:ascii="Arial" w:hAnsi="Arial" w:cs="Arial"/>
          <w:b/>
          <w:i w:val="0"/>
          <w:color w:val="auto"/>
          <w:lang w:val="en-US"/>
        </w:rPr>
        <w:t xml:space="preserve"> </w:t>
      </w:r>
      <w:r w:rsidRPr="00517B02">
        <w:rPr>
          <w:rFonts w:ascii="Arial" w:hAnsi="Arial" w:cs="Arial"/>
          <w:i w:val="0"/>
          <w:color w:val="auto"/>
          <w:lang w:val="en-US"/>
        </w:rPr>
        <w:t xml:space="preserve">Primary T cells of four healthy donors were monitored for cell expansion over </w:t>
      </w:r>
      <w:r w:rsidR="000E6A8F">
        <w:rPr>
          <w:rFonts w:ascii="Arial" w:hAnsi="Arial" w:cs="Arial"/>
          <w:i w:val="0"/>
          <w:color w:val="auto"/>
          <w:lang w:val="en-US"/>
        </w:rPr>
        <w:t>eight</w:t>
      </w:r>
      <w:r w:rsidRPr="00517B02">
        <w:rPr>
          <w:rFonts w:ascii="Arial" w:hAnsi="Arial" w:cs="Arial"/>
          <w:i w:val="0"/>
          <w:color w:val="auto"/>
          <w:lang w:val="en-US"/>
        </w:rPr>
        <w:t xml:space="preserve"> days. </w:t>
      </w:r>
      <w:r w:rsidR="00084B9D">
        <w:rPr>
          <w:rFonts w:ascii="Arial" w:hAnsi="Arial" w:cs="Arial"/>
          <w:i w:val="0"/>
          <w:color w:val="auto"/>
          <w:lang w:val="en-US"/>
        </w:rPr>
        <w:t xml:space="preserve">Cells were </w:t>
      </w:r>
      <w:r w:rsidR="00084B9D" w:rsidRPr="00084B9D">
        <w:rPr>
          <w:rFonts w:ascii="Arial" w:hAnsi="Arial" w:cs="Arial"/>
          <w:i w:val="0"/>
          <w:color w:val="auto"/>
          <w:lang w:val="en-US"/>
        </w:rPr>
        <w:t xml:space="preserve">either cultured </w:t>
      </w:r>
      <w:r w:rsidR="007E21AA">
        <w:rPr>
          <w:rFonts w:ascii="Arial" w:hAnsi="Arial" w:cs="Arial"/>
          <w:i w:val="0"/>
          <w:color w:val="auto"/>
          <w:lang w:val="en-US"/>
        </w:rPr>
        <w:t>according to protocol</w:t>
      </w:r>
      <w:r w:rsidR="002B34DD">
        <w:rPr>
          <w:rFonts w:ascii="Arial" w:hAnsi="Arial" w:cs="Arial"/>
          <w:i w:val="0"/>
          <w:color w:val="auto"/>
          <w:lang w:val="en-US"/>
        </w:rPr>
        <w:t xml:space="preserve"> A</w:t>
      </w:r>
      <w:r w:rsidR="00084B9D" w:rsidRPr="00084B9D">
        <w:rPr>
          <w:rFonts w:ascii="Arial" w:hAnsi="Arial" w:cs="Arial"/>
          <w:i w:val="0"/>
          <w:color w:val="auto"/>
          <w:lang w:val="en-US"/>
        </w:rPr>
        <w:t xml:space="preserve"> (</w:t>
      </w:r>
      <w:r w:rsidR="002B34DD">
        <w:rPr>
          <w:rFonts w:ascii="Arial" w:hAnsi="Arial" w:cs="Arial"/>
          <w:i w:val="0"/>
          <w:color w:val="auto"/>
          <w:lang w:val="en-US"/>
        </w:rPr>
        <w:t>blue</w:t>
      </w:r>
      <w:r w:rsidR="00084B9D" w:rsidRPr="00084B9D">
        <w:rPr>
          <w:rFonts w:ascii="Arial" w:hAnsi="Arial" w:cs="Arial"/>
          <w:i w:val="0"/>
          <w:color w:val="auto"/>
          <w:lang w:val="en-US"/>
        </w:rPr>
        <w:t xml:space="preserve">) or </w:t>
      </w:r>
      <w:r w:rsidR="006E074E">
        <w:rPr>
          <w:rFonts w:ascii="Arial" w:hAnsi="Arial" w:cs="Arial"/>
          <w:i w:val="0"/>
          <w:color w:val="auto"/>
          <w:lang w:val="en-US"/>
        </w:rPr>
        <w:t>protocol</w:t>
      </w:r>
      <w:r w:rsidR="002B34DD">
        <w:rPr>
          <w:rFonts w:ascii="Arial" w:hAnsi="Arial" w:cs="Arial"/>
          <w:i w:val="0"/>
          <w:color w:val="auto"/>
          <w:lang w:val="en-US"/>
        </w:rPr>
        <w:t xml:space="preserve"> B</w:t>
      </w:r>
      <w:r w:rsidR="00084B9D" w:rsidRPr="00084B9D">
        <w:rPr>
          <w:rFonts w:ascii="Arial" w:hAnsi="Arial" w:cs="Arial"/>
          <w:i w:val="0"/>
          <w:color w:val="auto"/>
          <w:lang w:val="en-US"/>
        </w:rPr>
        <w:t xml:space="preserve"> (</w:t>
      </w:r>
      <w:r w:rsidR="002B34DD">
        <w:rPr>
          <w:rFonts w:ascii="Arial" w:hAnsi="Arial" w:cs="Arial"/>
          <w:i w:val="0"/>
          <w:color w:val="auto"/>
          <w:lang w:val="en-US"/>
        </w:rPr>
        <w:t>green</w:t>
      </w:r>
      <w:r w:rsidR="00084B9D" w:rsidRPr="00084B9D">
        <w:rPr>
          <w:rFonts w:ascii="Arial" w:hAnsi="Arial" w:cs="Arial"/>
          <w:i w:val="0"/>
          <w:color w:val="auto"/>
          <w:lang w:val="en-US"/>
        </w:rPr>
        <w:t xml:space="preserve">). </w:t>
      </w:r>
      <w:r w:rsidR="002B34DD">
        <w:rPr>
          <w:rFonts w:ascii="Arial" w:hAnsi="Arial" w:cs="Arial"/>
          <w:i w:val="0"/>
          <w:color w:val="auto"/>
          <w:lang w:val="en-US"/>
        </w:rPr>
        <w:t xml:space="preserve">T </w:t>
      </w:r>
      <w:r w:rsidR="00DE44B2">
        <w:rPr>
          <w:rFonts w:ascii="Arial" w:hAnsi="Arial" w:cs="Arial"/>
          <w:i w:val="0"/>
          <w:color w:val="auto"/>
          <w:lang w:val="en-US"/>
        </w:rPr>
        <w:t>c</w:t>
      </w:r>
      <w:r w:rsidRPr="00517B02">
        <w:rPr>
          <w:rFonts w:ascii="Arial" w:hAnsi="Arial" w:cs="Arial"/>
          <w:i w:val="0"/>
          <w:color w:val="auto"/>
          <w:lang w:val="en-US"/>
        </w:rPr>
        <w:t xml:space="preserve">ells were </w:t>
      </w:r>
      <w:r w:rsidR="002B34DD">
        <w:rPr>
          <w:rFonts w:ascii="Arial" w:hAnsi="Arial" w:cs="Arial"/>
          <w:i w:val="0"/>
          <w:color w:val="auto"/>
          <w:lang w:val="en-US"/>
        </w:rPr>
        <w:t xml:space="preserve">cultured at 37 °C and </w:t>
      </w:r>
      <w:r w:rsidR="000E6A8F">
        <w:rPr>
          <w:rFonts w:ascii="Arial" w:hAnsi="Arial" w:cs="Arial"/>
          <w:i w:val="0"/>
          <w:color w:val="auto"/>
          <w:lang w:val="en-US"/>
        </w:rPr>
        <w:t>37</w:t>
      </w:r>
      <w:r w:rsidR="000E6A8F">
        <w:rPr>
          <w:lang w:val="en-US"/>
        </w:rPr>
        <w:t> </w:t>
      </w:r>
      <w:r w:rsidR="002B34DD">
        <w:rPr>
          <w:rFonts w:ascii="Arial" w:hAnsi="Arial" w:cs="Arial"/>
          <w:i w:val="0"/>
          <w:color w:val="auto"/>
          <w:lang w:val="en-US"/>
        </w:rPr>
        <w:t>% CO</w:t>
      </w:r>
      <w:r w:rsidR="002B34DD" w:rsidRPr="002B34DD">
        <w:rPr>
          <w:rFonts w:ascii="Arial" w:hAnsi="Arial" w:cs="Arial"/>
          <w:i w:val="0"/>
          <w:color w:val="auto"/>
          <w:vertAlign w:val="subscript"/>
          <w:lang w:val="en-US"/>
        </w:rPr>
        <w:t>2</w:t>
      </w:r>
      <w:r w:rsidR="002B34DD">
        <w:rPr>
          <w:rFonts w:ascii="Arial" w:hAnsi="Arial" w:cs="Arial"/>
          <w:i w:val="0"/>
          <w:color w:val="auto"/>
          <w:lang w:val="en-US"/>
        </w:rPr>
        <w:t xml:space="preserve"> for up to </w:t>
      </w:r>
      <w:r w:rsidR="000E6A8F">
        <w:rPr>
          <w:rFonts w:ascii="Arial" w:hAnsi="Arial" w:cs="Arial"/>
          <w:i w:val="0"/>
          <w:color w:val="auto"/>
          <w:lang w:val="en-US"/>
        </w:rPr>
        <w:t>eight</w:t>
      </w:r>
      <w:r w:rsidR="002B34DD">
        <w:rPr>
          <w:rFonts w:ascii="Arial" w:hAnsi="Arial" w:cs="Arial"/>
          <w:i w:val="0"/>
          <w:color w:val="auto"/>
          <w:lang w:val="en-US"/>
        </w:rPr>
        <w:t xml:space="preserve"> days. </w:t>
      </w:r>
      <w:bookmarkStart w:id="1" w:name="_Hlk129939939"/>
      <w:r w:rsidR="009224B1">
        <w:rPr>
          <w:rFonts w:ascii="Arial" w:hAnsi="Arial" w:cs="Arial"/>
          <w:i w:val="0"/>
          <w:color w:val="auto"/>
          <w:lang w:val="en-US"/>
        </w:rPr>
        <w:t xml:space="preserve">Values are displayed as one biological experiment (n =1). </w:t>
      </w:r>
      <w:bookmarkEnd w:id="1"/>
    </w:p>
    <w:p w14:paraId="4D569D47" w14:textId="21DB7183" w:rsidR="00BC51F3" w:rsidRPr="002B34DD" w:rsidRDefault="00BC51F3" w:rsidP="00BC51F3">
      <w:pPr>
        <w:keepNext/>
        <w:jc w:val="both"/>
        <w:rPr>
          <w:lang w:val="en-US"/>
        </w:rPr>
      </w:pPr>
    </w:p>
    <w:p w14:paraId="4D569D49" w14:textId="4945BF67" w:rsidR="009314CE" w:rsidRDefault="009314CE">
      <w:pPr>
        <w:rPr>
          <w:lang w:val="en-US"/>
        </w:rPr>
      </w:pPr>
    </w:p>
    <w:p w14:paraId="13CCB806" w14:textId="2FBC7D58" w:rsidR="00277A81" w:rsidRDefault="00277A81">
      <w:pPr>
        <w:rPr>
          <w:lang w:val="en-US"/>
        </w:rPr>
      </w:pPr>
    </w:p>
    <w:p w14:paraId="6D217787" w14:textId="37F358B9" w:rsidR="00277A81" w:rsidRDefault="00277A81">
      <w:pPr>
        <w:rPr>
          <w:lang w:val="en-US"/>
        </w:rPr>
      </w:pPr>
    </w:p>
    <w:p w14:paraId="5FD5B6FF" w14:textId="070AEE6D" w:rsidR="000A3CA2" w:rsidRPr="000A3CA2" w:rsidRDefault="000A3CA2" w:rsidP="000A3CA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7CC2F2C" wp14:editId="53EDFFF8">
            <wp:extent cx="4791075" cy="4569339"/>
            <wp:effectExtent l="0" t="0" r="0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649" cy="457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69D4D" w14:textId="2428171C" w:rsidR="00255B56" w:rsidRPr="00E34813" w:rsidRDefault="00BC51F3" w:rsidP="00E34813">
      <w:pPr>
        <w:pStyle w:val="Beschriftung"/>
        <w:jc w:val="both"/>
        <w:rPr>
          <w:rFonts w:ascii="Arial" w:hAnsi="Arial" w:cs="Arial"/>
          <w:i w:val="0"/>
          <w:color w:val="auto"/>
          <w:lang w:val="en-US"/>
        </w:rPr>
      </w:pPr>
      <w:r w:rsidRPr="00E34813">
        <w:rPr>
          <w:rFonts w:ascii="Arial" w:hAnsi="Arial" w:cs="Arial"/>
          <w:b/>
          <w:i w:val="0"/>
          <w:color w:val="auto"/>
          <w:lang w:val="en-US"/>
        </w:rPr>
        <w:t>Figure S</w:t>
      </w:r>
      <w:r w:rsidR="007F184D">
        <w:rPr>
          <w:rFonts w:ascii="Arial" w:hAnsi="Arial" w:cs="Arial"/>
          <w:b/>
          <w:i w:val="0"/>
          <w:color w:val="auto"/>
          <w:lang w:val="en-US"/>
        </w:rPr>
        <w:t>4</w:t>
      </w:r>
      <w:r w:rsidR="00EB729D" w:rsidRPr="00E34813">
        <w:rPr>
          <w:rFonts w:ascii="Arial" w:hAnsi="Arial" w:cs="Arial"/>
          <w:b/>
          <w:i w:val="0"/>
          <w:color w:val="auto"/>
          <w:lang w:val="en-US"/>
        </w:rPr>
        <w:t xml:space="preserve">: Electroporation of primary T cells </w:t>
      </w:r>
      <w:r w:rsidR="00EB729D" w:rsidRPr="00E34813">
        <w:rPr>
          <w:rFonts w:ascii="Arial" w:hAnsi="Arial" w:cs="Arial"/>
          <w:b/>
          <w:i w:val="0"/>
          <w:color w:val="auto"/>
          <w:lang w:val="en-US"/>
        </w:rPr>
        <w:t xml:space="preserve">with EGFP-mRNA using different </w:t>
      </w:r>
      <w:r w:rsidR="006D73A0" w:rsidRPr="00E34813">
        <w:rPr>
          <w:rFonts w:ascii="Arial" w:hAnsi="Arial" w:cs="Arial"/>
          <w:b/>
          <w:i w:val="0"/>
          <w:color w:val="auto"/>
          <w:lang w:val="en-US"/>
        </w:rPr>
        <w:t>electroporation parameters (</w:t>
      </w:r>
      <w:r w:rsidR="00EB729D" w:rsidRPr="00E34813">
        <w:rPr>
          <w:rFonts w:ascii="Arial" w:hAnsi="Arial" w:cs="Arial"/>
          <w:b/>
          <w:i w:val="0"/>
          <w:color w:val="auto"/>
          <w:lang w:val="en-US"/>
        </w:rPr>
        <w:t>pulse codes</w:t>
      </w:r>
      <w:r w:rsidR="006D73A0" w:rsidRPr="00E34813">
        <w:rPr>
          <w:rFonts w:ascii="Arial" w:hAnsi="Arial" w:cs="Arial"/>
          <w:b/>
          <w:i w:val="0"/>
          <w:color w:val="auto"/>
          <w:lang w:val="en-US"/>
        </w:rPr>
        <w:t>)</w:t>
      </w:r>
      <w:r w:rsidR="00EB729D" w:rsidRPr="00E34813">
        <w:rPr>
          <w:rFonts w:ascii="Arial" w:hAnsi="Arial" w:cs="Arial"/>
          <w:b/>
          <w:i w:val="0"/>
          <w:color w:val="auto"/>
          <w:lang w:val="en-US"/>
        </w:rPr>
        <w:t>.</w:t>
      </w:r>
      <w:r w:rsidR="00EB729D" w:rsidRPr="00E34813">
        <w:rPr>
          <w:rFonts w:ascii="Arial" w:hAnsi="Arial" w:cs="Arial"/>
          <w:i w:val="0"/>
          <w:color w:val="auto"/>
          <w:lang w:val="en-US"/>
        </w:rPr>
        <w:t xml:space="preserve"> </w:t>
      </w:r>
      <w:r w:rsidR="00F80648" w:rsidRPr="00E34813">
        <w:rPr>
          <w:rFonts w:ascii="Arial" w:hAnsi="Arial" w:cs="Arial"/>
          <w:i w:val="0"/>
          <w:color w:val="auto"/>
          <w:lang w:val="en-US"/>
        </w:rPr>
        <w:t xml:space="preserve">Freshly prepared </w:t>
      </w:r>
      <w:r w:rsidR="00EB729D" w:rsidRPr="00E34813">
        <w:rPr>
          <w:rFonts w:ascii="Arial" w:hAnsi="Arial" w:cs="Arial"/>
          <w:i w:val="0"/>
          <w:color w:val="auto"/>
          <w:lang w:val="en-US"/>
        </w:rPr>
        <w:t xml:space="preserve">T cells </w:t>
      </w:r>
      <w:r w:rsidR="00F80648" w:rsidRPr="00E34813">
        <w:rPr>
          <w:rFonts w:ascii="Arial" w:hAnsi="Arial" w:cs="Arial"/>
          <w:i w:val="0"/>
          <w:color w:val="auto"/>
          <w:lang w:val="en-US"/>
        </w:rPr>
        <w:t xml:space="preserve">were stimulated and cultured </w:t>
      </w:r>
      <w:r w:rsidR="006E074E">
        <w:rPr>
          <w:rFonts w:ascii="Arial" w:hAnsi="Arial" w:cs="Arial"/>
          <w:i w:val="0"/>
          <w:color w:val="auto"/>
          <w:lang w:val="en-US"/>
        </w:rPr>
        <w:t xml:space="preserve">according to protocol A up to </w:t>
      </w:r>
      <w:r w:rsidR="00BC42CC">
        <w:rPr>
          <w:rFonts w:ascii="Arial" w:hAnsi="Arial" w:cs="Arial"/>
          <w:i w:val="0"/>
          <w:color w:val="auto"/>
          <w:lang w:val="en-US"/>
        </w:rPr>
        <w:t>seven</w:t>
      </w:r>
      <w:r w:rsidR="00BC42CC" w:rsidRPr="00E34813">
        <w:rPr>
          <w:rFonts w:ascii="Arial" w:hAnsi="Arial" w:cs="Arial"/>
          <w:i w:val="0"/>
          <w:color w:val="auto"/>
          <w:lang w:val="en-US"/>
        </w:rPr>
        <w:t xml:space="preserve"> </w:t>
      </w:r>
      <w:r w:rsidR="00F80648" w:rsidRPr="00E34813">
        <w:rPr>
          <w:rFonts w:ascii="Arial" w:hAnsi="Arial" w:cs="Arial"/>
          <w:i w:val="0"/>
          <w:color w:val="auto"/>
          <w:lang w:val="en-US"/>
        </w:rPr>
        <w:t>days before electroporation with commercially available EGFP-mRNA (</w:t>
      </w:r>
      <w:proofErr w:type="spellStart"/>
      <w:r w:rsidR="00F80648" w:rsidRPr="00E34813">
        <w:rPr>
          <w:rFonts w:ascii="Arial" w:hAnsi="Arial" w:cs="Arial"/>
          <w:i w:val="0"/>
          <w:color w:val="auto"/>
          <w:lang w:val="en-US"/>
        </w:rPr>
        <w:t>Tri</w:t>
      </w:r>
      <w:r w:rsidR="00E616C1">
        <w:rPr>
          <w:rFonts w:ascii="Arial" w:hAnsi="Arial" w:cs="Arial"/>
          <w:i w:val="0"/>
          <w:color w:val="auto"/>
          <w:lang w:val="en-US"/>
        </w:rPr>
        <w:t>L</w:t>
      </w:r>
      <w:r w:rsidR="00F80648" w:rsidRPr="00E34813">
        <w:rPr>
          <w:rFonts w:ascii="Arial" w:hAnsi="Arial" w:cs="Arial"/>
          <w:i w:val="0"/>
          <w:color w:val="auto"/>
          <w:lang w:val="en-US"/>
        </w:rPr>
        <w:t>ink</w:t>
      </w:r>
      <w:proofErr w:type="spellEnd"/>
      <w:r w:rsidR="00F80648" w:rsidRPr="00E34813">
        <w:rPr>
          <w:rFonts w:ascii="Arial" w:hAnsi="Arial" w:cs="Arial"/>
          <w:i w:val="0"/>
          <w:color w:val="auto"/>
          <w:lang w:val="en-US"/>
        </w:rPr>
        <w:t xml:space="preserve">). A total of </w:t>
      </w:r>
      <w:r w:rsidR="00BC42CC">
        <w:rPr>
          <w:rFonts w:ascii="Arial" w:hAnsi="Arial" w:cs="Arial"/>
          <w:i w:val="0"/>
          <w:color w:val="auto"/>
          <w:lang w:val="en-US"/>
        </w:rPr>
        <w:t>nine</w:t>
      </w:r>
      <w:r w:rsidR="00BC42CC" w:rsidRPr="00E34813">
        <w:rPr>
          <w:rFonts w:ascii="Arial" w:hAnsi="Arial" w:cs="Arial"/>
          <w:i w:val="0"/>
          <w:color w:val="auto"/>
          <w:lang w:val="en-US"/>
        </w:rPr>
        <w:t xml:space="preserve"> </w:t>
      </w:r>
      <w:r w:rsidR="00F80648" w:rsidRPr="00E34813">
        <w:rPr>
          <w:rFonts w:ascii="Arial" w:hAnsi="Arial" w:cs="Arial"/>
          <w:i w:val="0"/>
          <w:color w:val="auto"/>
          <w:lang w:val="en-US"/>
        </w:rPr>
        <w:t>different pulse codes were tested</w:t>
      </w:r>
      <w:r w:rsidR="006D73A0" w:rsidRPr="00E34813">
        <w:rPr>
          <w:rFonts w:ascii="Arial" w:hAnsi="Arial" w:cs="Arial"/>
          <w:i w:val="0"/>
          <w:color w:val="auto"/>
          <w:lang w:val="en-US"/>
        </w:rPr>
        <w:t>.</w:t>
      </w:r>
      <w:r w:rsidR="004A4185" w:rsidRPr="00E34813">
        <w:rPr>
          <w:rFonts w:ascii="Arial" w:hAnsi="Arial" w:cs="Arial"/>
          <w:i w:val="0"/>
          <w:color w:val="auto"/>
          <w:lang w:val="en-US"/>
        </w:rPr>
        <w:t xml:space="preserve"> </w:t>
      </w:r>
      <w:r w:rsidR="00F80648" w:rsidRPr="00E34813">
        <w:rPr>
          <w:rFonts w:ascii="Arial" w:hAnsi="Arial" w:cs="Arial"/>
          <w:i w:val="0"/>
          <w:color w:val="auto"/>
          <w:lang w:val="en-US"/>
        </w:rPr>
        <w:t xml:space="preserve">The </w:t>
      </w:r>
      <w:r w:rsidR="004A4185" w:rsidRPr="00E34813">
        <w:rPr>
          <w:rFonts w:ascii="Arial" w:hAnsi="Arial" w:cs="Arial"/>
          <w:i w:val="0"/>
          <w:color w:val="auto"/>
          <w:lang w:val="en-US"/>
        </w:rPr>
        <w:t>transfection</w:t>
      </w:r>
      <w:r w:rsidR="00F80648" w:rsidRPr="00E34813">
        <w:rPr>
          <w:rFonts w:ascii="Arial" w:hAnsi="Arial" w:cs="Arial"/>
          <w:i w:val="0"/>
          <w:color w:val="auto"/>
          <w:lang w:val="en-US"/>
        </w:rPr>
        <w:t xml:space="preserve"> efficiency (percentage of EGFP</w:t>
      </w:r>
      <w:r w:rsidR="00E34813">
        <w:rPr>
          <w:rFonts w:ascii="Arial" w:hAnsi="Arial" w:cs="Arial"/>
          <w:i w:val="0"/>
          <w:color w:val="auto"/>
          <w:lang w:val="en-US"/>
        </w:rPr>
        <w:t>-</w:t>
      </w:r>
      <w:r w:rsidR="00F80648" w:rsidRPr="00E34813">
        <w:rPr>
          <w:rFonts w:ascii="Arial" w:hAnsi="Arial" w:cs="Arial"/>
          <w:i w:val="0"/>
          <w:color w:val="auto"/>
          <w:lang w:val="en-US"/>
        </w:rPr>
        <w:t>positive cells</w:t>
      </w:r>
      <w:r w:rsidR="00E34813">
        <w:rPr>
          <w:rFonts w:ascii="Arial" w:hAnsi="Arial" w:cs="Arial"/>
          <w:i w:val="0"/>
          <w:color w:val="auto"/>
          <w:lang w:val="en-US"/>
        </w:rPr>
        <w:t xml:space="preserve"> (GFP</w:t>
      </w:r>
      <w:r w:rsidR="00E34813" w:rsidRPr="00E67B26">
        <w:rPr>
          <w:rFonts w:ascii="Arial" w:hAnsi="Arial" w:cs="Arial"/>
          <w:i w:val="0"/>
          <w:color w:val="auto"/>
          <w:vertAlign w:val="superscript"/>
          <w:lang w:val="en-US"/>
        </w:rPr>
        <w:t>+</w:t>
      </w:r>
      <w:r w:rsidR="00E34813">
        <w:rPr>
          <w:rFonts w:ascii="Arial" w:hAnsi="Arial" w:cs="Arial"/>
          <w:i w:val="0"/>
          <w:color w:val="auto"/>
          <w:lang w:val="en-US"/>
        </w:rPr>
        <w:t>)</w:t>
      </w:r>
      <w:r w:rsidR="00F80648" w:rsidRPr="00E34813">
        <w:rPr>
          <w:rFonts w:ascii="Arial" w:hAnsi="Arial" w:cs="Arial"/>
          <w:i w:val="0"/>
          <w:color w:val="auto"/>
          <w:lang w:val="en-US"/>
        </w:rPr>
        <w:t xml:space="preserve">) and </w:t>
      </w:r>
      <w:r w:rsidR="00E34813">
        <w:rPr>
          <w:rFonts w:ascii="Arial" w:hAnsi="Arial" w:cs="Arial"/>
          <w:i w:val="0"/>
          <w:color w:val="auto"/>
          <w:lang w:val="en-US"/>
        </w:rPr>
        <w:t>viability</w:t>
      </w:r>
      <w:r w:rsidR="00E34813" w:rsidRPr="00E34813">
        <w:rPr>
          <w:rFonts w:ascii="Arial" w:hAnsi="Arial" w:cs="Arial"/>
          <w:i w:val="0"/>
          <w:color w:val="auto"/>
          <w:lang w:val="en-US"/>
        </w:rPr>
        <w:t xml:space="preserve"> </w:t>
      </w:r>
      <w:r w:rsidR="00F80648" w:rsidRPr="00E34813">
        <w:rPr>
          <w:rFonts w:ascii="Arial" w:hAnsi="Arial" w:cs="Arial"/>
          <w:i w:val="0"/>
          <w:color w:val="auto"/>
          <w:lang w:val="en-US"/>
        </w:rPr>
        <w:t>(percentage of 7-AAD-</w:t>
      </w:r>
      <w:r w:rsidR="00E34813">
        <w:rPr>
          <w:rFonts w:ascii="Arial" w:hAnsi="Arial" w:cs="Arial"/>
          <w:i w:val="0"/>
          <w:color w:val="auto"/>
          <w:lang w:val="en-US"/>
        </w:rPr>
        <w:t>negative</w:t>
      </w:r>
      <w:r w:rsidR="00F80648" w:rsidRPr="00E34813">
        <w:rPr>
          <w:rFonts w:ascii="Arial" w:hAnsi="Arial" w:cs="Arial"/>
          <w:i w:val="0"/>
          <w:color w:val="auto"/>
          <w:lang w:val="en-US"/>
        </w:rPr>
        <w:t xml:space="preserve"> cells</w:t>
      </w:r>
      <w:r w:rsidR="00E34813">
        <w:rPr>
          <w:rFonts w:ascii="Arial" w:hAnsi="Arial" w:cs="Arial"/>
          <w:i w:val="0"/>
          <w:color w:val="auto"/>
          <w:lang w:val="en-US"/>
        </w:rPr>
        <w:t xml:space="preserve"> (7-AAD</w:t>
      </w:r>
      <w:r w:rsidR="00E34813" w:rsidRPr="00E67B26">
        <w:rPr>
          <w:rFonts w:ascii="Arial" w:hAnsi="Arial" w:cs="Arial"/>
          <w:i w:val="0"/>
          <w:color w:val="auto"/>
          <w:vertAlign w:val="superscript"/>
          <w:lang w:val="en-US"/>
        </w:rPr>
        <w:t>-</w:t>
      </w:r>
      <w:r w:rsidR="00E34813">
        <w:rPr>
          <w:rFonts w:ascii="Arial" w:hAnsi="Arial" w:cs="Arial"/>
          <w:i w:val="0"/>
          <w:color w:val="auto"/>
          <w:lang w:val="en-US"/>
        </w:rPr>
        <w:t>)</w:t>
      </w:r>
      <w:r w:rsidR="00F80648" w:rsidRPr="00E34813">
        <w:rPr>
          <w:rFonts w:ascii="Arial" w:hAnsi="Arial" w:cs="Arial"/>
          <w:i w:val="0"/>
          <w:color w:val="auto"/>
          <w:lang w:val="en-US"/>
        </w:rPr>
        <w:t>) were measured via flow cytometry 24 h (A) and 48 h (B) after transfection.</w:t>
      </w:r>
      <w:r w:rsidR="004A4185" w:rsidRPr="00E34813">
        <w:rPr>
          <w:rFonts w:ascii="Arial" w:hAnsi="Arial" w:cs="Arial"/>
          <w:i w:val="0"/>
          <w:color w:val="auto"/>
          <w:lang w:val="en-US"/>
        </w:rPr>
        <w:t xml:space="preserve"> Untransfected cells mixed with mRNA were used as control (NPC). </w:t>
      </w:r>
      <w:r w:rsidR="006E074E" w:rsidRPr="00E34813">
        <w:rPr>
          <w:rFonts w:ascii="Arial" w:hAnsi="Arial" w:cs="Arial"/>
          <w:i w:val="0"/>
          <w:color w:val="auto"/>
          <w:lang w:val="en-US"/>
        </w:rPr>
        <w:t xml:space="preserve">Data represent the means (±SEM) of </w:t>
      </w:r>
      <w:r w:rsidR="00182C4A">
        <w:rPr>
          <w:rFonts w:ascii="Arial" w:hAnsi="Arial" w:cs="Arial"/>
          <w:i w:val="0"/>
          <w:color w:val="auto"/>
          <w:lang w:val="en-US"/>
        </w:rPr>
        <w:t>two</w:t>
      </w:r>
      <w:r w:rsidR="006E074E" w:rsidRPr="00E34813">
        <w:rPr>
          <w:rFonts w:ascii="Arial" w:hAnsi="Arial" w:cs="Arial"/>
          <w:i w:val="0"/>
          <w:color w:val="auto"/>
          <w:lang w:val="en-US"/>
        </w:rPr>
        <w:t xml:space="preserve"> replicates from one donor</w:t>
      </w:r>
      <w:r w:rsidR="00BC42CC">
        <w:rPr>
          <w:rFonts w:ascii="Arial" w:hAnsi="Arial" w:cs="Arial"/>
          <w:i w:val="0"/>
          <w:color w:val="auto"/>
          <w:lang w:val="en-US"/>
        </w:rPr>
        <w:t>,</w:t>
      </w:r>
      <w:r w:rsidR="006E074E" w:rsidRPr="00E34813">
        <w:rPr>
          <w:rFonts w:ascii="Arial" w:hAnsi="Arial" w:cs="Arial"/>
          <w:i w:val="0"/>
          <w:color w:val="auto"/>
          <w:lang w:val="en-US"/>
        </w:rPr>
        <w:t xml:space="preserve"> each measured as technical duplicates.</w:t>
      </w:r>
    </w:p>
    <w:p w14:paraId="2DE03455" w14:textId="77777777" w:rsidR="00DE0ED7" w:rsidRDefault="00DE0ED7" w:rsidP="00DE0ED7">
      <w:pPr>
        <w:rPr>
          <w:lang w:val="en-US"/>
        </w:rPr>
      </w:pPr>
      <w:r w:rsidRPr="007820DD">
        <w:rPr>
          <w:i/>
          <w:noProof/>
          <w:lang w:val="en-US"/>
        </w:rPr>
        <w:lastRenderedPageBreak/>
        <w:drawing>
          <wp:inline distT="0" distB="0" distL="0" distR="0" wp14:anchorId="17ABD071" wp14:editId="35683034">
            <wp:extent cx="5760720" cy="3975735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47E3E" w14:textId="4EE6B068" w:rsidR="00DE0ED7" w:rsidRDefault="00DE0ED7" w:rsidP="00DE0ED7">
      <w:pPr>
        <w:pStyle w:val="Beschriftung"/>
        <w:jc w:val="both"/>
        <w:rPr>
          <w:rFonts w:ascii="Arial" w:hAnsi="Arial" w:cs="Arial"/>
          <w:i w:val="0"/>
          <w:color w:val="auto"/>
          <w:lang w:val="en-US"/>
        </w:rPr>
      </w:pPr>
      <w:r w:rsidRPr="00277A81">
        <w:rPr>
          <w:rFonts w:ascii="Arial" w:hAnsi="Arial" w:cs="Arial"/>
          <w:b/>
          <w:i w:val="0"/>
          <w:color w:val="auto"/>
          <w:lang w:val="en-US"/>
        </w:rPr>
        <w:t>Figure S</w:t>
      </w:r>
      <w:r>
        <w:rPr>
          <w:rFonts w:ascii="Arial" w:hAnsi="Arial" w:cs="Arial"/>
          <w:b/>
          <w:i w:val="0"/>
          <w:color w:val="auto"/>
          <w:lang w:val="en-US"/>
        </w:rPr>
        <w:t>5</w:t>
      </w:r>
      <w:r w:rsidRPr="00277A81">
        <w:rPr>
          <w:rFonts w:ascii="Arial" w:hAnsi="Arial" w:cs="Arial"/>
          <w:b/>
          <w:i w:val="0"/>
          <w:color w:val="auto"/>
          <w:lang w:val="en-US"/>
        </w:rPr>
        <w:t>:</w:t>
      </w:r>
      <w:r w:rsidRPr="00277A81">
        <w:rPr>
          <w:lang w:val="en-US"/>
        </w:rPr>
        <w:t xml:space="preserve"> </w:t>
      </w:r>
      <w:r w:rsidRPr="00277A81">
        <w:rPr>
          <w:rFonts w:ascii="Arial" w:hAnsi="Arial" w:cs="Arial"/>
          <w:b/>
          <w:i w:val="0"/>
          <w:color w:val="auto"/>
          <w:lang w:val="en-US"/>
        </w:rPr>
        <w:t xml:space="preserve">Schematic of the mRNA </w:t>
      </w:r>
      <w:r w:rsidRPr="00277A81">
        <w:rPr>
          <w:rFonts w:ascii="Arial" w:hAnsi="Arial" w:cs="Arial"/>
          <w:b/>
          <w:i w:val="0"/>
          <w:color w:val="auto"/>
          <w:lang w:val="en-US"/>
        </w:rPr>
        <w:t>constructs used in this study.</w:t>
      </w:r>
      <w:r>
        <w:rPr>
          <w:rFonts w:ascii="Arial" w:hAnsi="Arial" w:cs="Arial"/>
          <w:b/>
          <w:i w:val="0"/>
          <w:color w:val="auto"/>
          <w:lang w:val="en-US"/>
        </w:rPr>
        <w:t xml:space="preserve"> </w:t>
      </w:r>
      <w:r w:rsidRPr="005D428D">
        <w:rPr>
          <w:rFonts w:ascii="Arial" w:hAnsi="Arial" w:cs="Arial"/>
          <w:i w:val="0"/>
          <w:color w:val="auto"/>
          <w:lang w:val="en-US"/>
        </w:rPr>
        <w:t xml:space="preserve">For </w:t>
      </w:r>
      <w:r>
        <w:rPr>
          <w:rFonts w:ascii="Arial" w:hAnsi="Arial" w:cs="Arial"/>
          <w:i w:val="0"/>
          <w:color w:val="auto"/>
          <w:lang w:val="en-US"/>
        </w:rPr>
        <w:t xml:space="preserve">transient transfection, an </w:t>
      </w:r>
      <w:r w:rsidRPr="005D428D">
        <w:rPr>
          <w:rFonts w:ascii="Arial" w:hAnsi="Arial" w:cs="Arial"/>
          <w:i w:val="0"/>
          <w:color w:val="auto"/>
          <w:lang w:val="en-US"/>
        </w:rPr>
        <w:t>anti-CD123-CAR-</w:t>
      </w:r>
      <w:r>
        <w:rPr>
          <w:rFonts w:ascii="Arial" w:hAnsi="Arial" w:cs="Arial"/>
          <w:i w:val="0"/>
          <w:color w:val="auto"/>
          <w:lang w:val="en-US"/>
        </w:rPr>
        <w:t>mRNA</w:t>
      </w:r>
      <w:r w:rsidRPr="005D428D">
        <w:rPr>
          <w:rFonts w:ascii="Arial" w:hAnsi="Arial" w:cs="Arial"/>
          <w:i w:val="0"/>
          <w:color w:val="auto"/>
          <w:lang w:val="en-US"/>
        </w:rPr>
        <w:t xml:space="preserve"> and </w:t>
      </w:r>
      <w:r>
        <w:rPr>
          <w:rFonts w:ascii="Arial" w:hAnsi="Arial" w:cs="Arial"/>
          <w:i w:val="0"/>
          <w:color w:val="auto"/>
          <w:lang w:val="en-US"/>
        </w:rPr>
        <w:t>a reporter EGFP mRNA were used. Both were c</w:t>
      </w:r>
      <w:r w:rsidRPr="005D428D">
        <w:rPr>
          <w:rFonts w:ascii="Arial" w:hAnsi="Arial" w:cs="Arial"/>
          <w:i w:val="0"/>
          <w:color w:val="auto"/>
          <w:lang w:val="en-US"/>
        </w:rPr>
        <w:t>apped</w:t>
      </w:r>
      <w:r>
        <w:rPr>
          <w:rFonts w:ascii="Arial" w:hAnsi="Arial" w:cs="Arial"/>
          <w:i w:val="0"/>
          <w:color w:val="auto"/>
          <w:lang w:val="en-US"/>
        </w:rPr>
        <w:t xml:space="preserve">, </w:t>
      </w:r>
      <w:r w:rsidRPr="005D428D">
        <w:rPr>
          <w:rFonts w:ascii="Arial" w:hAnsi="Arial" w:cs="Arial"/>
          <w:i w:val="0"/>
          <w:color w:val="auto"/>
          <w:lang w:val="en-US"/>
        </w:rPr>
        <w:t>poly(A)-tailed</w:t>
      </w:r>
      <w:r w:rsidR="00BC42CC">
        <w:rPr>
          <w:rFonts w:ascii="Arial" w:hAnsi="Arial" w:cs="Arial"/>
          <w:i w:val="0"/>
          <w:color w:val="auto"/>
          <w:lang w:val="en-US"/>
        </w:rPr>
        <w:t>,</w:t>
      </w:r>
      <w:r w:rsidRPr="005D428D">
        <w:rPr>
          <w:rFonts w:ascii="Arial" w:hAnsi="Arial" w:cs="Arial"/>
          <w:i w:val="0"/>
          <w:color w:val="auto"/>
          <w:lang w:val="en-US"/>
        </w:rPr>
        <w:t xml:space="preserve"> </w:t>
      </w:r>
      <w:r>
        <w:rPr>
          <w:rFonts w:ascii="Arial" w:hAnsi="Arial" w:cs="Arial"/>
          <w:i w:val="0"/>
          <w:color w:val="auto"/>
          <w:lang w:val="en-US"/>
        </w:rPr>
        <w:t>and</w:t>
      </w:r>
      <w:r w:rsidRPr="005D428D">
        <w:rPr>
          <w:rFonts w:ascii="Arial" w:hAnsi="Arial" w:cs="Arial"/>
          <w:i w:val="0"/>
          <w:color w:val="auto"/>
          <w:lang w:val="en-US"/>
        </w:rPr>
        <w:t xml:space="preserve"> </w:t>
      </w:r>
      <w:r>
        <w:rPr>
          <w:rFonts w:ascii="Arial" w:hAnsi="Arial" w:cs="Arial"/>
          <w:i w:val="0"/>
          <w:color w:val="auto"/>
          <w:lang w:val="en-US"/>
        </w:rPr>
        <w:t xml:space="preserve">modified with </w:t>
      </w:r>
      <w:proofErr w:type="spellStart"/>
      <w:r>
        <w:rPr>
          <w:rFonts w:ascii="Arial" w:hAnsi="Arial" w:cs="Arial"/>
          <w:i w:val="0"/>
          <w:color w:val="auto"/>
          <w:lang w:val="en-US"/>
        </w:rPr>
        <w:t>pseudouridine</w:t>
      </w:r>
      <w:proofErr w:type="spellEnd"/>
      <w:r>
        <w:rPr>
          <w:rFonts w:ascii="Arial" w:hAnsi="Arial" w:cs="Arial"/>
          <w:i w:val="0"/>
          <w:color w:val="auto"/>
          <w:lang w:val="en-US"/>
        </w:rPr>
        <w:t xml:space="preserve"> variants instead of </w:t>
      </w:r>
      <w:r w:rsidRPr="003A4DAC">
        <w:rPr>
          <w:rFonts w:ascii="Arial" w:hAnsi="Arial" w:cs="Arial"/>
          <w:i w:val="0"/>
          <w:color w:val="auto"/>
          <w:lang w:val="en-US"/>
        </w:rPr>
        <w:t>uridine 5’-triphosphate (UTP)</w:t>
      </w:r>
      <w:r>
        <w:rPr>
          <w:rFonts w:ascii="Arial" w:hAnsi="Arial" w:cs="Arial"/>
          <w:i w:val="0"/>
          <w:color w:val="auto"/>
          <w:lang w:val="en-US"/>
        </w:rPr>
        <w:t>. The CAR-encoding sequence consists of signal peptide (SP), CD123-directed single chain variable fragment (</w:t>
      </w:r>
      <w:proofErr w:type="spellStart"/>
      <w:r>
        <w:rPr>
          <w:rFonts w:ascii="Arial" w:hAnsi="Arial" w:cs="Arial"/>
          <w:i w:val="0"/>
          <w:color w:val="auto"/>
          <w:lang w:val="en-US"/>
        </w:rPr>
        <w:t>scFv</w:t>
      </w:r>
      <w:proofErr w:type="spellEnd"/>
      <w:r>
        <w:rPr>
          <w:rFonts w:ascii="Arial" w:hAnsi="Arial" w:cs="Arial"/>
          <w:i w:val="0"/>
          <w:color w:val="auto"/>
          <w:lang w:val="en-US"/>
        </w:rPr>
        <w:t>), CD28 hinge, CD28 transmembrane domain (TM), CD28 co-stimulatory domain (CSD), and a CD3</w:t>
      </w:r>
      <w:r>
        <w:rPr>
          <w:rFonts w:ascii="Calibri" w:hAnsi="Calibri" w:cs="Calibri"/>
          <w:i w:val="0"/>
          <w:color w:val="auto"/>
          <w:lang w:val="en-US"/>
        </w:rPr>
        <w:t>ζ</w:t>
      </w:r>
      <w:r>
        <w:rPr>
          <w:rFonts w:ascii="Arial" w:hAnsi="Arial" w:cs="Arial"/>
          <w:i w:val="0"/>
          <w:color w:val="auto"/>
          <w:lang w:val="en-US"/>
        </w:rPr>
        <w:t xml:space="preserve"> signaling domain (SD). The reporter EGFP mRNA was only used for pulse code testing for optimal electroporation setting determination. </w:t>
      </w:r>
    </w:p>
    <w:p w14:paraId="092222BE" w14:textId="026C41BD" w:rsidR="000A3CA2" w:rsidRPr="00E616C1" w:rsidRDefault="000A3CA2" w:rsidP="00BC51F3">
      <w:pPr>
        <w:keepNext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06D5ECA" wp14:editId="32ABC333">
            <wp:extent cx="5753100" cy="2352675"/>
            <wp:effectExtent l="0" t="0" r="0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69D50" w14:textId="5A84BA32" w:rsidR="004A4185" w:rsidRDefault="00BC51F3">
      <w:pPr>
        <w:pStyle w:val="Beschriftung"/>
        <w:jc w:val="both"/>
        <w:rPr>
          <w:rFonts w:ascii="Arial" w:hAnsi="Arial" w:cs="Arial"/>
          <w:i w:val="0"/>
          <w:color w:val="auto"/>
          <w:lang w:val="en-US"/>
        </w:rPr>
      </w:pPr>
      <w:r w:rsidRPr="00E616C1">
        <w:rPr>
          <w:rFonts w:ascii="Arial" w:hAnsi="Arial" w:cs="Arial"/>
          <w:b/>
          <w:i w:val="0"/>
          <w:color w:val="auto"/>
          <w:lang w:val="en-US"/>
        </w:rPr>
        <w:t>Figure S</w:t>
      </w:r>
      <w:r w:rsidR="00DE0ED7">
        <w:rPr>
          <w:rFonts w:ascii="Arial" w:hAnsi="Arial" w:cs="Arial"/>
          <w:b/>
          <w:i w:val="0"/>
          <w:color w:val="auto"/>
          <w:lang w:val="en-US"/>
        </w:rPr>
        <w:t>6</w:t>
      </w:r>
      <w:r w:rsidR="00625357" w:rsidRPr="00E616C1">
        <w:rPr>
          <w:rFonts w:ascii="Arial" w:hAnsi="Arial" w:cs="Arial"/>
          <w:b/>
          <w:i w:val="0"/>
          <w:color w:val="auto"/>
          <w:lang w:val="en-US"/>
        </w:rPr>
        <w:t>:</w:t>
      </w:r>
      <w:r w:rsidR="004A4185" w:rsidRPr="00E616C1">
        <w:rPr>
          <w:rFonts w:ascii="Arial" w:hAnsi="Arial" w:cs="Arial"/>
          <w:b/>
          <w:i w:val="0"/>
          <w:color w:val="auto"/>
          <w:lang w:val="en-US"/>
        </w:rPr>
        <w:t xml:space="preserve"> </w:t>
      </w:r>
      <w:r w:rsidR="004A4185" w:rsidRPr="00E616C1">
        <w:rPr>
          <w:rFonts w:ascii="Arial" w:hAnsi="Arial" w:cs="Arial"/>
          <w:b/>
          <w:i w:val="0"/>
          <w:color w:val="auto"/>
          <w:lang w:val="en-US"/>
        </w:rPr>
        <w:t xml:space="preserve">Electroporation of primary T cells with </w:t>
      </w:r>
      <w:r w:rsidR="00E34813">
        <w:rPr>
          <w:rFonts w:ascii="Arial" w:hAnsi="Arial" w:cs="Arial"/>
          <w:b/>
          <w:i w:val="0"/>
          <w:color w:val="auto"/>
          <w:lang w:val="en-US"/>
        </w:rPr>
        <w:t>aCD123</w:t>
      </w:r>
      <w:r w:rsidR="00B741C1">
        <w:rPr>
          <w:rFonts w:ascii="Arial" w:hAnsi="Arial" w:cs="Arial"/>
          <w:b/>
          <w:i w:val="0"/>
          <w:color w:val="auto"/>
          <w:lang w:val="en-US"/>
        </w:rPr>
        <w:t>-</w:t>
      </w:r>
      <w:r w:rsidR="004A4185" w:rsidRPr="00E616C1">
        <w:rPr>
          <w:rFonts w:ascii="Arial" w:hAnsi="Arial" w:cs="Arial"/>
          <w:b/>
          <w:i w:val="0"/>
          <w:color w:val="auto"/>
          <w:lang w:val="en-US"/>
        </w:rPr>
        <w:t xml:space="preserve">CAR-P2A-GFP model mRNA using </w:t>
      </w:r>
      <w:r w:rsidR="001E2453">
        <w:rPr>
          <w:rFonts w:ascii="Arial" w:hAnsi="Arial" w:cs="Arial"/>
          <w:b/>
          <w:i w:val="0"/>
          <w:color w:val="auto"/>
          <w:lang w:val="en-US"/>
        </w:rPr>
        <w:t>three</w:t>
      </w:r>
      <w:r w:rsidR="004A4185" w:rsidRPr="00E616C1">
        <w:rPr>
          <w:rFonts w:ascii="Arial" w:hAnsi="Arial" w:cs="Arial"/>
          <w:b/>
          <w:i w:val="0"/>
          <w:color w:val="auto"/>
          <w:lang w:val="en-US"/>
        </w:rPr>
        <w:t xml:space="preserve"> pre-selected pulse codes.</w:t>
      </w:r>
      <w:r w:rsidR="004A4185" w:rsidRPr="00E616C1">
        <w:rPr>
          <w:rFonts w:ascii="Arial" w:hAnsi="Arial" w:cs="Arial"/>
          <w:i w:val="0"/>
          <w:color w:val="auto"/>
          <w:lang w:val="en-US"/>
        </w:rPr>
        <w:t xml:space="preserve"> Freshly prepared T cells were stimulated and cultured for </w:t>
      </w:r>
      <w:r w:rsidR="00F07E5C">
        <w:rPr>
          <w:rFonts w:ascii="Arial" w:hAnsi="Arial" w:cs="Arial"/>
          <w:i w:val="0"/>
          <w:color w:val="auto"/>
          <w:lang w:val="en-US"/>
        </w:rPr>
        <w:t>up to 10 days</w:t>
      </w:r>
      <w:r w:rsidR="004A4185" w:rsidRPr="00E616C1">
        <w:rPr>
          <w:rFonts w:ascii="Arial" w:hAnsi="Arial" w:cs="Arial"/>
          <w:i w:val="0"/>
          <w:color w:val="auto"/>
          <w:lang w:val="en-US"/>
        </w:rPr>
        <w:t xml:space="preserve"> </w:t>
      </w:r>
      <w:r w:rsidR="001E2453">
        <w:rPr>
          <w:rFonts w:ascii="Arial" w:hAnsi="Arial" w:cs="Arial"/>
          <w:i w:val="0"/>
          <w:color w:val="auto"/>
          <w:lang w:val="en-US"/>
        </w:rPr>
        <w:t>before</w:t>
      </w:r>
      <w:r w:rsidR="004A4185" w:rsidRPr="00E616C1">
        <w:rPr>
          <w:rFonts w:ascii="Arial" w:hAnsi="Arial" w:cs="Arial"/>
          <w:i w:val="0"/>
          <w:color w:val="auto"/>
          <w:lang w:val="en-US"/>
        </w:rPr>
        <w:t xml:space="preserve"> electroporation with </w:t>
      </w:r>
      <w:r w:rsidR="00E34813">
        <w:rPr>
          <w:rFonts w:ascii="Arial" w:hAnsi="Arial" w:cs="Arial"/>
          <w:i w:val="0"/>
          <w:color w:val="auto"/>
          <w:lang w:val="en-US"/>
        </w:rPr>
        <w:t>CAR-</w:t>
      </w:r>
      <w:r w:rsidR="004A4185" w:rsidRPr="00E616C1">
        <w:rPr>
          <w:rFonts w:ascii="Arial" w:hAnsi="Arial" w:cs="Arial"/>
          <w:i w:val="0"/>
          <w:color w:val="auto"/>
          <w:lang w:val="en-US"/>
        </w:rPr>
        <w:t xml:space="preserve">mRNA. </w:t>
      </w:r>
      <w:r w:rsidR="00E34813" w:rsidRPr="00D12AED">
        <w:rPr>
          <w:rFonts w:ascii="Arial" w:hAnsi="Arial" w:cs="Arial"/>
          <w:i w:val="0"/>
          <w:color w:val="auto"/>
          <w:lang w:val="en-US"/>
        </w:rPr>
        <w:t xml:space="preserve">Untransfected cells mixed with mRNA were used as control (NPC). Data represent the means (±SEM) of </w:t>
      </w:r>
      <w:r w:rsidR="00182C4A">
        <w:rPr>
          <w:rFonts w:ascii="Arial" w:hAnsi="Arial" w:cs="Arial"/>
          <w:i w:val="0"/>
          <w:color w:val="auto"/>
          <w:lang w:val="en-US"/>
        </w:rPr>
        <w:t>two</w:t>
      </w:r>
      <w:r w:rsidR="00E34813" w:rsidRPr="00D12AED">
        <w:rPr>
          <w:rFonts w:ascii="Arial" w:hAnsi="Arial" w:cs="Arial"/>
          <w:i w:val="0"/>
          <w:color w:val="auto"/>
          <w:lang w:val="en-US"/>
        </w:rPr>
        <w:t xml:space="preserve"> replicates from one donor</w:t>
      </w:r>
      <w:r w:rsidR="001E2453">
        <w:rPr>
          <w:rFonts w:ascii="Arial" w:hAnsi="Arial" w:cs="Arial"/>
          <w:i w:val="0"/>
          <w:color w:val="auto"/>
          <w:lang w:val="en-US"/>
        </w:rPr>
        <w:t>,</w:t>
      </w:r>
      <w:r w:rsidR="00E34813" w:rsidRPr="00D12AED">
        <w:rPr>
          <w:rFonts w:ascii="Arial" w:hAnsi="Arial" w:cs="Arial"/>
          <w:i w:val="0"/>
          <w:color w:val="auto"/>
          <w:lang w:val="en-US"/>
        </w:rPr>
        <w:t xml:space="preserve"> each measured as technical duplicates</w:t>
      </w:r>
      <w:r w:rsidR="00E34813" w:rsidRPr="00D12AED">
        <w:rPr>
          <w:rFonts w:ascii="Arial" w:hAnsi="Arial" w:cs="Arial"/>
          <w:i w:val="0"/>
          <w:lang w:val="en-US"/>
        </w:rPr>
        <w:t>.</w:t>
      </w:r>
      <w:r w:rsidR="00E616C1">
        <w:rPr>
          <w:rFonts w:ascii="Arial" w:hAnsi="Arial" w:cs="Arial"/>
          <w:i w:val="0"/>
          <w:lang w:val="en-US"/>
        </w:rPr>
        <w:t xml:space="preserve"> </w:t>
      </w:r>
      <w:r w:rsidR="004A4185" w:rsidRPr="00E616C1">
        <w:rPr>
          <w:rFonts w:ascii="Arial" w:hAnsi="Arial" w:cs="Arial"/>
          <w:i w:val="0"/>
          <w:color w:val="auto"/>
          <w:lang w:val="en-US"/>
        </w:rPr>
        <w:t>The transfection efficiency (percentage of EGFP</w:t>
      </w:r>
      <w:r w:rsidR="00E34813">
        <w:rPr>
          <w:rFonts w:ascii="Arial" w:hAnsi="Arial" w:cs="Arial"/>
          <w:i w:val="0"/>
          <w:color w:val="auto"/>
          <w:lang w:val="en-US"/>
        </w:rPr>
        <w:t>-</w:t>
      </w:r>
      <w:r w:rsidR="004A4185" w:rsidRPr="00E616C1">
        <w:rPr>
          <w:rFonts w:ascii="Arial" w:hAnsi="Arial" w:cs="Arial"/>
          <w:i w:val="0"/>
          <w:color w:val="auto"/>
          <w:lang w:val="en-US"/>
        </w:rPr>
        <w:t>positive cells</w:t>
      </w:r>
      <w:r w:rsidR="00E34813">
        <w:rPr>
          <w:rFonts w:ascii="Arial" w:hAnsi="Arial" w:cs="Arial"/>
          <w:i w:val="0"/>
          <w:color w:val="auto"/>
          <w:lang w:val="en-US"/>
        </w:rPr>
        <w:t xml:space="preserve"> (GFP</w:t>
      </w:r>
      <w:r w:rsidR="00E34813" w:rsidRPr="006168E2">
        <w:rPr>
          <w:rFonts w:ascii="Arial" w:hAnsi="Arial" w:cs="Arial"/>
          <w:i w:val="0"/>
          <w:color w:val="auto"/>
          <w:vertAlign w:val="superscript"/>
          <w:lang w:val="en-US"/>
        </w:rPr>
        <w:t>+</w:t>
      </w:r>
      <w:r w:rsidR="00E34813">
        <w:rPr>
          <w:rFonts w:ascii="Arial" w:hAnsi="Arial" w:cs="Arial"/>
          <w:i w:val="0"/>
          <w:color w:val="auto"/>
          <w:lang w:val="en-US"/>
        </w:rPr>
        <w:t>)</w:t>
      </w:r>
      <w:r w:rsidR="004A4185" w:rsidRPr="00E616C1">
        <w:rPr>
          <w:rFonts w:ascii="Arial" w:hAnsi="Arial" w:cs="Arial"/>
          <w:i w:val="0"/>
          <w:color w:val="auto"/>
          <w:lang w:val="en-US"/>
        </w:rPr>
        <w:t xml:space="preserve">) </w:t>
      </w:r>
      <w:r w:rsidR="00F07E5C">
        <w:rPr>
          <w:rFonts w:ascii="Arial" w:hAnsi="Arial" w:cs="Arial"/>
          <w:i w:val="0"/>
          <w:color w:val="auto"/>
          <w:lang w:val="en-US"/>
        </w:rPr>
        <w:t xml:space="preserve">and CAR expression </w:t>
      </w:r>
      <w:r w:rsidR="00E34813">
        <w:rPr>
          <w:rFonts w:ascii="Arial" w:hAnsi="Arial" w:cs="Arial"/>
          <w:i w:val="0"/>
          <w:color w:val="auto"/>
          <w:lang w:val="en-US"/>
        </w:rPr>
        <w:t xml:space="preserve">was </w:t>
      </w:r>
      <w:r w:rsidR="00E34813" w:rsidRPr="00BC3B3A">
        <w:rPr>
          <w:rFonts w:ascii="Arial" w:hAnsi="Arial" w:cs="Arial"/>
          <w:i w:val="0"/>
          <w:color w:val="auto"/>
          <w:lang w:val="en-US"/>
        </w:rPr>
        <w:t>measured via flow cytometry 24 h (A) and 48 h (B) after transfection.</w:t>
      </w:r>
      <w:r w:rsidR="00E34813">
        <w:rPr>
          <w:rFonts w:ascii="Arial" w:hAnsi="Arial" w:cs="Arial"/>
          <w:i w:val="0"/>
          <w:color w:val="auto"/>
          <w:lang w:val="en-US"/>
        </w:rPr>
        <w:t xml:space="preserve"> (C) </w:t>
      </w:r>
      <w:r w:rsidR="004A4185" w:rsidRPr="00E616C1">
        <w:rPr>
          <w:rFonts w:ascii="Arial" w:hAnsi="Arial" w:cs="Arial"/>
          <w:i w:val="0"/>
          <w:color w:val="auto"/>
          <w:lang w:val="en-US"/>
        </w:rPr>
        <w:t xml:space="preserve">The </w:t>
      </w:r>
      <w:r w:rsidR="00E34813">
        <w:rPr>
          <w:rFonts w:ascii="Arial" w:hAnsi="Arial" w:cs="Arial"/>
          <w:i w:val="0"/>
          <w:color w:val="auto"/>
          <w:lang w:val="en-US"/>
        </w:rPr>
        <w:t>viability</w:t>
      </w:r>
      <w:r w:rsidR="00E34813" w:rsidRPr="00E616C1">
        <w:rPr>
          <w:rFonts w:ascii="Arial" w:hAnsi="Arial" w:cs="Arial"/>
          <w:i w:val="0"/>
          <w:color w:val="auto"/>
          <w:lang w:val="en-US"/>
        </w:rPr>
        <w:t xml:space="preserve"> </w:t>
      </w:r>
      <w:r w:rsidR="004A4185" w:rsidRPr="00E616C1">
        <w:rPr>
          <w:rFonts w:ascii="Arial" w:hAnsi="Arial" w:cs="Arial"/>
          <w:i w:val="0"/>
          <w:color w:val="auto"/>
          <w:lang w:val="en-US"/>
        </w:rPr>
        <w:t xml:space="preserve">was determined 24 h </w:t>
      </w:r>
      <w:r w:rsidR="009804BE" w:rsidRPr="00E616C1">
        <w:rPr>
          <w:rFonts w:ascii="Arial" w:hAnsi="Arial" w:cs="Arial"/>
          <w:i w:val="0"/>
          <w:color w:val="auto"/>
          <w:lang w:val="en-US"/>
        </w:rPr>
        <w:t xml:space="preserve">after transfection as </w:t>
      </w:r>
      <w:r w:rsidR="001E2453">
        <w:rPr>
          <w:rFonts w:ascii="Arial" w:hAnsi="Arial" w:cs="Arial"/>
          <w:i w:val="0"/>
          <w:color w:val="auto"/>
          <w:lang w:val="en-US"/>
        </w:rPr>
        <w:t xml:space="preserve">a </w:t>
      </w:r>
      <w:r w:rsidR="009804BE" w:rsidRPr="00E616C1">
        <w:rPr>
          <w:rFonts w:ascii="Arial" w:hAnsi="Arial" w:cs="Arial"/>
          <w:i w:val="0"/>
          <w:color w:val="auto"/>
          <w:lang w:val="en-US"/>
        </w:rPr>
        <w:t>percentage of 7-AAD</w:t>
      </w:r>
      <w:r w:rsidR="00E34813">
        <w:rPr>
          <w:rFonts w:ascii="Arial" w:hAnsi="Arial" w:cs="Arial"/>
          <w:i w:val="0"/>
          <w:color w:val="auto"/>
          <w:lang w:val="en-US"/>
        </w:rPr>
        <w:t>-</w:t>
      </w:r>
      <w:r w:rsidR="009804BE" w:rsidRPr="00E616C1">
        <w:rPr>
          <w:rFonts w:ascii="Arial" w:hAnsi="Arial" w:cs="Arial"/>
          <w:i w:val="0"/>
          <w:color w:val="auto"/>
          <w:lang w:val="en-US"/>
        </w:rPr>
        <w:t xml:space="preserve">negative </w:t>
      </w:r>
      <w:r w:rsidR="00E34813">
        <w:rPr>
          <w:rFonts w:ascii="Arial" w:hAnsi="Arial" w:cs="Arial"/>
          <w:i w:val="0"/>
          <w:color w:val="auto"/>
          <w:lang w:val="en-US"/>
        </w:rPr>
        <w:t>(7-AAD</w:t>
      </w:r>
      <w:r w:rsidR="00E34813" w:rsidRPr="006168E2">
        <w:rPr>
          <w:rFonts w:ascii="Arial" w:hAnsi="Arial" w:cs="Arial"/>
          <w:i w:val="0"/>
          <w:color w:val="auto"/>
          <w:vertAlign w:val="superscript"/>
          <w:lang w:val="en-US"/>
        </w:rPr>
        <w:t>-</w:t>
      </w:r>
      <w:r w:rsidR="00E34813">
        <w:rPr>
          <w:rFonts w:ascii="Arial" w:hAnsi="Arial" w:cs="Arial"/>
          <w:i w:val="0"/>
          <w:color w:val="auto"/>
          <w:lang w:val="en-US"/>
        </w:rPr>
        <w:t xml:space="preserve">) </w:t>
      </w:r>
      <w:r w:rsidR="009804BE" w:rsidRPr="00E616C1">
        <w:rPr>
          <w:rFonts w:ascii="Arial" w:hAnsi="Arial" w:cs="Arial"/>
          <w:i w:val="0"/>
          <w:color w:val="auto"/>
          <w:lang w:val="en-US"/>
        </w:rPr>
        <w:t xml:space="preserve">cells. </w:t>
      </w:r>
    </w:p>
    <w:bookmarkStart w:id="2" w:name="_GoBack" w:displacedByCustomXml="next"/>
    <w:bookmarkEnd w:id="2" w:displacedByCustomXml="next"/>
    <w:sdt>
      <w:sdtPr>
        <w:rPr>
          <w:rFonts w:ascii="Arial" w:eastAsiaTheme="minorHAnsi" w:hAnsi="Arial" w:cs="Arial"/>
          <w:color w:val="auto"/>
          <w:sz w:val="22"/>
          <w:szCs w:val="22"/>
          <w:lang w:val="en-US"/>
        </w:rPr>
        <w:tag w:val="CitaviBibliography"/>
        <w:id w:val="-1567481902"/>
        <w:placeholder>
          <w:docPart w:val="DefaultPlaceholder_-1854013440"/>
        </w:placeholder>
      </w:sdtPr>
      <w:sdtEndPr/>
      <w:sdtContent>
        <w:p w14:paraId="2E243B6D" w14:textId="1BD8BA3E" w:rsidR="00E616C1" w:rsidRDefault="00594ECC" w:rsidP="00E616C1">
          <w:pPr>
            <w:pStyle w:val="CitaviBibliographyHeading"/>
            <w:rPr>
              <w:rFonts w:ascii="Arial" w:hAnsi="Arial" w:cs="Arial"/>
              <w:b/>
              <w:color w:val="auto"/>
              <w:sz w:val="22"/>
              <w:szCs w:val="22"/>
              <w:lang w:val="en-US"/>
            </w:rPr>
          </w:pPr>
          <w:r w:rsidRPr="00DE44B2">
            <w:rPr>
              <w:rFonts w:ascii="Arial" w:hAnsi="Arial" w:cs="Arial"/>
              <w:color w:val="auto"/>
              <w:sz w:val="22"/>
              <w:szCs w:val="22"/>
              <w:lang w:val="en-US"/>
            </w:rPr>
            <w:fldChar w:fldCharType="begin"/>
          </w:r>
          <w:r w:rsidRPr="00DE44B2">
            <w:rPr>
              <w:rFonts w:ascii="Arial" w:hAnsi="Arial" w:cs="Arial"/>
              <w:color w:val="auto"/>
              <w:sz w:val="22"/>
              <w:szCs w:val="22"/>
              <w:lang w:val="en-US"/>
            </w:rPr>
            <w:instrText>ADDIN CitaviBibliography</w:instrText>
          </w:r>
          <w:r w:rsidRPr="00DE44B2">
            <w:rPr>
              <w:rFonts w:ascii="Arial" w:hAnsi="Arial" w:cs="Arial"/>
              <w:color w:val="auto"/>
              <w:sz w:val="22"/>
              <w:szCs w:val="22"/>
              <w:lang w:val="en-US"/>
            </w:rPr>
            <w:fldChar w:fldCharType="separate"/>
          </w:r>
          <w:r w:rsidR="00DE44B2" w:rsidRPr="00DE44B2">
            <w:rPr>
              <w:rFonts w:ascii="Arial" w:hAnsi="Arial" w:cs="Arial"/>
              <w:b/>
              <w:color w:val="auto"/>
              <w:sz w:val="22"/>
              <w:szCs w:val="22"/>
              <w:lang w:val="en-US"/>
            </w:rPr>
            <w:t>References</w:t>
          </w:r>
          <w:r w:rsidR="004A63D1">
            <w:rPr>
              <w:rFonts w:ascii="Arial" w:hAnsi="Arial" w:cs="Arial"/>
              <w:b/>
              <w:color w:val="auto"/>
              <w:sz w:val="22"/>
              <w:szCs w:val="22"/>
              <w:lang w:val="en-US"/>
            </w:rPr>
            <w:t>:</w:t>
          </w:r>
        </w:p>
        <w:p w14:paraId="7012CF28" w14:textId="77777777" w:rsidR="00DE44B2" w:rsidRPr="00DE44B2" w:rsidRDefault="00DE44B2" w:rsidP="00E616C1">
          <w:pPr>
            <w:pStyle w:val="CitaviBibliographyHeading"/>
            <w:rPr>
              <w:rFonts w:ascii="Arial" w:hAnsi="Arial" w:cs="Arial"/>
              <w:b/>
              <w:color w:val="auto"/>
              <w:sz w:val="22"/>
              <w:szCs w:val="22"/>
              <w:lang w:val="en-US"/>
            </w:rPr>
          </w:pPr>
        </w:p>
        <w:p w14:paraId="569BFBF3" w14:textId="77777777" w:rsidR="00E616C1" w:rsidRPr="00DE44B2" w:rsidRDefault="00E616C1" w:rsidP="00E616C1">
          <w:pPr>
            <w:pStyle w:val="CitaviBibliographyEntry"/>
            <w:rPr>
              <w:rFonts w:ascii="Arial" w:hAnsi="Arial" w:cs="Arial"/>
              <w:color w:val="auto"/>
              <w:sz w:val="22"/>
              <w:szCs w:val="22"/>
              <w:lang w:val="en-US"/>
            </w:rPr>
          </w:pPr>
          <w:bookmarkStart w:id="3" w:name="_CTVL001c1c445ab53de4f93a2d6649be46182dd"/>
          <w:r w:rsidRPr="00DE44B2">
            <w:rPr>
              <w:rFonts w:ascii="Arial" w:hAnsi="Arial" w:cs="Arial"/>
              <w:color w:val="auto"/>
              <w:sz w:val="22"/>
              <w:szCs w:val="22"/>
              <w:lang w:val="en-US"/>
            </w:rPr>
            <w:t>Kleiveland, Charlotte R. (2015): The Impact of Food Bioactives on Health: in vitro and ex vivo models. Peripheral Blood Mononuclear Cells. Hg. v. Kitty Verhoeckx, Paul Cotter, Iván López-Expósito, Charlotte Kleiveland, Tor Lea, Alan Mackie, et al. Cham (CH).</w:t>
          </w:r>
        </w:p>
        <w:p w14:paraId="7F7FFF76" w14:textId="77777777" w:rsidR="00DE44B2" w:rsidRDefault="00DE44B2" w:rsidP="00E616C1">
          <w:pPr>
            <w:pStyle w:val="CitaviBibliographyEntry"/>
            <w:rPr>
              <w:rFonts w:ascii="Arial" w:hAnsi="Arial" w:cs="Arial"/>
              <w:color w:val="auto"/>
              <w:sz w:val="22"/>
              <w:szCs w:val="22"/>
              <w:lang w:val="en-US"/>
            </w:rPr>
          </w:pPr>
          <w:bookmarkStart w:id="4" w:name="_CTVL00195b1b9244615468dbed4fa065713dcda"/>
          <w:bookmarkEnd w:id="3"/>
        </w:p>
        <w:p w14:paraId="1136E9E9" w14:textId="31E6D4D7" w:rsidR="00594ECC" w:rsidRPr="00885360" w:rsidRDefault="00E616C1" w:rsidP="00E616C1">
          <w:pPr>
            <w:pStyle w:val="CitaviBibliographyEntry"/>
            <w:rPr>
              <w:lang w:val="en-US"/>
            </w:rPr>
          </w:pPr>
          <w:r w:rsidRPr="00DE44B2">
            <w:rPr>
              <w:rFonts w:ascii="Arial" w:hAnsi="Arial" w:cs="Arial"/>
              <w:color w:val="auto"/>
              <w:sz w:val="22"/>
              <w:szCs w:val="22"/>
              <w:lang w:val="en-US"/>
            </w:rPr>
            <w:t xml:space="preserve">Miltenyi Biotec: Blood. Subtypes of PBMCs. </w:t>
          </w:r>
          <w:r w:rsidRPr="00885360">
            <w:rPr>
              <w:rFonts w:ascii="Arial" w:hAnsi="Arial" w:cs="Arial"/>
              <w:color w:val="auto"/>
              <w:sz w:val="22"/>
              <w:szCs w:val="22"/>
              <w:lang w:val="en-US"/>
            </w:rPr>
            <w:t>Online verfügbar unter https://www.miltenyibiotec.com/DE-en/resources/macs-handbook/human-cells-and-organs/human-cell-sources/blood-human.html#gref</w:t>
          </w:r>
          <w:bookmarkEnd w:id="4"/>
          <w:r w:rsidRPr="00885360">
            <w:rPr>
              <w:rFonts w:ascii="Arial" w:hAnsi="Arial" w:cs="Arial"/>
              <w:color w:val="auto"/>
              <w:sz w:val="22"/>
              <w:szCs w:val="22"/>
              <w:lang w:val="en-US"/>
            </w:rPr>
            <w:t>.</w:t>
          </w:r>
          <w:r w:rsidR="00594ECC" w:rsidRPr="00DE44B2">
            <w:rPr>
              <w:rFonts w:ascii="Arial" w:hAnsi="Arial" w:cs="Arial"/>
              <w:color w:val="auto"/>
              <w:sz w:val="22"/>
              <w:szCs w:val="22"/>
              <w:lang w:val="en-US"/>
            </w:rPr>
            <w:fldChar w:fldCharType="end"/>
          </w:r>
        </w:p>
      </w:sdtContent>
    </w:sdt>
    <w:p w14:paraId="2D7D9D4B" w14:textId="77777777" w:rsidR="00594ECC" w:rsidRPr="00885360" w:rsidRDefault="00594ECC" w:rsidP="00594ECC">
      <w:pPr>
        <w:rPr>
          <w:lang w:val="en-US"/>
        </w:rPr>
      </w:pPr>
    </w:p>
    <w:sectPr w:rsidR="00594ECC" w:rsidRPr="008853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00"/>
    <w:rsid w:val="0003344B"/>
    <w:rsid w:val="00043991"/>
    <w:rsid w:val="0007358B"/>
    <w:rsid w:val="000772C2"/>
    <w:rsid w:val="00084B9D"/>
    <w:rsid w:val="000A3CA2"/>
    <w:rsid w:val="000A670F"/>
    <w:rsid w:val="000E6A8F"/>
    <w:rsid w:val="001032D6"/>
    <w:rsid w:val="00123B3A"/>
    <w:rsid w:val="00182C4A"/>
    <w:rsid w:val="001E2453"/>
    <w:rsid w:val="00222D43"/>
    <w:rsid w:val="00240C24"/>
    <w:rsid w:val="00255B56"/>
    <w:rsid w:val="00277A81"/>
    <w:rsid w:val="0028103E"/>
    <w:rsid w:val="002B34DD"/>
    <w:rsid w:val="002F727C"/>
    <w:rsid w:val="0035165A"/>
    <w:rsid w:val="00371D69"/>
    <w:rsid w:val="003A4DAC"/>
    <w:rsid w:val="003C6F02"/>
    <w:rsid w:val="004128B8"/>
    <w:rsid w:val="004807BE"/>
    <w:rsid w:val="00485B74"/>
    <w:rsid w:val="004A4185"/>
    <w:rsid w:val="004A63D1"/>
    <w:rsid w:val="00506B82"/>
    <w:rsid w:val="00517B02"/>
    <w:rsid w:val="00527F95"/>
    <w:rsid w:val="005539CD"/>
    <w:rsid w:val="00585E7A"/>
    <w:rsid w:val="00594ECC"/>
    <w:rsid w:val="0059737B"/>
    <w:rsid w:val="005B154F"/>
    <w:rsid w:val="005C4ACF"/>
    <w:rsid w:val="005D428D"/>
    <w:rsid w:val="005F77AA"/>
    <w:rsid w:val="00625357"/>
    <w:rsid w:val="00657F03"/>
    <w:rsid w:val="006758BD"/>
    <w:rsid w:val="006943F6"/>
    <w:rsid w:val="006A5B11"/>
    <w:rsid w:val="006D6070"/>
    <w:rsid w:val="006D73A0"/>
    <w:rsid w:val="006E074E"/>
    <w:rsid w:val="007211CE"/>
    <w:rsid w:val="0072348E"/>
    <w:rsid w:val="007509EA"/>
    <w:rsid w:val="00755A78"/>
    <w:rsid w:val="00774C2B"/>
    <w:rsid w:val="007820DD"/>
    <w:rsid w:val="007D1049"/>
    <w:rsid w:val="007E21AA"/>
    <w:rsid w:val="007F184D"/>
    <w:rsid w:val="007F3E89"/>
    <w:rsid w:val="00800AAF"/>
    <w:rsid w:val="008816EE"/>
    <w:rsid w:val="00885360"/>
    <w:rsid w:val="008B7E1B"/>
    <w:rsid w:val="008E618D"/>
    <w:rsid w:val="00914425"/>
    <w:rsid w:val="009224B1"/>
    <w:rsid w:val="009314CE"/>
    <w:rsid w:val="009330B1"/>
    <w:rsid w:val="00941121"/>
    <w:rsid w:val="009552BF"/>
    <w:rsid w:val="009804BE"/>
    <w:rsid w:val="009D0CAE"/>
    <w:rsid w:val="009D72B3"/>
    <w:rsid w:val="00A422A3"/>
    <w:rsid w:val="00AC4ED5"/>
    <w:rsid w:val="00AD2A8F"/>
    <w:rsid w:val="00AF3C6B"/>
    <w:rsid w:val="00B0333E"/>
    <w:rsid w:val="00B24B00"/>
    <w:rsid w:val="00B3333B"/>
    <w:rsid w:val="00B35A8F"/>
    <w:rsid w:val="00B644CE"/>
    <w:rsid w:val="00B741C1"/>
    <w:rsid w:val="00B84734"/>
    <w:rsid w:val="00BC42CC"/>
    <w:rsid w:val="00BC51F3"/>
    <w:rsid w:val="00C001E4"/>
    <w:rsid w:val="00C04569"/>
    <w:rsid w:val="00C34F4E"/>
    <w:rsid w:val="00C4014C"/>
    <w:rsid w:val="00C739AD"/>
    <w:rsid w:val="00CC1F83"/>
    <w:rsid w:val="00CD6EFE"/>
    <w:rsid w:val="00DC4A76"/>
    <w:rsid w:val="00DE0ED7"/>
    <w:rsid w:val="00DE44B2"/>
    <w:rsid w:val="00E05901"/>
    <w:rsid w:val="00E34813"/>
    <w:rsid w:val="00E605B4"/>
    <w:rsid w:val="00E616C1"/>
    <w:rsid w:val="00E67B26"/>
    <w:rsid w:val="00EB729D"/>
    <w:rsid w:val="00EE10B2"/>
    <w:rsid w:val="00F06E42"/>
    <w:rsid w:val="00F07E5C"/>
    <w:rsid w:val="00F45D07"/>
    <w:rsid w:val="00F53EAD"/>
    <w:rsid w:val="00F80648"/>
    <w:rsid w:val="00F80826"/>
    <w:rsid w:val="00FB57F5"/>
    <w:rsid w:val="00FB67C6"/>
    <w:rsid w:val="00F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9D2C"/>
  <w15:chartTrackingRefBased/>
  <w15:docId w15:val="{9001285E-EDD4-4D75-A3E2-7AE038E0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4B00"/>
  </w:style>
  <w:style w:type="paragraph" w:styleId="berschrift1">
    <w:name w:val="heading 1"/>
    <w:basedOn w:val="Standard"/>
    <w:next w:val="Standard"/>
    <w:link w:val="berschrift1Zchn"/>
    <w:uiPriority w:val="9"/>
    <w:qFormat/>
    <w:rsid w:val="00594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4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4E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4E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4E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4E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4E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4E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4E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517B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81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7A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7A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7A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7A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7A81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594ECC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594ECC"/>
    <w:pPr>
      <w:spacing w:after="120"/>
    </w:pPr>
    <w:rPr>
      <w:color w:val="44546A" w:themeColor="text2"/>
      <w:sz w:val="18"/>
      <w:szCs w:val="18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594ECC"/>
    <w:rPr>
      <w:i/>
      <w:iCs/>
      <w:color w:val="44546A" w:themeColor="text2"/>
      <w:sz w:val="18"/>
      <w:szCs w:val="18"/>
    </w:rPr>
  </w:style>
  <w:style w:type="character" w:customStyle="1" w:styleId="CitaviBibliographyEntryZchn">
    <w:name w:val="Citavi Bibliography Entry Zchn"/>
    <w:basedOn w:val="BeschriftungZchn"/>
    <w:link w:val="CitaviBibliographyEntry"/>
    <w:uiPriority w:val="99"/>
    <w:rsid w:val="00594ECC"/>
    <w:rPr>
      <w:i w:val="0"/>
      <w:iCs w:val="0"/>
      <w:color w:val="44546A" w:themeColor="text2"/>
      <w:sz w:val="18"/>
      <w:szCs w:val="18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594ECC"/>
  </w:style>
  <w:style w:type="character" w:customStyle="1" w:styleId="CitaviBibliographyHeadingZchn">
    <w:name w:val="Citavi Bibliography Heading Zchn"/>
    <w:basedOn w:val="BeschriftungZchn"/>
    <w:link w:val="CitaviBibliographyHeading"/>
    <w:uiPriority w:val="99"/>
    <w:rsid w:val="00594ECC"/>
    <w:rPr>
      <w:rFonts w:asciiTheme="majorHAnsi" w:eastAsiaTheme="majorEastAsia" w:hAnsiTheme="majorHAnsi" w:cstheme="majorBidi"/>
      <w:i w:val="0"/>
      <w:iCs w:val="0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9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594ECC"/>
  </w:style>
  <w:style w:type="character" w:customStyle="1" w:styleId="CitaviChapterBibliographyHeadingZchn">
    <w:name w:val="Citavi Chapter Bibliography Heading Zchn"/>
    <w:basedOn w:val="BeschriftungZchn"/>
    <w:link w:val="CitaviChapterBibliographyHeading"/>
    <w:uiPriority w:val="99"/>
    <w:rsid w:val="00594ECC"/>
    <w:rPr>
      <w:rFonts w:asciiTheme="majorHAnsi" w:eastAsiaTheme="majorEastAsia" w:hAnsiTheme="majorHAnsi" w:cstheme="majorBidi"/>
      <w:i w:val="0"/>
      <w:iCs w:val="0"/>
      <w:color w:val="2F5496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4E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594ECC"/>
    <w:pPr>
      <w:outlineLvl w:val="9"/>
    </w:pPr>
    <w:rPr>
      <w:rFonts w:ascii="Arial" w:hAnsi="Arial" w:cs="Arial"/>
      <w:i/>
      <w:lang w:val="en-US"/>
    </w:rPr>
  </w:style>
  <w:style w:type="character" w:customStyle="1" w:styleId="CitaviBibliographySubheading1Zchn">
    <w:name w:val="Citavi Bibliography Subheading 1 Zchn"/>
    <w:basedOn w:val="BeschriftungZchn"/>
    <w:link w:val="CitaviBibliographySubheading1"/>
    <w:uiPriority w:val="99"/>
    <w:rsid w:val="00594ECC"/>
    <w:rPr>
      <w:rFonts w:ascii="Arial" w:eastAsiaTheme="majorEastAsia" w:hAnsi="Arial" w:cs="Arial"/>
      <w:i/>
      <w:iCs w:val="0"/>
      <w:color w:val="2F5496" w:themeColor="accent1" w:themeShade="BF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594ECC"/>
    <w:pPr>
      <w:outlineLvl w:val="9"/>
    </w:pPr>
    <w:rPr>
      <w:rFonts w:ascii="Arial" w:hAnsi="Arial" w:cs="Arial"/>
      <w:i/>
      <w:lang w:val="en-US"/>
    </w:rPr>
  </w:style>
  <w:style w:type="character" w:customStyle="1" w:styleId="CitaviBibliographySubheading2Zchn">
    <w:name w:val="Citavi Bibliography Subheading 2 Zchn"/>
    <w:basedOn w:val="BeschriftungZchn"/>
    <w:link w:val="CitaviBibliographySubheading2"/>
    <w:uiPriority w:val="99"/>
    <w:rsid w:val="00594ECC"/>
    <w:rPr>
      <w:rFonts w:ascii="Arial" w:eastAsiaTheme="majorEastAsia" w:hAnsi="Arial" w:cs="Arial"/>
      <w:i/>
      <w:iCs w:val="0"/>
      <w:color w:val="1F3763" w:themeColor="accent1" w:themeShade="7F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4E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594ECC"/>
    <w:pPr>
      <w:outlineLvl w:val="9"/>
    </w:pPr>
    <w:rPr>
      <w:rFonts w:ascii="Arial" w:hAnsi="Arial" w:cs="Arial"/>
      <w:i w:val="0"/>
      <w:sz w:val="18"/>
      <w:szCs w:val="18"/>
      <w:lang w:val="en-US"/>
    </w:rPr>
  </w:style>
  <w:style w:type="character" w:customStyle="1" w:styleId="CitaviBibliographySubheading3Zchn">
    <w:name w:val="Citavi Bibliography Subheading 3 Zchn"/>
    <w:basedOn w:val="BeschriftungZchn"/>
    <w:link w:val="CitaviBibliographySubheading3"/>
    <w:uiPriority w:val="99"/>
    <w:rsid w:val="00594ECC"/>
    <w:rPr>
      <w:rFonts w:ascii="Arial" w:eastAsiaTheme="majorEastAsia" w:hAnsi="Arial" w:cs="Arial"/>
      <w:i w:val="0"/>
      <w:iCs/>
      <w:color w:val="2F5496" w:themeColor="accent1" w:themeShade="BF"/>
      <w:sz w:val="18"/>
      <w:szCs w:val="1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4EC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594ECC"/>
    <w:pPr>
      <w:outlineLvl w:val="9"/>
    </w:pPr>
    <w:rPr>
      <w:rFonts w:ascii="Arial" w:hAnsi="Arial" w:cs="Arial"/>
      <w:i/>
      <w:sz w:val="18"/>
      <w:szCs w:val="18"/>
      <w:lang w:val="en-US"/>
    </w:rPr>
  </w:style>
  <w:style w:type="character" w:customStyle="1" w:styleId="CitaviBibliographySubheading4Zchn">
    <w:name w:val="Citavi Bibliography Subheading 4 Zchn"/>
    <w:basedOn w:val="BeschriftungZchn"/>
    <w:link w:val="CitaviBibliographySubheading4"/>
    <w:uiPriority w:val="99"/>
    <w:rsid w:val="00594ECC"/>
    <w:rPr>
      <w:rFonts w:ascii="Arial" w:eastAsiaTheme="majorEastAsia" w:hAnsi="Arial" w:cs="Arial"/>
      <w:i/>
      <w:iCs w:val="0"/>
      <w:color w:val="2F5496" w:themeColor="accent1" w:themeShade="BF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4EC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594ECC"/>
    <w:pPr>
      <w:outlineLvl w:val="9"/>
    </w:pPr>
    <w:rPr>
      <w:rFonts w:ascii="Arial" w:hAnsi="Arial" w:cs="Arial"/>
      <w:i/>
      <w:sz w:val="18"/>
      <w:szCs w:val="18"/>
      <w:lang w:val="en-US"/>
    </w:rPr>
  </w:style>
  <w:style w:type="character" w:customStyle="1" w:styleId="CitaviBibliographySubheading5Zchn">
    <w:name w:val="Citavi Bibliography Subheading 5 Zchn"/>
    <w:basedOn w:val="BeschriftungZchn"/>
    <w:link w:val="CitaviBibliographySubheading5"/>
    <w:uiPriority w:val="99"/>
    <w:rsid w:val="00594ECC"/>
    <w:rPr>
      <w:rFonts w:ascii="Arial" w:eastAsiaTheme="majorEastAsia" w:hAnsi="Arial" w:cs="Arial"/>
      <w:i/>
      <w:iCs w:val="0"/>
      <w:color w:val="1F3763" w:themeColor="accent1" w:themeShade="7F"/>
      <w:sz w:val="18"/>
      <w:szCs w:val="18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4EC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594ECC"/>
    <w:pPr>
      <w:outlineLvl w:val="9"/>
    </w:pPr>
    <w:rPr>
      <w:rFonts w:ascii="Arial" w:hAnsi="Arial" w:cs="Arial"/>
      <w:i w:val="0"/>
      <w:sz w:val="18"/>
      <w:szCs w:val="18"/>
      <w:lang w:val="en-US"/>
    </w:rPr>
  </w:style>
  <w:style w:type="character" w:customStyle="1" w:styleId="CitaviBibliographySubheading6Zchn">
    <w:name w:val="Citavi Bibliography Subheading 6 Zchn"/>
    <w:basedOn w:val="BeschriftungZchn"/>
    <w:link w:val="CitaviBibliographySubheading6"/>
    <w:uiPriority w:val="99"/>
    <w:rsid w:val="00594ECC"/>
    <w:rPr>
      <w:rFonts w:ascii="Arial" w:eastAsiaTheme="majorEastAsia" w:hAnsi="Arial" w:cs="Arial"/>
      <w:i w:val="0"/>
      <w:iCs/>
      <w:color w:val="1F3763" w:themeColor="accent1" w:themeShade="7F"/>
      <w:sz w:val="18"/>
      <w:szCs w:val="18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4E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594ECC"/>
    <w:pPr>
      <w:outlineLvl w:val="9"/>
    </w:pPr>
    <w:rPr>
      <w:rFonts w:ascii="Arial" w:hAnsi="Arial" w:cs="Arial"/>
      <w:i/>
      <w:lang w:val="en-US"/>
    </w:rPr>
  </w:style>
  <w:style w:type="character" w:customStyle="1" w:styleId="CitaviBibliographySubheading7Zchn">
    <w:name w:val="Citavi Bibliography Subheading 7 Zchn"/>
    <w:basedOn w:val="BeschriftungZchn"/>
    <w:link w:val="CitaviBibliographySubheading7"/>
    <w:uiPriority w:val="99"/>
    <w:rsid w:val="00594ECC"/>
    <w:rPr>
      <w:rFonts w:ascii="Arial" w:eastAsiaTheme="majorEastAsia" w:hAnsi="Arial" w:cs="Arial"/>
      <w:i/>
      <w:iCs w:val="0"/>
      <w:color w:val="272727" w:themeColor="text1" w:themeTint="D8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4E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594ECC"/>
    <w:pPr>
      <w:outlineLvl w:val="9"/>
    </w:pPr>
    <w:rPr>
      <w:rFonts w:ascii="Arial" w:hAnsi="Arial" w:cs="Arial"/>
      <w:i w:val="0"/>
      <w:lang w:val="en-US"/>
    </w:rPr>
  </w:style>
  <w:style w:type="character" w:customStyle="1" w:styleId="CitaviBibliographySubheading8Zchn">
    <w:name w:val="Citavi Bibliography Subheading 8 Zchn"/>
    <w:basedOn w:val="BeschriftungZchn"/>
    <w:link w:val="CitaviBibliographySubheading8"/>
    <w:uiPriority w:val="99"/>
    <w:rsid w:val="00594ECC"/>
    <w:rPr>
      <w:rFonts w:ascii="Arial" w:eastAsiaTheme="majorEastAsia" w:hAnsi="Arial" w:cs="Arial"/>
      <w:i w:val="0"/>
      <w:iCs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4E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tif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3426F-3B70-409D-B0AF-EFB00DAB2982}"/>
      </w:docPartPr>
      <w:docPartBody>
        <w:p w:rsidR="00027909" w:rsidRDefault="00E6101B">
          <w:r w:rsidRPr="00A670B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1B"/>
    <w:rsid w:val="00027909"/>
    <w:rsid w:val="00E6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10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C6A9F56DB8DE4E994ECFB7CFB7F060" ma:contentTypeVersion="2" ma:contentTypeDescription="Ein neues Dokument erstellen." ma:contentTypeScope="" ma:versionID="6c37d7a476a96070042dc35afefc6f4f">
  <xsd:schema xmlns:xsd="http://www.w3.org/2001/XMLSchema" xmlns:xs="http://www.w3.org/2001/XMLSchema" xmlns:p="http://schemas.microsoft.com/office/2006/metadata/properties" xmlns:ns2="e711f135-e4e6-4e79-b81d-a0615d74429e" targetNamespace="http://schemas.microsoft.com/office/2006/metadata/properties" ma:root="true" ma:fieldsID="d11e2f7d04be09ed47a199acf07904ab" ns2:_="">
    <xsd:import namespace="e711f135-e4e6-4e79-b81d-a0615d744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f135-e4e6-4e79-b81d-a0615d744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3E11-E229-49C8-818E-72E59E9D859C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711f135-e4e6-4e79-b81d-a0615d74429e"/>
  </ds:schemaRefs>
</ds:datastoreItem>
</file>

<file path=customXml/itemProps2.xml><?xml version="1.0" encoding="utf-8"?>
<ds:datastoreItem xmlns:ds="http://schemas.openxmlformats.org/officeDocument/2006/customXml" ds:itemID="{CDDEA827-FC3A-455F-9178-946F18021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f135-e4e6-4e79-b81d-a0615d744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1B112-BB83-4EB2-A132-D3D3EEB81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ED4D4-A0CB-4F34-A56F-0100F439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2908</Words>
  <Characters>17132</Characters>
  <Application>Microsoft Office Word</Application>
  <DocSecurity>0</DocSecurity>
  <Lines>259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Tretbar, Sandy</dc:creator>
  <cp:keywords/>
  <dc:description/>
  <cp:lastModifiedBy>Tretbar, Sandy</cp:lastModifiedBy>
  <cp:revision>3</cp:revision>
  <dcterms:created xsi:type="dcterms:W3CDTF">2023-03-21T17:42:00Z</dcterms:created>
  <dcterms:modified xsi:type="dcterms:W3CDTF">2023-03-21T17:44:00Z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0x010100EEC6A9F56DB8DE4E994ECFB7CFB7F060</vt:lpwstr>
  </property>
  <property fmtid="{D5CDD505-2E9C-101B-9397-08002B2CF9AE}" pid="3" name="CitaviDocumentProperty_8">
    <vt:lpwstr>CloudProjectKey=ctf30xmc3peiojh8qt51gfwc0bljncaftc8jnftgb7712ytd; ProjectName=T Vivo Test</vt:lpwstr>
  </property>
  <property fmtid="{D5CDD505-2E9C-101B-9397-08002B2CF9AE}" pid="4" name="CitaviDocumentProperty_7">
    <vt:lpwstr>T Vivo Test</vt:lpwstr>
  </property>
  <property fmtid="{D5CDD505-2E9C-101B-9397-08002B2CF9AE}" pid="5" name="CitaviDocumentProperty_0">
    <vt:lpwstr>f1ed8f7d-1c65-4f06-ad48-3e96e725bea1</vt:lpwstr>
  </property>
  <property fmtid="{D5CDD505-2E9C-101B-9397-08002B2CF9AE}" pid="6" name="CitaviDocumentProperty_1">
    <vt:lpwstr>6.15.0.0</vt:lpwstr>
  </property>
</Properties>
</file>