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C6" w:rsidRPr="00A755C6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b/>
          <w:sz w:val="21"/>
          <w:szCs w:val="21"/>
          <w:lang w:val="en-US"/>
        </w:rPr>
      </w:pPr>
      <w:r w:rsidRPr="00A755C6">
        <w:rPr>
          <w:rFonts w:ascii="Times New Roman" w:eastAsia="MS Mincho" w:hAnsi="Times New Roman" w:cs="Times New Roman"/>
          <w:b/>
          <w:sz w:val="21"/>
          <w:szCs w:val="21"/>
          <w:lang w:val="en-US"/>
        </w:rPr>
        <w:t>Teeth class sizes and available total range</w:t>
      </w:r>
    </w:p>
    <w:p w:rsidR="00A755C6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  <w:proofErr w:type="gram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To minimize sampling different class sizes or juveniles for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 xml:space="preserve">Carcharhinus 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and other considered species, only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archaeological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teeth with a specific crown height size range were sampled for SIA: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 xml:space="preserve">Carcharhinus 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group 0.8–1.7 cm (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Carcharhinus obscurus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>,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Carcharhinus plumbeus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and </w:t>
      </w:r>
      <w:r>
        <w:rPr>
          <w:rFonts w:ascii="Times New Roman" w:eastAsia="MS Mincho" w:hAnsi="Times New Roman" w:cs="Times New Roman"/>
          <w:i/>
          <w:sz w:val="21"/>
          <w:szCs w:val="21"/>
          <w:lang w:val="en-US"/>
        </w:rPr>
        <w:t>Carcharhinus brachyurus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>,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N = 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>18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), available total range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for sampling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(ATR): 0.4–1.7 cm;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Carcharhinus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 xml:space="preserve">leucas 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0.8–1.5 cm (N = 4), ATR: 0.6–1.5 cm;, ATR: 0.4–1.5 cm;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C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.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 xml:space="preserve"> taurus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1.5-2.6 cm (N = 1</w:t>
      </w:r>
      <w:r>
        <w:rPr>
          <w:rFonts w:ascii="Times New Roman" w:eastAsia="MS Mincho" w:hAnsi="Times New Roman" w:cs="Times New Roman"/>
          <w:sz w:val="21"/>
          <w:szCs w:val="21"/>
          <w:lang w:val="en-US"/>
        </w:rPr>
        <w:t>4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), ATR: 0.7–2.8 cm;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C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.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 xml:space="preserve"> carcharias 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1.2-2.5 cm (N = 7), ATR: 0.6–3 cm;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Galeocerdo cuvier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1.0-2.5 cm (N = 7) ATR: 0.6–2.5 cm;,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Negaprion brevirostris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1.1-1.5 cm (N = 4), ATR: 0.5–1.5 cm; </w:t>
      </w:r>
      <w:r w:rsidRPr="00137C8D">
        <w:rPr>
          <w:rFonts w:ascii="Times New Roman" w:eastAsia="MS Mincho" w:hAnsi="Times New Roman" w:cs="Times New Roman"/>
          <w:i/>
          <w:sz w:val="21"/>
          <w:szCs w:val="21"/>
          <w:lang w:val="en-US"/>
        </w:rPr>
        <w:t>Isurus paucus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1.55-2.75 cm (N = 4), ATR: 1.55–2.75 cm.</w:t>
      </w:r>
      <w:proofErr w:type="gramEnd"/>
    </w:p>
    <w:p w:rsidR="00A755C6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</w:p>
    <w:p w:rsidR="00A755C6" w:rsidRPr="00A755C6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b/>
          <w:sz w:val="21"/>
          <w:szCs w:val="21"/>
          <w:lang w:val="en-US"/>
        </w:rPr>
      </w:pPr>
      <w:r w:rsidRPr="00A755C6">
        <w:rPr>
          <w:rFonts w:ascii="Times New Roman" w:eastAsia="MS Mincho" w:hAnsi="Times New Roman" w:cs="Times New Roman"/>
          <w:b/>
          <w:sz w:val="21"/>
          <w:szCs w:val="21"/>
          <w:lang w:val="en-US"/>
        </w:rPr>
        <w:t>Choosing EDTA as decalcifying agent</w:t>
      </w:r>
    </w:p>
    <w:p w:rsidR="00A755C6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The mineralized matrix in shark teeth consists of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fluoropatite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(</w:t>
      </w:r>
      <w:proofErr w:type="gram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Ca5(</w:t>
      </w:r>
      <w:proofErr w:type="gram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PO4)F) in the outer layer, whereas the inner layer or dentin is mainly made of hydroxyapatite (Ca5(PO4)OH) with some degree of carbonates substitution forming carbonated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apatites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(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LeGeros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1981;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Enax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et al. 2012; </w:t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‌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Lübke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et al. 2015). The inorganic carbon present in hydroxyapatite of dentin differs in isotopic composition to the organic component (Newsome et al. 2010); therefore, the collagen must be isolated prior to SIA. To isolate collagen, it has been suggested the use of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ethylenediaminetetraacetic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acid (EDTA) in shark vertebrae, likewise made of hydroxyapatite, as an alternative to use hydrochloric acid (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HCl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) due to the HCL rapid dissolution of both collagen and organic matrix (Kim and Koch 2012). Furthermore, EDTA </w:t>
      </w:r>
      <w:proofErr w:type="gram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is indicated</w:t>
      </w:r>
      <w:proofErr w:type="gram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for fossil samples (or presumably samples with diagenetic alterations) because EDTA decalcification is more effective than using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HCl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, also giving a product free from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humic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acids (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Tuross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et al. 1988)</w:t>
      </w:r>
    </w:p>
    <w:p w:rsidR="00A755C6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</w:p>
    <w:p w:rsidR="00A755C6" w:rsidRPr="00F661F5" w:rsidRDefault="00A755C6" w:rsidP="00F661F5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b/>
          <w:sz w:val="21"/>
          <w:szCs w:val="21"/>
          <w:lang w:val="en-US"/>
        </w:rPr>
      </w:pPr>
      <w:bookmarkStart w:id="0" w:name="_Toc13661117"/>
      <w:r w:rsidRPr="00F661F5">
        <w:rPr>
          <w:rFonts w:ascii="Times New Roman" w:eastAsia="MS Mincho" w:hAnsi="Times New Roman" w:cs="Times New Roman"/>
          <w:b/>
          <w:sz w:val="21"/>
          <w:szCs w:val="21"/>
          <w:lang w:val="en-US"/>
        </w:rPr>
        <w:t>Stable Isotope Analysis</w:t>
      </w:r>
      <w:bookmarkEnd w:id="0"/>
    </w:p>
    <w:p w:rsidR="00A755C6" w:rsidRPr="00137C8D" w:rsidRDefault="00A755C6" w:rsidP="00F661F5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  <w:bookmarkStart w:id="1" w:name="_GoBack"/>
      <w:bookmarkEnd w:id="1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Carbon and nitrogen stable isotope ratios were measured </w:t>
      </w:r>
      <w:r w:rsidRPr="00137C8D">
        <w:rPr>
          <w:rFonts w:ascii="Times New Roman" w:eastAsia="MS Mincho" w:hAnsi="Times New Roman" w:cs="Times New Roman"/>
          <w:bCs/>
          <w:sz w:val="21"/>
          <w:szCs w:val="21"/>
          <w:lang w:val="en-US"/>
        </w:rPr>
        <w:t xml:space="preserve">using a </w:t>
      </w:r>
      <w:proofErr w:type="spellStart"/>
      <w:r w:rsidRPr="00137C8D">
        <w:rPr>
          <w:rFonts w:ascii="Times New Roman" w:eastAsia="MS Mincho" w:hAnsi="Times New Roman" w:cs="Times New Roman"/>
          <w:bCs/>
          <w:sz w:val="21"/>
          <w:szCs w:val="21"/>
          <w:lang w:val="en-US"/>
        </w:rPr>
        <w:t>Costech</w:t>
      </w:r>
      <w:proofErr w:type="spellEnd"/>
      <w:r w:rsidRPr="00137C8D">
        <w:rPr>
          <w:rFonts w:ascii="Times New Roman" w:eastAsia="MS Mincho" w:hAnsi="Times New Roman" w:cs="Times New Roman"/>
          <w:bCs/>
          <w:sz w:val="21"/>
          <w:szCs w:val="21"/>
          <w:lang w:val="en-US"/>
        </w:rPr>
        <w:t xml:space="preserve"> (4010) elemental analyzer coupled to a </w:t>
      </w:r>
      <w:proofErr w:type="spellStart"/>
      <w:r w:rsidRPr="00137C8D">
        <w:rPr>
          <w:rFonts w:ascii="Times New Roman" w:eastAsia="MS Mincho" w:hAnsi="Times New Roman" w:cs="Times New Roman"/>
          <w:bCs/>
          <w:sz w:val="21"/>
          <w:szCs w:val="21"/>
          <w:lang w:val="en-US"/>
        </w:rPr>
        <w:t>Thermo</w:t>
      </w:r>
      <w:proofErr w:type="spellEnd"/>
      <w:r w:rsidRPr="00137C8D">
        <w:rPr>
          <w:rFonts w:ascii="Times New Roman" w:eastAsia="MS Mincho" w:hAnsi="Times New Roman" w:cs="Times New Roman"/>
          <w:bCs/>
          <w:sz w:val="21"/>
          <w:szCs w:val="21"/>
          <w:lang w:val="en-US"/>
        </w:rPr>
        <w:t xml:space="preserve"> Scientific Delta V isotope ratio mass spectrometer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at the University </w:t>
      </w:r>
      <w:proofErr w:type="gram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of</w:t>
      </w:r>
      <w:proofErr w:type="gram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New Mexico Center for Stable Isotopes (Albuquerque, NM). Stable isotope data are expressed as δ values using the equation X = [(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Rsample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–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Rstandard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)/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Rstandard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] × 1000 (‰), where X is the heavy isotope of interest,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Rsample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Rstandard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are respectively the ratios of </w:t>
      </w:r>
      <w:r w:rsidRPr="00137C8D">
        <w:rPr>
          <w:rFonts w:ascii="Times New Roman" w:eastAsia="MS Mincho" w:hAnsi="Times New Roman" w:cs="Times New Roman"/>
          <w:sz w:val="21"/>
          <w:szCs w:val="21"/>
          <w:vertAlign w:val="superscript"/>
          <w:lang w:val="en-US"/>
        </w:rPr>
        <w:t>15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N/</w:t>
      </w:r>
      <w:r w:rsidRPr="00137C8D">
        <w:rPr>
          <w:rFonts w:ascii="Times New Roman" w:eastAsia="MS Mincho" w:hAnsi="Times New Roman" w:cs="Times New Roman"/>
          <w:sz w:val="21"/>
          <w:szCs w:val="21"/>
          <w:vertAlign w:val="superscript"/>
          <w:lang w:val="en-US"/>
        </w:rPr>
        <w:t>14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N and </w:t>
      </w:r>
      <w:r w:rsidRPr="00137C8D">
        <w:rPr>
          <w:rFonts w:ascii="Times New Roman" w:eastAsia="MS Mincho" w:hAnsi="Times New Roman" w:cs="Times New Roman"/>
          <w:sz w:val="21"/>
          <w:szCs w:val="21"/>
          <w:vertAlign w:val="superscript"/>
          <w:lang w:val="en-US"/>
        </w:rPr>
        <w:t>12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C/</w:t>
      </w:r>
      <w:r w:rsidRPr="00137C8D">
        <w:rPr>
          <w:rFonts w:ascii="Times New Roman" w:eastAsia="MS Mincho" w:hAnsi="Times New Roman" w:cs="Times New Roman"/>
          <w:sz w:val="21"/>
          <w:szCs w:val="21"/>
          <w:vertAlign w:val="superscript"/>
          <w:lang w:val="en-US"/>
        </w:rPr>
        <w:t>13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C for each sample and their standard. Pee Dee Belemnite (V-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lastRenderedPageBreak/>
        <w:t>PDB) limestone and atmospheric N</w:t>
      </w:r>
      <w:r w:rsidRPr="00137C8D">
        <w:rPr>
          <w:rFonts w:ascii="Times New Roman" w:eastAsia="MS Mincho" w:hAnsi="Times New Roman" w:cs="Times New Roman"/>
          <w:sz w:val="21"/>
          <w:szCs w:val="21"/>
          <w:vertAlign w:val="subscript"/>
          <w:lang w:val="en-US"/>
        </w:rPr>
        <w:t>2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</w:t>
      </w:r>
      <w:proofErr w:type="gram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were used</w:t>
      </w:r>
      <w:proofErr w:type="gram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as standard reference materials for carbon and nitrogen, respectively. The reported analytical precision was &lt; 0.2‰ for δ15N and &lt; 0.1‰ for </w:t>
      </w:r>
      <w:r w:rsidRPr="00137C8D">
        <w:rPr>
          <w:rFonts w:ascii="Times New Roman" w:eastAsia="MS Mincho" w:hAnsi="Times New Roman" w:cs="Times New Roman"/>
          <w:sz w:val="21"/>
          <w:szCs w:val="21"/>
          <w:lang w:val="es-AR" w:eastAsia="es-AR"/>
        </w:rPr>
        <w:t>δ</w:t>
      </w:r>
      <w:r w:rsidRPr="00137C8D">
        <w:rPr>
          <w:rFonts w:ascii="Times New Roman" w:eastAsia="MS Mincho" w:hAnsi="Times New Roman" w:cs="Times New Roman"/>
          <w:sz w:val="21"/>
          <w:szCs w:val="21"/>
          <w:vertAlign w:val="superscript"/>
          <w:lang w:val="en-US" w:eastAsia="es-AR"/>
        </w:rPr>
        <w:t>13</w:t>
      </w:r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C. A correction factor of 0.022‰ </w:t>
      </w:r>
      <w:proofErr w:type="gram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was applied</w:t>
      </w:r>
      <w:proofErr w:type="gram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per year (counting from the latest to the most recent year of when shark samples were obtained) to all modern sharks’ samples carbon isotope values to account for the </w:t>
      </w:r>
      <w:proofErr w:type="spellStart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>Suess</w:t>
      </w:r>
      <w:proofErr w:type="spellEnd"/>
      <w:r w:rsidRPr="00137C8D"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effect (</w:t>
      </w:r>
      <w:proofErr w:type="spellStart"/>
      <w:r>
        <w:rPr>
          <w:rFonts w:ascii="Times New Roman" w:eastAsia="MS Mincho" w:hAnsi="Times New Roman" w:cs="Times New Roman"/>
          <w:sz w:val="21"/>
          <w:szCs w:val="21"/>
          <w:lang w:val="en-US"/>
        </w:rPr>
        <w:t>Indermühle</w:t>
      </w:r>
      <w:proofErr w:type="spellEnd"/>
      <w:r>
        <w:rPr>
          <w:rFonts w:ascii="Times New Roman" w:eastAsia="MS Mincho" w:hAnsi="Times New Roman" w:cs="Times New Roman"/>
          <w:sz w:val="21"/>
          <w:szCs w:val="21"/>
          <w:lang w:val="en-US"/>
        </w:rPr>
        <w:t xml:space="preserve"> et al. 1999).</w:t>
      </w:r>
    </w:p>
    <w:p w:rsidR="00A755C6" w:rsidRPr="00137C8D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</w:p>
    <w:p w:rsidR="00A755C6" w:rsidRPr="00137C8D" w:rsidRDefault="00A755C6" w:rsidP="00A755C6">
      <w:pPr>
        <w:spacing w:line="480" w:lineRule="auto"/>
        <w:ind w:firstLine="284"/>
        <w:jc w:val="both"/>
        <w:rPr>
          <w:rFonts w:ascii="Times New Roman" w:eastAsia="MS Mincho" w:hAnsi="Times New Roman" w:cs="Times New Roman"/>
          <w:sz w:val="21"/>
          <w:szCs w:val="21"/>
          <w:lang w:val="en-US"/>
        </w:rPr>
      </w:pPr>
    </w:p>
    <w:p w:rsidR="002E0011" w:rsidRPr="00A755C6" w:rsidRDefault="002E0011">
      <w:pPr>
        <w:rPr>
          <w:lang w:val="en-US"/>
        </w:rPr>
      </w:pPr>
    </w:p>
    <w:sectPr w:rsidR="002E0011" w:rsidRPr="00A7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C6"/>
    <w:rsid w:val="000C1CD4"/>
    <w:rsid w:val="002E0011"/>
    <w:rsid w:val="003F526A"/>
    <w:rsid w:val="00714D8A"/>
    <w:rsid w:val="00A755C6"/>
    <w:rsid w:val="00F6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96A30-5DBC-4E75-A10E-34A4BB40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C6"/>
    <w:pPr>
      <w:spacing w:after="0" w:line="240" w:lineRule="auto"/>
    </w:pPr>
    <w:rPr>
      <w:rFonts w:eastAsiaTheme="minorEastAsia"/>
      <w:sz w:val="24"/>
      <w:szCs w:val="24"/>
      <w:lang w:val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5C6"/>
    <w:pPr>
      <w:spacing w:before="200" w:line="480" w:lineRule="auto"/>
      <w:outlineLvl w:val="2"/>
    </w:pPr>
    <w:rPr>
      <w:rFonts w:ascii="Times New Roman" w:eastAsia="MS Mincho" w:hAnsi="Times New Roman" w:cs="Times New Roman"/>
      <w:b/>
      <w:i/>
      <w:sz w:val="21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55C6"/>
    <w:rPr>
      <w:rFonts w:ascii="Times New Roman" w:eastAsia="MS Mincho" w:hAnsi="Times New Roman" w:cs="Times New Roman"/>
      <w:b/>
      <w:i/>
      <w:sz w:val="21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2022-09-20T18:34:00Z</dcterms:created>
  <dcterms:modified xsi:type="dcterms:W3CDTF">2022-09-20T18:58:00Z</dcterms:modified>
</cp:coreProperties>
</file>