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B735" w14:textId="31E7476F" w:rsidR="00FA6880" w:rsidRPr="003A6A4A" w:rsidRDefault="003A6A4A" w:rsidP="003A6A4A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65F6254" wp14:editId="68EE42C1">
            <wp:simplePos x="0" y="0"/>
            <wp:positionH relativeFrom="margin">
              <wp:posOffset>-174556</wp:posOffset>
            </wp:positionH>
            <wp:positionV relativeFrom="page">
              <wp:posOffset>894796</wp:posOffset>
            </wp:positionV>
            <wp:extent cx="5730875" cy="4901565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490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26E0F7" w14:textId="77CDEA7B" w:rsidR="003A6A4A" w:rsidRDefault="003A6A4A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Pr="001177F2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Age-standardized 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 xml:space="preserve">mortality </w:t>
      </w:r>
      <w:r>
        <w:rPr>
          <w:rFonts w:ascii="Times New Roman" w:hAnsi="Times New Roman" w:cs="Times New Roman"/>
          <w:sz w:val="20"/>
          <w:szCs w:val="20"/>
          <w:lang w:val="en-US"/>
        </w:rPr>
        <w:t>at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 xml:space="preserve"> 30</w:t>
      </w:r>
      <w:r>
        <w:rPr>
          <w:rFonts w:ascii="Times New Roman" w:hAnsi="Times New Roman" w:cs="Times New Roman"/>
          <w:sz w:val="20"/>
          <w:szCs w:val="20"/>
          <w:lang w:val="en-US"/>
        </w:rPr>
        <w:t>- and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 xml:space="preserve"> 90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>day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and 1-year </w:t>
      </w:r>
      <w:r w:rsidRPr="0024233F">
        <w:rPr>
          <w:rFonts w:ascii="Times New Roman" w:hAnsi="Times New Roman" w:cs="Times New Roman"/>
          <w:sz w:val="20"/>
          <w:szCs w:val="20"/>
          <w:lang w:val="en-US"/>
        </w:rPr>
        <w:t xml:space="preserve">for </w:t>
      </w:r>
      <w:r>
        <w:rPr>
          <w:rFonts w:ascii="Times New Roman" w:hAnsi="Times New Roman" w:cs="Times New Roman"/>
          <w:sz w:val="20"/>
          <w:szCs w:val="20"/>
          <w:lang w:val="en-US"/>
        </w:rPr>
        <w:t>patients with sepsis receiving intensive care treatment</w:t>
      </w:r>
    </w:p>
    <w:p w14:paraId="31A96007" w14:textId="49D5C362" w:rsidR="003A6A4A" w:rsidRDefault="003A6A4A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8B57473" w14:textId="77777777" w:rsidR="003A6A4A" w:rsidRPr="00C13399" w:rsidRDefault="003A6A4A">
      <w:pPr>
        <w:rPr>
          <w:lang w:val="en-US"/>
        </w:rPr>
      </w:pPr>
    </w:p>
    <w:tbl>
      <w:tblPr>
        <w:tblStyle w:val="TableGrid"/>
        <w:tblW w:w="949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08"/>
        <w:gridCol w:w="820"/>
        <w:gridCol w:w="850"/>
        <w:gridCol w:w="709"/>
        <w:gridCol w:w="964"/>
        <w:gridCol w:w="992"/>
        <w:gridCol w:w="2127"/>
        <w:gridCol w:w="28"/>
      </w:tblGrid>
      <w:tr w:rsidR="003A6A4A" w:rsidRPr="00A70C7F" w14:paraId="367753E8" w14:textId="77777777" w:rsidTr="0012554D">
        <w:trPr>
          <w:trHeight w:val="304"/>
        </w:trPr>
        <w:tc>
          <w:tcPr>
            <w:tcW w:w="949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91264F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Supplementary</w:t>
            </w:r>
            <w:r w:rsidRPr="00C133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C1339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133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Hazard ratio for death from Cox regression by sepsis characteristics during follow-up of sepsis patients.</w:t>
            </w:r>
          </w:p>
        </w:tc>
      </w:tr>
      <w:tr w:rsidR="003A6A4A" w:rsidRPr="00C13399" w14:paraId="442C2FFB" w14:textId="77777777" w:rsidTr="0012554D">
        <w:trPr>
          <w:trHeight w:val="847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14:paraId="1ADAAF65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Variable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52876D70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No. of patients</w:t>
            </w:r>
          </w:p>
          <w:p w14:paraId="307E40EC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68D7266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Person year at risk</w:t>
            </w:r>
          </w:p>
          <w:p w14:paraId="2B6ABD00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E16BE9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Deaths</w:t>
            </w:r>
          </w:p>
          <w:p w14:paraId="3AF5AB5A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7DBB7023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Mortality</w:t>
            </w:r>
          </w:p>
          <w:p w14:paraId="1AC9E3C1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per 100 person year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333276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Crude HR</w:t>
            </w:r>
          </w:p>
        </w:tc>
        <w:tc>
          <w:tcPr>
            <w:tcW w:w="2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3C06C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Adjusted HR</w:t>
            </w:r>
            <w:r w:rsidRPr="00C1339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n-NO"/>
              </w:rPr>
              <w:t>a</w:t>
            </w: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 (95% CI)</w:t>
            </w:r>
          </w:p>
          <w:p w14:paraId="7F99A3C1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</w:tr>
      <w:tr w:rsidR="003A6A4A" w:rsidRPr="00C13399" w14:paraId="47E28C03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9763D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Sepsis subgroup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nn-NO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2D79FBFF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BC5269A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66A7EE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E4521F7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34C5AA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E8CB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</w:p>
        </w:tc>
      </w:tr>
      <w:tr w:rsidR="003A6A4A" w:rsidRPr="00C13399" w14:paraId="1CC9EFE6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227E1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  Implicit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0E60C5F2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17 3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1969B46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11 079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CF9568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5 598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2BA3B3D7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50.5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236F8BA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1.00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0C532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    1.000 (Reference)</w:t>
            </w:r>
          </w:p>
        </w:tc>
      </w:tr>
      <w:tr w:rsidR="003A6A4A" w:rsidRPr="00C13399" w14:paraId="38F0556B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51124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  Explicit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7F6F4999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8 2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B676346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5 526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585575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2 660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6FD37265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48.1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D88780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0.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30841" w14:textId="4F5865B8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1.09 (1.04</w:t>
            </w:r>
            <w:r w:rsidR="001F22D4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1.14)</w:t>
            </w:r>
          </w:p>
        </w:tc>
      </w:tr>
      <w:tr w:rsidR="003A6A4A" w:rsidRPr="00C13399" w14:paraId="209537CC" w14:textId="77777777" w:rsidTr="0012554D">
        <w:trPr>
          <w:gridAfter w:val="1"/>
          <w:wAfter w:w="28" w:type="dxa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BF5C" w14:textId="77777777" w:rsidR="003A6A4A" w:rsidRPr="00C1339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  COVID-19-related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</w:tcPr>
          <w:p w14:paraId="4BFF364A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2 845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D2971E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1 841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1FC1265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490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14:paraId="1E5A84E2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26.6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1A8A3ED" w14:textId="77777777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 w:rsidRPr="00C1339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0.5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57C10" w14:textId="322BC772" w:rsidR="003A6A4A" w:rsidRPr="00C13399" w:rsidRDefault="003A6A4A" w:rsidP="0012554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0.85 (0.77</w:t>
            </w:r>
            <w:r w:rsidR="001F22D4"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>–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nn-NO"/>
              </w:rPr>
              <w:t xml:space="preserve">0.93) </w:t>
            </w:r>
          </w:p>
        </w:tc>
      </w:tr>
      <w:tr w:rsidR="003A6A4A" w:rsidRPr="00A70C7F" w14:paraId="0BC86068" w14:textId="77777777" w:rsidTr="0012554D">
        <w:trPr>
          <w:gridAfter w:val="1"/>
          <w:wAfter w:w="28" w:type="dxa"/>
        </w:trPr>
        <w:tc>
          <w:tcPr>
            <w:tcW w:w="947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A599D" w14:textId="77777777" w:rsidR="003A6A4A" w:rsidRPr="004520D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Abbrevation: HR=Hazard Ratio, CI= Confidence Interval. </w:t>
            </w:r>
          </w:p>
          <w:p w14:paraId="319CA0F8" w14:textId="77777777" w:rsidR="003A6A4A" w:rsidRPr="004520D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Cox regression with time to death as dependent variable, the listed variable as covariate, adjusted for indicator covariate for the year  2020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sex and age.</w:t>
            </w:r>
          </w:p>
          <w:p w14:paraId="60D82821" w14:textId="77777777" w:rsidR="003A6A4A" w:rsidRPr="004520D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520D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All patients entered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after 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Pr="004520D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February 2020</w:t>
            </w:r>
          </w:p>
          <w:p w14:paraId="5F885241" w14:textId="77777777" w:rsidR="003A6A4A" w:rsidRPr="004520D9" w:rsidRDefault="003A6A4A" w:rsidP="0012554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3CB4194" w14:textId="10AC4D87" w:rsidR="003A6A4A" w:rsidRPr="00C13399" w:rsidRDefault="003A6A4A">
      <w:pPr>
        <w:rPr>
          <w:lang w:val="en-US"/>
        </w:rPr>
      </w:pPr>
    </w:p>
    <w:sectPr w:rsidR="003A6A4A" w:rsidRPr="00C133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C8"/>
    <w:rsid w:val="00000AC8"/>
    <w:rsid w:val="000F38B7"/>
    <w:rsid w:val="001003AD"/>
    <w:rsid w:val="001F22D4"/>
    <w:rsid w:val="00260253"/>
    <w:rsid w:val="00336F58"/>
    <w:rsid w:val="003A6A4A"/>
    <w:rsid w:val="004520D9"/>
    <w:rsid w:val="006F11EC"/>
    <w:rsid w:val="00784395"/>
    <w:rsid w:val="00A70C7F"/>
    <w:rsid w:val="00C13399"/>
    <w:rsid w:val="00C54B94"/>
    <w:rsid w:val="00D50E67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D10A"/>
  <w15:chartTrackingRefBased/>
  <w15:docId w15:val="{A5E299FF-4455-441A-835C-3E9F8757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13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3399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3399"/>
    <w:rPr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F22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Vibeche Skei</dc:creator>
  <cp:keywords/>
  <dc:description/>
  <cp:lastModifiedBy>Nina Vibeche Skei</cp:lastModifiedBy>
  <cp:revision>2</cp:revision>
  <cp:lastPrinted>2023-03-11T08:34:00Z</cp:lastPrinted>
  <dcterms:created xsi:type="dcterms:W3CDTF">2023-03-21T12:11:00Z</dcterms:created>
  <dcterms:modified xsi:type="dcterms:W3CDTF">2023-03-21T12:11:00Z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e86a04e961bbbb4fbe040fad40cbe28308dbd365dfd535f2adbf77f9862da3fd</vt:lpwstr>
  </property>
</Properties>
</file>