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240" w:lineRule="auto"/>
        <w:ind w:left="100" w:right="100" w:firstLine="0"/>
        <w:jc w:val="center"/>
        <w:rPr>
          <w:rFonts w:hint="default" w:ascii="Times New Roman" w:hAnsi="Times New Roman" w:eastAsia="Cambria" w:cs="Times New Roman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auto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auto"/>
        </w:rPr>
        <w:t>Table 2: The most significant signaling pathways associated with CENPW expression.</w:t>
      </w:r>
    </w:p>
    <w:tbl>
      <w:tblPr>
        <w:tblStyle w:val="8"/>
        <w:tblW w:w="15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8169"/>
        <w:gridCol w:w="1643"/>
        <w:gridCol w:w="1698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0142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Description</w:t>
            </w:r>
          </w:p>
        </w:tc>
        <w:tc>
          <w:tcPr>
            <w:tcW w:w="16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NES</w:t>
            </w:r>
          </w:p>
        </w:tc>
        <w:tc>
          <w:tcPr>
            <w:tcW w:w="169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P-value</w:t>
            </w:r>
          </w:p>
        </w:tc>
        <w:tc>
          <w:tcPr>
            <w:tcW w:w="153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P-</w:t>
            </w: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adjust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Positive GO term</w:t>
            </w: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GO_IMMUNOGLOBULIN_COMPLEX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2.8883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GO_IMMUNOGLOBULIN_COMPLEX_CIRCULATING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2.6985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0.0039 </w:t>
            </w:r>
          </w:p>
        </w:tc>
      </w:tr>
      <w:tr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GO_IMMUNOGLOBULIN_RECEPTOR_BINDING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2.6555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GO_CELL_FATE_SPECIFICATION_INVOLVED_IN_PATTERN_SPECIFICATION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2.0607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GO_PHOSPHOLIPID_EFFLUX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1.9716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Negative GO term</w:t>
            </w: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GO_PHOSPHATIDYLINOSITOL_3_PHOSPHATE_BIOSYNTHETIC_PROCESS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-2.4406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0.0005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GO_1_PHOSPHATIDYLINOSITOL_3_KINASE_ACTIVITY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-2.2292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0.0012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GO_IMMATURE_B_CELL_DIFFERENTIATION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-2.0996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0.0012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GO_NEGATIVE_REGULATION_OF_CELL_CELL_ADHESION_MEDIATED_BY_CADHERIN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-2.0291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0.0020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GO_REGULATION_OF_TUBULIN_DEACETYLATION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-2.0256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0.0020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Positive KEGG term</w:t>
            </w: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KEGG_COMPLEMENT_AND_COAGULATION_CASCADES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1.9957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KEGG_ALPHA_LINOLENIC_ACID_METABOLISM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1.8880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0.0004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KEGG_LINOLEIC_ACID_METABOLISM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1.8270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0.0005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KEGG_PRIMARY_IMMUNODEFICIENCY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1.7611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0.0010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0.0187 </w:t>
            </w:r>
          </w:p>
        </w:tc>
      </w:tr>
      <w:tr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KEGG_MATURITY_ONSET_DIABETES_OF_THE_YOUNG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1.6909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0.0028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0.0328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auto"/>
              </w:rPr>
              <w:t>Negative KEGG term</w:t>
            </w: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KEGG_PROPANOATE_METABOLISM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-2.6631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0.0008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KEGG_VALINE_LEUCINE_AND_ISOLEUCINE_DEGRADATION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-2.4827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0.0011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KEGG_CIRCADIAN_RHYTHM_MAMMAL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-1.9896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0.0036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KEGG_CITRATE_CYCLE_TCA_CYCLE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-1.9803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0.0016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73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1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DejaVu Sans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KEGG_FATTY_ACID_METABOLISM</w:t>
            </w:r>
          </w:p>
        </w:tc>
        <w:tc>
          <w:tcPr>
            <w:tcW w:w="16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-1.8706 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0.0021 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0.0273 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color w:val="auto"/>
          <w:sz w:val="22"/>
          <w:szCs w:val="22"/>
          <w:highlight w:val="none"/>
        </w:rPr>
      </w:pPr>
    </w:p>
    <w:sectPr>
      <w:type w:val="continuous"/>
      <w:pgSz w:w="16840" w:h="1190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M2U2ZTgxYmQwMDMxOGZjMDdjZTE2NzUwM2ZhMzk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03D25024"/>
    <w:rsid w:val="16695DAB"/>
    <w:rsid w:val="17556DE2"/>
    <w:rsid w:val="44290EDD"/>
    <w:rsid w:val="782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after="100"/>
    </w:pPr>
  </w:style>
  <w:style w:type="paragraph" w:styleId="7">
    <w:name w:val="toc 2"/>
    <w:basedOn w:val="1"/>
    <w:next w:val="1"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1274</Characters>
  <Lines>0</Lines>
  <Paragraphs>0</Paragraphs>
  <TotalTime>54</TotalTime>
  <ScaleCrop>false</ScaleCrop>
  <LinksUpToDate>false</LinksUpToDate>
  <CharactersWithSpaces>1352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知汝不识丁</dc:creator>
  <cp:lastModifiedBy>知汝不识丁</cp:lastModifiedBy>
  <dcterms:modified xsi:type="dcterms:W3CDTF">2022-09-12T08:01:42Z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6639F7AC13EE43D58A946CCA824D4024</vt:lpwstr>
  </property>
</Properties>
</file>