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00" w:line="240" w:lineRule="auto"/>
        <w:ind w:left="100" w:right="100" w:firstLine="0"/>
        <w:jc w:val="center"/>
        <w:rPr>
          <w:rFonts w:hint="default" w:ascii="Times New Roman" w:hAnsi="Times New Roman" w:eastAsia="DejaVu Sans" w:cs="Times New Roman"/>
          <w:color w:val="auto"/>
          <w:sz w:val="22"/>
          <w:szCs w:val="22"/>
          <w:shd w:val="clear" w:color="auto" w:fill="auto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shd w:val="clear" w:color="auto" w:fill="auto"/>
          <w:lang w:val="en-US" w:eastAsia="zh-CN"/>
        </w:rPr>
        <w:t xml:space="preserve">Table4: 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auto"/>
          <w:spacing w:val="0"/>
          <w:sz w:val="22"/>
          <w:szCs w:val="22"/>
          <w:shd w:val="clear" w:color="auto" w:fill="auto"/>
        </w:rPr>
        <w:t xml:space="preserve">Univariate and multivariate analyses of clinical pathological parameters in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shd w:val="clear" w:color="auto" w:fill="auto"/>
          <w:lang w:val="en-US" w:eastAsia="zh-CN"/>
        </w:rPr>
        <w:t>ccRCC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auto"/>
          <w:spacing w:val="0"/>
          <w:sz w:val="22"/>
          <w:szCs w:val="22"/>
          <w:shd w:val="clear" w:color="auto" w:fill="auto"/>
        </w:rPr>
        <w:t xml:space="preserve"> patients.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61"/>
        <w:gridCol w:w="2151"/>
        <w:gridCol w:w="1011"/>
        <w:gridCol w:w="461"/>
        <w:gridCol w:w="2151"/>
        <w:gridCol w:w="1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vMerge w:val="restart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Characteristics</w:t>
            </w:r>
          </w:p>
        </w:tc>
        <w:tc>
          <w:tcPr>
            <w:vMerge w:val="restart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Total(N)</w:t>
            </w:r>
          </w:p>
        </w:tc>
        <w:tc>
          <w:tcPr>
            <w:gridSpan w:val="2"/>
            <w:tcBorders>
              <w:top w:val="single" w:color="000000" w:sz="6" w:space="0"/>
              <w:bottom w:val="single" w:color="666666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Univariate analysis</w:t>
            </w:r>
          </w:p>
        </w:tc>
        <w:tc>
          <w:tcPr>
            <w:vMerge w:val="restart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gridSpan w:val="2"/>
            <w:tcBorders>
              <w:top w:val="single" w:color="000000" w:sz="6" w:space="0"/>
              <w:bottom w:val="single" w:color="666666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Multivariate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vMerge w:val="continue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vMerge w:val="continue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Hazard ratio (95% CI)</w:t>
            </w:r>
          </w:p>
        </w:tc>
        <w:tc>
          <w:tcPr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P value</w:t>
            </w:r>
          </w:p>
        </w:tc>
        <w:tc>
          <w:tcPr>
            <w:vMerge w:val="continue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Hazard ratio (95% CI)</w:t>
            </w:r>
          </w:p>
        </w:tc>
        <w:tc>
          <w:tcPr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P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Age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&lt;=60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Reference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&gt;60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1.765 (1.298-2.398)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b/>
                <w:color w:val="000000"/>
                <w:sz w:val="22"/>
                <w:szCs w:val="22"/>
              </w:rPr>
              <w:t>&lt;0.001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1.608 (1.038-2.490)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b/>
                <w:color w:val="000000"/>
                <w:sz w:val="22"/>
                <w:szCs w:val="22"/>
              </w:rPr>
              <w:t>0.033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Gender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Reference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353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0.930 (0.682-1.268)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0.648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0.985 (0.635-1.529)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Histologic grade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G1&amp;G2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249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Reference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G4&amp;G3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282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2.702 (1.918-3.807)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b/>
                <w:color w:val="000000"/>
                <w:sz w:val="22"/>
                <w:szCs w:val="22"/>
              </w:rPr>
              <w:t>&lt;0.001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1.468 (0.877-2.457)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Pathologic stage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536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Stage II&amp;Stage I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331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Reference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Stage III&amp;Stage IV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3.946 (2.872-5.423)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b/>
                <w:color w:val="000000"/>
                <w:sz w:val="22"/>
                <w:szCs w:val="22"/>
              </w:rPr>
              <w:t>&lt;0.001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1.064 (0.416-2.718)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N stage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257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N0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241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Reference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N1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3.453 (1.832-6.508)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b/>
                <w:color w:val="000000"/>
                <w:sz w:val="22"/>
                <w:szCs w:val="22"/>
              </w:rPr>
              <w:t>&lt;0.001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1.449 (0.712-2.950)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M stage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506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M0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428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Reference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M1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4.389 (3.212-5.999)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b/>
                <w:color w:val="000000"/>
                <w:sz w:val="22"/>
                <w:szCs w:val="22"/>
              </w:rPr>
              <w:t>&lt;0.001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2.959 (1.742-5.029)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b/>
                <w:color w:val="000000"/>
                <w:sz w:val="22"/>
                <w:szCs w:val="22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T stage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T1&amp;T2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349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Reference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T3&amp;T4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3.228 (2.382-4.374)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b/>
                <w:color w:val="000000"/>
                <w:sz w:val="22"/>
                <w:szCs w:val="22"/>
              </w:rPr>
              <w:t>&lt;0.001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1.573 (0.687-3.603)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CENPW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Low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Reference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High</w:t>
            </w:r>
          </w:p>
        </w:tc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2.421 (1.757-3.336)</w:t>
            </w:r>
          </w:p>
        </w:tc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b/>
                <w:color w:val="000000"/>
                <w:sz w:val="22"/>
                <w:szCs w:val="22"/>
              </w:rPr>
              <w:t>&lt;0.001</w:t>
            </w:r>
          </w:p>
        </w:tc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2.054 (1.246-3.387)</w:t>
            </w:r>
          </w:p>
        </w:tc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b/>
                <w:color w:val="000000"/>
                <w:sz w:val="22"/>
                <w:szCs w:val="22"/>
              </w:rPr>
              <w:t>0.005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sectPr>
      <w:type w:val="continuous"/>
      <w:pgSz w:w="11900" w:h="16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M2U2ZTgxYmQwMDMxOGZjMDdjZTE2NzUwM2ZhMzkifQ=="/>
  </w:docVars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  <w:rsid w:val="6210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unhideWhenUsed/>
    <w:uiPriority w:val="39"/>
    <w:pPr>
      <w:spacing w:after="100"/>
    </w:pPr>
  </w:style>
  <w:style w:type="paragraph" w:styleId="7">
    <w:name w:val="toc 2"/>
    <w:basedOn w:val="1"/>
    <w:next w:val="1"/>
    <w:unhideWhenUsed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uiPriority w:val="1"/>
    <w:rPr>
      <w:vertAlign w:val="superscript"/>
    </w:rPr>
  </w:style>
  <w:style w:type="paragraph" w:customStyle="1" w:styleId="22">
    <w:name w:val="graphic title"/>
    <w:basedOn w:val="18"/>
    <w:next w:val="1"/>
    <w:uiPriority w:val="0"/>
  </w:style>
  <w:style w:type="paragraph" w:customStyle="1" w:styleId="23">
    <w:name w:val="table title"/>
    <w:basedOn w:val="19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771</Characters>
  <Lines>0</Lines>
  <Paragraphs>0</Paragraphs>
  <TotalTime>4</TotalTime>
  <ScaleCrop>false</ScaleCrop>
  <LinksUpToDate>false</LinksUpToDate>
  <CharactersWithSpaces>807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知汝不识丁</dc:creator>
  <cp:lastModifiedBy>知汝不识丁</cp:lastModifiedBy>
  <dcterms:modified xsi:type="dcterms:W3CDTF">2022-09-11T17:31:26Z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EE7F4DEA22DE4499BCE9EE9992A9D07C</vt:lpwstr>
  </property>
</Properties>
</file>