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BA" w14:textId="77777777" w:rsidR="008F08CA" w:rsidRDefault="00031084">
      <w:pPr>
        <w:keepNext/>
        <w:keepLines/>
        <w:spacing w:line="360" w:lineRule="auto"/>
        <w:ind w:left="862" w:hanging="862"/>
        <w:jc w:val="center"/>
        <w:rPr>
          <w:b/>
        </w:rPr>
      </w:pPr>
      <w:bookmarkStart w:id="0" w:name="_heading=h.lnxbz9" w:colFirst="0" w:colLast="0"/>
      <w:bookmarkEnd w:id="0"/>
      <w:r>
        <w:rPr>
          <w:b/>
          <w:sz w:val="32"/>
          <w:szCs w:val="32"/>
        </w:rPr>
        <w:t>Supplementary Information</w:t>
      </w:r>
    </w:p>
    <w:p w14:paraId="000000BB" w14:textId="0C1C99A2" w:rsidR="008F08CA" w:rsidRPr="00DA3679" w:rsidRDefault="00344822" w:rsidP="00DA3679">
      <w:pPr>
        <w:spacing w:after="280"/>
        <w:jc w:val="center"/>
        <w:rPr>
          <w:color w:val="000000"/>
        </w:rPr>
      </w:pPr>
      <w:r w:rsidRPr="00051916">
        <w:rPr>
          <w:b/>
          <w:bCs/>
          <w:color w:val="000000"/>
          <w:sz w:val="28"/>
          <w:szCs w:val="28"/>
        </w:rPr>
        <w:t>Heterogeneity governs 3D-cultures of</w:t>
      </w:r>
      <w:r w:rsidRPr="00DA3679">
        <w:rPr>
          <w:b/>
          <w:bCs/>
          <w:color w:val="000000"/>
          <w:sz w:val="28"/>
          <w:szCs w:val="28"/>
          <w:lang w:val="en-US"/>
        </w:rPr>
        <w:t xml:space="preserve"> </w:t>
      </w:r>
      <w:r w:rsidRPr="00051916">
        <w:rPr>
          <w:b/>
          <w:bCs/>
          <w:color w:val="000000"/>
          <w:sz w:val="28"/>
          <w:szCs w:val="28"/>
        </w:rPr>
        <w:t>clinically relevant microbial communities</w:t>
      </w:r>
      <w:sdt>
        <w:sdtPr>
          <w:tag w:val="goog_rdk_7"/>
          <w:id w:val="-1519149773"/>
        </w:sdtPr>
        <w:sdtEndPr/>
        <w:sdtContent/>
      </w:sdt>
    </w:p>
    <w:p w14:paraId="000000BC" w14:textId="77777777" w:rsidR="008F08CA" w:rsidRPr="00684224" w:rsidRDefault="00031084">
      <w:pPr>
        <w:keepNext/>
        <w:keepLines/>
        <w:spacing w:after="280" w:line="276" w:lineRule="auto"/>
        <w:jc w:val="both"/>
        <w:rPr>
          <w:sz w:val="21"/>
          <w:szCs w:val="21"/>
          <w:lang w:val="pt-PT"/>
        </w:rPr>
      </w:pPr>
      <w:bookmarkStart w:id="1" w:name="_heading=h.qghg19mahozk" w:colFirst="0" w:colLast="0"/>
      <w:bookmarkEnd w:id="1"/>
      <w:r w:rsidRPr="00684224">
        <w:rPr>
          <w:sz w:val="21"/>
          <w:szCs w:val="21"/>
          <w:lang w:val="pt-PT"/>
        </w:rPr>
        <w:t>Daniela Peneda Pacheco</w:t>
      </w:r>
      <w:r w:rsidRPr="00684224">
        <w:rPr>
          <w:sz w:val="21"/>
          <w:szCs w:val="21"/>
          <w:vertAlign w:val="superscript"/>
          <w:lang w:val="pt-PT"/>
        </w:rPr>
        <w:t>1</w:t>
      </w:r>
      <w:r w:rsidRPr="00684224">
        <w:rPr>
          <w:sz w:val="21"/>
          <w:szCs w:val="21"/>
          <w:lang w:val="pt-PT"/>
        </w:rPr>
        <w:t>, Federico Bertoglio</w:t>
      </w:r>
      <w:r w:rsidRPr="00684224">
        <w:rPr>
          <w:sz w:val="21"/>
          <w:szCs w:val="21"/>
          <w:vertAlign w:val="superscript"/>
          <w:lang w:val="pt-PT"/>
        </w:rPr>
        <w:t>2,6#</w:t>
      </w:r>
      <w:r w:rsidRPr="00684224">
        <w:rPr>
          <w:sz w:val="21"/>
          <w:szCs w:val="21"/>
          <w:lang w:val="pt-PT"/>
        </w:rPr>
        <w:t>, Cosmin Butnarasu</w:t>
      </w:r>
      <w:r w:rsidRPr="00684224">
        <w:rPr>
          <w:sz w:val="21"/>
          <w:szCs w:val="21"/>
          <w:vertAlign w:val="superscript"/>
          <w:lang w:val="pt-PT"/>
        </w:rPr>
        <w:t>3</w:t>
      </w:r>
      <w:r w:rsidRPr="00684224">
        <w:rPr>
          <w:sz w:val="21"/>
          <w:szCs w:val="21"/>
          <w:lang w:val="pt-PT"/>
        </w:rPr>
        <w:t>, Natalia Suarez Vargas</w:t>
      </w:r>
      <w:r w:rsidRPr="00684224">
        <w:rPr>
          <w:sz w:val="21"/>
          <w:szCs w:val="21"/>
          <w:vertAlign w:val="superscript"/>
          <w:lang w:val="pt-PT"/>
        </w:rPr>
        <w:t>1</w:t>
      </w:r>
      <w:r w:rsidRPr="00684224">
        <w:rPr>
          <w:sz w:val="21"/>
          <w:szCs w:val="21"/>
          <w:lang w:val="pt-PT"/>
        </w:rPr>
        <w:t>, Giuseppe Guagliano</w:t>
      </w:r>
      <w:r w:rsidRPr="00684224">
        <w:rPr>
          <w:sz w:val="21"/>
          <w:szCs w:val="21"/>
          <w:vertAlign w:val="superscript"/>
          <w:lang w:val="pt-PT"/>
        </w:rPr>
        <w:t>1</w:t>
      </w:r>
      <w:r w:rsidRPr="00684224">
        <w:rPr>
          <w:sz w:val="21"/>
          <w:szCs w:val="21"/>
          <w:lang w:val="pt-PT"/>
        </w:rPr>
        <w:t>, Anna Ziccarelli</w:t>
      </w:r>
      <w:r w:rsidRPr="00684224">
        <w:rPr>
          <w:sz w:val="21"/>
          <w:szCs w:val="21"/>
          <w:vertAlign w:val="superscript"/>
          <w:lang w:val="pt-PT"/>
        </w:rPr>
        <w:t>1</w:t>
      </w:r>
      <w:r w:rsidRPr="00684224">
        <w:rPr>
          <w:sz w:val="21"/>
          <w:szCs w:val="21"/>
          <w:lang w:val="pt-PT"/>
        </w:rPr>
        <w:t xml:space="preserve">, Francesco </w:t>
      </w:r>
      <w:r w:rsidRPr="00684224">
        <w:rPr>
          <w:sz w:val="21"/>
          <w:szCs w:val="21"/>
          <w:lang w:val="pt-PT"/>
        </w:rPr>
        <w:t>Briatico‐Vangosa</w:t>
      </w:r>
      <w:r w:rsidRPr="00684224">
        <w:rPr>
          <w:sz w:val="21"/>
          <w:szCs w:val="21"/>
          <w:vertAlign w:val="superscript"/>
          <w:lang w:val="pt-PT"/>
        </w:rPr>
        <w:t>1</w:t>
      </w:r>
      <w:r w:rsidRPr="00684224">
        <w:rPr>
          <w:sz w:val="21"/>
          <w:szCs w:val="21"/>
          <w:lang w:val="pt-PT"/>
        </w:rPr>
        <w:t>, Vincenzo Ruzzi</w:t>
      </w:r>
      <w:r w:rsidRPr="00684224">
        <w:rPr>
          <w:sz w:val="21"/>
          <w:szCs w:val="21"/>
          <w:vertAlign w:val="superscript"/>
          <w:lang w:val="pt-PT"/>
        </w:rPr>
        <w:t>1</w:t>
      </w:r>
      <w:r w:rsidRPr="00684224">
        <w:rPr>
          <w:sz w:val="21"/>
          <w:szCs w:val="21"/>
          <w:lang w:val="pt-PT"/>
        </w:rPr>
        <w:t>, Stefano Buzzaccaro</w:t>
      </w:r>
      <w:r w:rsidRPr="00684224">
        <w:rPr>
          <w:sz w:val="21"/>
          <w:szCs w:val="21"/>
          <w:vertAlign w:val="superscript"/>
          <w:lang w:val="pt-PT"/>
        </w:rPr>
        <w:t>1</w:t>
      </w:r>
      <w:r w:rsidRPr="00684224">
        <w:rPr>
          <w:sz w:val="21"/>
          <w:szCs w:val="21"/>
          <w:lang w:val="pt-PT"/>
        </w:rPr>
        <w:t>, Roberto Piazza</w:t>
      </w:r>
      <w:r w:rsidRPr="00684224">
        <w:rPr>
          <w:sz w:val="21"/>
          <w:szCs w:val="21"/>
          <w:vertAlign w:val="superscript"/>
          <w:lang w:val="pt-PT"/>
        </w:rPr>
        <w:t>1</w:t>
      </w:r>
      <w:r w:rsidRPr="00684224">
        <w:rPr>
          <w:sz w:val="21"/>
          <w:szCs w:val="21"/>
          <w:lang w:val="pt-PT"/>
        </w:rPr>
        <w:t>, Sebastião van Uden</w:t>
      </w:r>
      <w:r w:rsidRPr="00684224">
        <w:rPr>
          <w:sz w:val="21"/>
          <w:szCs w:val="21"/>
          <w:vertAlign w:val="superscript"/>
          <w:lang w:val="pt-PT"/>
        </w:rPr>
        <w:t>1</w:t>
      </w:r>
      <w:r w:rsidRPr="00684224">
        <w:rPr>
          <w:sz w:val="21"/>
          <w:szCs w:val="21"/>
          <w:lang w:val="pt-PT"/>
        </w:rPr>
        <w:t>, Elena Crotti</w:t>
      </w:r>
      <w:r w:rsidRPr="00684224">
        <w:rPr>
          <w:sz w:val="21"/>
          <w:szCs w:val="21"/>
          <w:vertAlign w:val="superscript"/>
          <w:lang w:val="pt-PT"/>
        </w:rPr>
        <w:t>4</w:t>
      </w:r>
      <w:r w:rsidRPr="00684224">
        <w:rPr>
          <w:sz w:val="21"/>
          <w:szCs w:val="21"/>
          <w:lang w:val="pt-PT"/>
        </w:rPr>
        <w:t>, Sonja Visentin</w:t>
      </w:r>
      <w:r w:rsidRPr="00684224">
        <w:rPr>
          <w:sz w:val="21"/>
          <w:szCs w:val="21"/>
          <w:vertAlign w:val="superscript"/>
          <w:lang w:val="pt-PT"/>
        </w:rPr>
        <w:t>3</w:t>
      </w:r>
      <w:r w:rsidRPr="00684224">
        <w:rPr>
          <w:sz w:val="21"/>
          <w:szCs w:val="21"/>
          <w:lang w:val="pt-PT"/>
        </w:rPr>
        <w:t>*, Livia Visai</w:t>
      </w:r>
      <w:r w:rsidRPr="00684224">
        <w:rPr>
          <w:sz w:val="21"/>
          <w:szCs w:val="21"/>
          <w:vertAlign w:val="superscript"/>
          <w:lang w:val="pt-PT"/>
        </w:rPr>
        <w:t>2,5</w:t>
      </w:r>
      <w:r w:rsidRPr="00684224">
        <w:rPr>
          <w:sz w:val="21"/>
          <w:szCs w:val="21"/>
          <w:lang w:val="pt-PT"/>
        </w:rPr>
        <w:t>* and Paola Petrini</w:t>
      </w:r>
      <w:r w:rsidRPr="00684224">
        <w:rPr>
          <w:sz w:val="21"/>
          <w:szCs w:val="21"/>
          <w:vertAlign w:val="superscript"/>
          <w:lang w:val="pt-PT"/>
        </w:rPr>
        <w:t>1</w:t>
      </w:r>
      <w:r w:rsidRPr="00684224">
        <w:rPr>
          <w:sz w:val="21"/>
          <w:szCs w:val="21"/>
          <w:lang w:val="pt-PT"/>
        </w:rPr>
        <w:t>*</w:t>
      </w:r>
    </w:p>
    <w:p w14:paraId="000000BD" w14:textId="77777777" w:rsidR="008F08CA" w:rsidRDefault="00031084">
      <w:pPr>
        <w:keepNext/>
        <w:keepLines/>
        <w:spacing w:after="280" w:line="276" w:lineRule="auto"/>
        <w:jc w:val="both"/>
        <w:rPr>
          <w:sz w:val="21"/>
          <w:szCs w:val="21"/>
        </w:rPr>
      </w:pPr>
      <w:r>
        <w:rPr>
          <w:sz w:val="21"/>
          <w:szCs w:val="21"/>
          <w:vertAlign w:val="superscript"/>
        </w:rPr>
        <w:t>1</w:t>
      </w:r>
      <w:r>
        <w:rPr>
          <w:sz w:val="21"/>
          <w:szCs w:val="21"/>
        </w:rPr>
        <w:t>Department of Chemistry, Materials and Chemical Engineering "Giulio Natta" at Politecnico d</w:t>
      </w:r>
      <w:r>
        <w:rPr>
          <w:sz w:val="21"/>
          <w:szCs w:val="21"/>
        </w:rPr>
        <w:t>i Milano, Milan, Italy</w:t>
      </w:r>
    </w:p>
    <w:p w14:paraId="000000BE" w14:textId="77777777" w:rsidR="008F08CA" w:rsidRDefault="00031084">
      <w:pPr>
        <w:keepNext/>
        <w:keepLines/>
        <w:spacing w:after="280" w:line="276" w:lineRule="auto"/>
        <w:jc w:val="both"/>
        <w:rPr>
          <w:sz w:val="21"/>
          <w:szCs w:val="21"/>
        </w:rPr>
      </w:pPr>
      <w:r>
        <w:rPr>
          <w:sz w:val="21"/>
          <w:szCs w:val="21"/>
          <w:vertAlign w:val="superscript"/>
        </w:rPr>
        <w:t>2</w:t>
      </w:r>
      <w:r>
        <w:rPr>
          <w:sz w:val="21"/>
          <w:szCs w:val="21"/>
        </w:rPr>
        <w:t>Molecular Medicine Department (DMM), Center for Health Technologies (CHT), UdR INSTM, University of Pavia, Pavia, Italy</w:t>
      </w:r>
    </w:p>
    <w:p w14:paraId="000000BF" w14:textId="77777777" w:rsidR="008F08CA" w:rsidRDefault="00031084">
      <w:pPr>
        <w:keepNext/>
        <w:keepLines/>
        <w:spacing w:after="280" w:line="276" w:lineRule="auto"/>
        <w:jc w:val="both"/>
        <w:rPr>
          <w:sz w:val="21"/>
          <w:szCs w:val="21"/>
        </w:rPr>
      </w:pPr>
      <w:r>
        <w:rPr>
          <w:sz w:val="21"/>
          <w:szCs w:val="21"/>
          <w:vertAlign w:val="superscript"/>
        </w:rPr>
        <w:t>3</w:t>
      </w:r>
      <w:r>
        <w:rPr>
          <w:sz w:val="21"/>
          <w:szCs w:val="21"/>
        </w:rPr>
        <w:t>Molecular Biotechnology and Health Sciences Department, University of Torino, Torino, Italy</w:t>
      </w:r>
    </w:p>
    <w:p w14:paraId="000000C0" w14:textId="77777777" w:rsidR="008F08CA" w:rsidRDefault="00031084">
      <w:pPr>
        <w:keepNext/>
        <w:keepLines/>
        <w:spacing w:after="280" w:line="276" w:lineRule="auto"/>
        <w:jc w:val="both"/>
        <w:rPr>
          <w:sz w:val="21"/>
          <w:szCs w:val="21"/>
        </w:rPr>
      </w:pPr>
      <w:r>
        <w:rPr>
          <w:sz w:val="21"/>
          <w:szCs w:val="21"/>
          <w:vertAlign w:val="superscript"/>
        </w:rPr>
        <w:t>4</w:t>
      </w:r>
      <w:r>
        <w:rPr>
          <w:sz w:val="21"/>
          <w:szCs w:val="21"/>
        </w:rPr>
        <w:t>Department of Food</w:t>
      </w:r>
      <w:r>
        <w:rPr>
          <w:sz w:val="21"/>
          <w:szCs w:val="21"/>
        </w:rPr>
        <w:t>, Environmental and Nutritional Sciences (DeFENS), University of Milan, Milan, Italy</w:t>
      </w:r>
    </w:p>
    <w:p w14:paraId="000000C1" w14:textId="77777777" w:rsidR="008F08CA" w:rsidRPr="00684224" w:rsidRDefault="00031084">
      <w:pPr>
        <w:keepNext/>
        <w:keepLines/>
        <w:spacing w:after="280" w:line="276" w:lineRule="auto"/>
        <w:jc w:val="both"/>
        <w:rPr>
          <w:sz w:val="21"/>
          <w:szCs w:val="21"/>
          <w:lang w:val="pt-PT"/>
        </w:rPr>
      </w:pPr>
      <w:r w:rsidRPr="00684224">
        <w:rPr>
          <w:sz w:val="21"/>
          <w:szCs w:val="21"/>
          <w:vertAlign w:val="superscript"/>
          <w:lang w:val="pt-PT"/>
        </w:rPr>
        <w:t>5</w:t>
      </w:r>
      <w:r w:rsidRPr="00684224">
        <w:rPr>
          <w:sz w:val="21"/>
          <w:szCs w:val="21"/>
          <w:lang w:val="pt-PT"/>
        </w:rPr>
        <w:t>Medicina Clinica-Specialistica, UOR5 Laboratorio di Nanotecnologie, ICS Maugeri, IRCCS, 27100 Pavia, Italy</w:t>
      </w:r>
    </w:p>
    <w:p w14:paraId="000000C2" w14:textId="77777777" w:rsidR="008F08CA" w:rsidRDefault="00031084">
      <w:pPr>
        <w:keepNext/>
        <w:keepLines/>
        <w:spacing w:after="280" w:line="276" w:lineRule="auto"/>
        <w:jc w:val="both"/>
        <w:rPr>
          <w:sz w:val="21"/>
          <w:szCs w:val="21"/>
        </w:rPr>
      </w:pPr>
      <w:r>
        <w:rPr>
          <w:sz w:val="21"/>
          <w:szCs w:val="21"/>
          <w:vertAlign w:val="superscript"/>
        </w:rPr>
        <w:t>6</w:t>
      </w:r>
      <w:r>
        <w:rPr>
          <w:sz w:val="21"/>
          <w:szCs w:val="21"/>
        </w:rPr>
        <w:t>School of Advanced Studies IUSS Pavia, Pavia, Italy</w:t>
      </w:r>
    </w:p>
    <w:p w14:paraId="000000C3" w14:textId="77777777" w:rsidR="008F08CA" w:rsidRDefault="00031084">
      <w:pPr>
        <w:keepNext/>
        <w:keepLines/>
        <w:spacing w:after="280"/>
        <w:jc w:val="both"/>
        <w:rPr>
          <w:sz w:val="21"/>
          <w:szCs w:val="21"/>
        </w:rPr>
      </w:pPr>
      <w:r>
        <w:rPr>
          <w:sz w:val="21"/>
          <w:szCs w:val="21"/>
        </w:rPr>
        <w:t>*Correspon</w:t>
      </w:r>
      <w:r>
        <w:rPr>
          <w:sz w:val="21"/>
          <w:szCs w:val="21"/>
        </w:rPr>
        <w:t xml:space="preserve">ding authors. These authors equally contributed to the work. </w:t>
      </w:r>
    </w:p>
    <w:p w14:paraId="000000C4" w14:textId="77777777" w:rsidR="008F08CA" w:rsidRPr="00684224" w:rsidRDefault="00031084">
      <w:pPr>
        <w:keepNext/>
        <w:keepLines/>
        <w:spacing w:after="280"/>
        <w:jc w:val="both"/>
        <w:rPr>
          <w:sz w:val="21"/>
          <w:szCs w:val="21"/>
          <w:lang w:val="pt-PT"/>
        </w:rPr>
      </w:pPr>
      <w:r w:rsidRPr="00684224">
        <w:rPr>
          <w:sz w:val="21"/>
          <w:szCs w:val="21"/>
          <w:lang w:val="pt-PT"/>
        </w:rPr>
        <w:t xml:space="preserve">Prof. Paola Petrini. e-mail: </w:t>
      </w:r>
      <w:hyperlink r:id="rId9">
        <w:r w:rsidRPr="00684224">
          <w:rPr>
            <w:color w:val="0563C1"/>
            <w:u w:val="single"/>
            <w:lang w:val="pt-PT"/>
          </w:rPr>
          <w:t>paola.petrini@polimi.it</w:t>
        </w:r>
      </w:hyperlink>
    </w:p>
    <w:p w14:paraId="000000C5" w14:textId="77777777" w:rsidR="008F08CA" w:rsidRPr="00684224" w:rsidRDefault="00031084">
      <w:pPr>
        <w:keepNext/>
        <w:keepLines/>
        <w:spacing w:after="280"/>
        <w:jc w:val="both"/>
        <w:rPr>
          <w:sz w:val="21"/>
          <w:szCs w:val="21"/>
          <w:lang w:val="pt-PT"/>
        </w:rPr>
      </w:pPr>
      <w:r w:rsidRPr="00684224">
        <w:rPr>
          <w:sz w:val="21"/>
          <w:szCs w:val="21"/>
          <w:lang w:val="pt-PT"/>
        </w:rPr>
        <w:t xml:space="preserve">Prof. Livia Visai. e-mail: </w:t>
      </w:r>
      <w:hyperlink r:id="rId10">
        <w:r w:rsidRPr="00684224">
          <w:rPr>
            <w:color w:val="0563C1"/>
            <w:u w:val="single"/>
            <w:lang w:val="pt-PT"/>
          </w:rPr>
          <w:t>livia.visai@unipv.it</w:t>
        </w:r>
      </w:hyperlink>
    </w:p>
    <w:p w14:paraId="000000C6" w14:textId="77777777" w:rsidR="008F08CA" w:rsidRDefault="00031084">
      <w:pPr>
        <w:keepNext/>
        <w:keepLines/>
        <w:spacing w:after="28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Prof. Sonja Visentin. e-mail: </w:t>
      </w:r>
      <w:hyperlink r:id="rId11">
        <w:r>
          <w:rPr>
            <w:color w:val="0563C1"/>
            <w:u w:val="single"/>
          </w:rPr>
          <w:t>sonja.visentin@unito.it</w:t>
        </w:r>
      </w:hyperlink>
    </w:p>
    <w:p w14:paraId="000000C7" w14:textId="77777777" w:rsidR="008F08CA" w:rsidRDefault="008F08CA">
      <w:pPr>
        <w:keepNext/>
        <w:keepLines/>
        <w:spacing w:after="280" w:line="276" w:lineRule="auto"/>
        <w:jc w:val="both"/>
        <w:rPr>
          <w:sz w:val="21"/>
          <w:szCs w:val="21"/>
        </w:rPr>
      </w:pPr>
    </w:p>
    <w:p w14:paraId="000000C8" w14:textId="77777777" w:rsidR="008F08CA" w:rsidRDefault="00031084">
      <w:pPr>
        <w:keepNext/>
        <w:keepLines/>
        <w:spacing w:after="280" w:line="276" w:lineRule="auto"/>
        <w:jc w:val="both"/>
        <w:rPr>
          <w:b/>
          <w:sz w:val="21"/>
          <w:szCs w:val="21"/>
        </w:rPr>
      </w:pPr>
      <w:r>
        <w:rPr>
          <w:sz w:val="21"/>
          <w:szCs w:val="21"/>
        </w:rPr>
        <w:t>#Current affiliation: Choose Life Biotech SA, Bellinzona, Switzerland.</w:t>
      </w:r>
    </w:p>
    <w:p w14:paraId="000000C9" w14:textId="77777777" w:rsidR="008F08CA" w:rsidRDefault="00031084">
      <w:pPr>
        <w:rPr>
          <w:b/>
          <w:sz w:val="21"/>
          <w:szCs w:val="21"/>
        </w:rPr>
      </w:pPr>
      <w:r>
        <w:br w:type="page"/>
      </w:r>
    </w:p>
    <w:p w14:paraId="000000CB" w14:textId="77777777" w:rsidR="008F08CA" w:rsidRDefault="00031084">
      <w:pPr>
        <w:spacing w:before="280" w:after="280" w:line="360" w:lineRule="auto"/>
        <w:jc w:val="both"/>
        <w:rPr>
          <w:sz w:val="21"/>
          <w:szCs w:val="21"/>
        </w:rPr>
      </w:pPr>
      <w:r>
        <w:rPr>
          <w:b/>
          <w:sz w:val="21"/>
          <w:szCs w:val="21"/>
        </w:rPr>
        <w:lastRenderedPageBreak/>
        <w:t xml:space="preserve">Supplementary Figure 1. </w:t>
      </w:r>
      <w:r>
        <w:rPr>
          <w:sz w:val="21"/>
          <w:szCs w:val="21"/>
        </w:rPr>
        <w:t>The stability was assessed by immersing CF-Mu</w:t>
      </w:r>
      <w:r>
        <w:rPr>
          <w:sz w:val="21"/>
          <w:szCs w:val="21"/>
          <w:vertAlign w:val="superscript"/>
        </w:rPr>
        <w:t>3</w:t>
      </w:r>
      <w:r>
        <w:rPr>
          <w:sz w:val="21"/>
          <w:szCs w:val="21"/>
        </w:rPr>
        <w:t>Gel in different media: same salt content (7.07 mg.ml</w:t>
      </w:r>
      <w:r>
        <w:rPr>
          <w:sz w:val="21"/>
          <w:szCs w:val="21"/>
          <w:vertAlign w:val="superscript"/>
        </w:rPr>
        <w:t xml:space="preserve">-1 </w:t>
      </w:r>
      <w:r>
        <w:rPr>
          <w:sz w:val="21"/>
          <w:szCs w:val="21"/>
        </w:rPr>
        <w:t>NaCl) - isotonic; 0 mg.ml</w:t>
      </w:r>
      <w:r>
        <w:rPr>
          <w:sz w:val="21"/>
          <w:szCs w:val="21"/>
          <w:vertAlign w:val="superscript"/>
        </w:rPr>
        <w:t xml:space="preserve">-1 </w:t>
      </w:r>
      <w:r>
        <w:rPr>
          <w:sz w:val="21"/>
          <w:szCs w:val="21"/>
        </w:rPr>
        <w:t>NaCl - hypotonic -; 14.0 mg.ml</w:t>
      </w:r>
      <w:r>
        <w:rPr>
          <w:sz w:val="21"/>
          <w:szCs w:val="21"/>
          <w:vertAlign w:val="superscript"/>
        </w:rPr>
        <w:t xml:space="preserve">-1 </w:t>
      </w:r>
      <w:r>
        <w:rPr>
          <w:sz w:val="21"/>
          <w:szCs w:val="21"/>
        </w:rPr>
        <w:t>NaCl – hypertonic; and bacterial culture media – MHB (Muller Hinton b</w:t>
      </w:r>
      <w:r>
        <w:rPr>
          <w:sz w:val="21"/>
          <w:szCs w:val="21"/>
        </w:rPr>
        <w:t>roth). Stability assessment was conducted up to 72h to include the period of bacterial inoculation, antimicrobial treatment, and CFU counting. CF-Mu</w:t>
      </w:r>
      <w:r>
        <w:rPr>
          <w:sz w:val="21"/>
          <w:szCs w:val="21"/>
          <w:vertAlign w:val="superscript"/>
        </w:rPr>
        <w:t>3</w:t>
      </w:r>
      <w:r>
        <w:rPr>
          <w:sz w:val="21"/>
          <w:szCs w:val="21"/>
        </w:rPr>
        <w:t xml:space="preserve">Gel immersed in isotonic, hypertonic, and MHB presented similar weight and thickness variation of up to 20 </w:t>
      </w:r>
      <w:r>
        <w:rPr>
          <w:sz w:val="21"/>
          <w:szCs w:val="21"/>
        </w:rPr>
        <w:t>and 68.5%, respectively. CF-Mu</w:t>
      </w:r>
      <w:r>
        <w:rPr>
          <w:sz w:val="21"/>
          <w:szCs w:val="21"/>
          <w:vertAlign w:val="superscript"/>
        </w:rPr>
        <w:t>3</w:t>
      </w:r>
      <w:r>
        <w:rPr>
          <w:sz w:val="21"/>
          <w:szCs w:val="21"/>
        </w:rPr>
        <w:t>Gel immersed in hypotonic media experienced a pronounced impact on both weight and thickness variation, which continuously increased through the examined period of time. This may be associated with continuous water uptake.</w:t>
      </w:r>
    </w:p>
    <w:p w14:paraId="000000CD" w14:textId="77777777" w:rsidR="008F08CA" w:rsidRDefault="00031084">
      <w:pPr>
        <w:spacing w:before="280" w:after="280" w:line="360" w:lineRule="auto"/>
        <w:jc w:val="both"/>
        <w:rPr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 wp14:anchorId="3AA3B0D9" wp14:editId="34C45AF6">
            <wp:extent cx="5727700" cy="3448685"/>
            <wp:effectExtent l="0" t="0" r="0" b="0"/>
            <wp:docPr id="128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4486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47BBAE1" w14:textId="09BD0E14" w:rsidR="00344822" w:rsidRPr="00344822" w:rsidRDefault="00031084" w:rsidP="00344822">
      <w:pPr>
        <w:spacing w:before="280" w:after="280" w:line="360" w:lineRule="auto"/>
        <w:jc w:val="both"/>
        <w:rPr>
          <w:sz w:val="18"/>
          <w:szCs w:val="18"/>
        </w:rPr>
      </w:pPr>
      <w:bookmarkStart w:id="2" w:name="_heading=h.35nkun2" w:colFirst="0" w:colLast="0"/>
      <w:bookmarkEnd w:id="2"/>
      <w:r>
        <w:rPr>
          <w:b/>
          <w:sz w:val="18"/>
          <w:szCs w:val="18"/>
        </w:rPr>
        <w:t>Supplementary Fig. 1 |</w:t>
      </w:r>
      <w:r>
        <w:rPr>
          <w:sz w:val="18"/>
          <w:szCs w:val="18"/>
        </w:rPr>
        <w:t xml:space="preserve"> </w:t>
      </w:r>
      <w:r>
        <w:rPr>
          <w:b/>
          <w:sz w:val="18"/>
          <w:szCs w:val="18"/>
        </w:rPr>
        <w:t>Stability assessment of CF-Mu</w:t>
      </w:r>
      <w:r>
        <w:rPr>
          <w:b/>
          <w:sz w:val="18"/>
          <w:szCs w:val="18"/>
          <w:vertAlign w:val="superscript"/>
        </w:rPr>
        <w:t>3</w:t>
      </w:r>
      <w:r>
        <w:rPr>
          <w:b/>
          <w:sz w:val="18"/>
          <w:szCs w:val="18"/>
        </w:rPr>
        <w:t>Gel in different media</w:t>
      </w:r>
      <w:r>
        <w:rPr>
          <w:sz w:val="18"/>
          <w:szCs w:val="18"/>
        </w:rPr>
        <w:t>: MHB; hypotonic - 0 mg.ml</w:t>
      </w:r>
      <w:r>
        <w:rPr>
          <w:sz w:val="18"/>
          <w:szCs w:val="18"/>
          <w:vertAlign w:val="superscript"/>
        </w:rPr>
        <w:t xml:space="preserve">-1 </w:t>
      </w:r>
      <w:r>
        <w:rPr>
          <w:sz w:val="18"/>
          <w:szCs w:val="18"/>
        </w:rPr>
        <w:t>NaCl; isotonic – 7.07 mg.ml</w:t>
      </w:r>
      <w:r>
        <w:rPr>
          <w:sz w:val="18"/>
          <w:szCs w:val="18"/>
          <w:vertAlign w:val="superscript"/>
        </w:rPr>
        <w:t xml:space="preserve">-1 </w:t>
      </w:r>
      <w:r>
        <w:rPr>
          <w:sz w:val="18"/>
          <w:szCs w:val="18"/>
        </w:rPr>
        <w:t>NaCl; and hypertonic – 14.0 mg.ml</w:t>
      </w:r>
      <w:r>
        <w:rPr>
          <w:sz w:val="18"/>
          <w:szCs w:val="18"/>
          <w:vertAlign w:val="superscript"/>
        </w:rPr>
        <w:t xml:space="preserve">-1 </w:t>
      </w:r>
      <w:r>
        <w:rPr>
          <w:sz w:val="18"/>
          <w:szCs w:val="18"/>
        </w:rPr>
        <w:t xml:space="preserve">NaCl. </w:t>
      </w:r>
      <w:r>
        <w:rPr>
          <w:b/>
          <w:sz w:val="18"/>
          <w:szCs w:val="18"/>
        </w:rPr>
        <w:t>a,</w:t>
      </w:r>
      <w:r>
        <w:rPr>
          <w:sz w:val="18"/>
          <w:szCs w:val="18"/>
        </w:rPr>
        <w:t xml:space="preserve"> Percentage of weight variation; and </w:t>
      </w:r>
      <w:r>
        <w:rPr>
          <w:b/>
          <w:sz w:val="18"/>
          <w:szCs w:val="18"/>
        </w:rPr>
        <w:t>b,</w:t>
      </w:r>
      <w:r>
        <w:rPr>
          <w:sz w:val="18"/>
          <w:szCs w:val="18"/>
        </w:rPr>
        <w:t xml:space="preserve"> Percentage of thickness variation. CF-Mu</w:t>
      </w:r>
      <w:r>
        <w:rPr>
          <w:sz w:val="18"/>
          <w:szCs w:val="18"/>
          <w:vertAlign w:val="superscript"/>
        </w:rPr>
        <w:t>3</w:t>
      </w:r>
      <w:r>
        <w:rPr>
          <w:sz w:val="18"/>
          <w:szCs w:val="18"/>
        </w:rPr>
        <w:t xml:space="preserve">Gel immersed in MHB (orange), hypotonic (blue), isotonic (red), and hypertonic media (green). The area over the lines in </w:t>
      </w:r>
      <w:r>
        <w:rPr>
          <w:b/>
          <w:sz w:val="18"/>
          <w:szCs w:val="18"/>
        </w:rPr>
        <w:t>a</w:t>
      </w:r>
      <w:r>
        <w:rPr>
          <w:sz w:val="18"/>
          <w:szCs w:val="18"/>
        </w:rPr>
        <w:t xml:space="preserve"> and </w:t>
      </w:r>
      <w:r>
        <w:rPr>
          <w:b/>
          <w:sz w:val="18"/>
          <w:szCs w:val="18"/>
        </w:rPr>
        <w:t>b</w:t>
      </w:r>
      <w:r>
        <w:rPr>
          <w:sz w:val="18"/>
          <w:szCs w:val="18"/>
        </w:rPr>
        <w:t xml:space="preserve"> represents the standard deviation (n=9).</w:t>
      </w:r>
    </w:p>
    <w:p w14:paraId="6D150974" w14:textId="77777777" w:rsidR="00344822" w:rsidRDefault="00344822">
      <w:pPr>
        <w:rPr>
          <w:b/>
          <w:sz w:val="21"/>
          <w:szCs w:val="21"/>
        </w:rPr>
      </w:pPr>
      <w:r>
        <w:rPr>
          <w:b/>
          <w:sz w:val="21"/>
          <w:szCs w:val="21"/>
        </w:rPr>
        <w:br w:type="page"/>
      </w:r>
    </w:p>
    <w:p w14:paraId="000000D7" w14:textId="34D1BB8E" w:rsidR="008F08CA" w:rsidRDefault="00031084">
      <w:pPr>
        <w:widowControl w:val="0"/>
        <w:spacing w:line="360" w:lineRule="auto"/>
        <w:jc w:val="both"/>
        <w:rPr>
          <w:sz w:val="21"/>
          <w:szCs w:val="21"/>
        </w:rPr>
      </w:pPr>
      <w:r>
        <w:rPr>
          <w:b/>
          <w:sz w:val="21"/>
          <w:szCs w:val="21"/>
        </w:rPr>
        <w:lastRenderedPageBreak/>
        <w:t xml:space="preserve">Supplementary Figure 2. </w:t>
      </w:r>
      <w:r>
        <w:rPr>
          <w:sz w:val="21"/>
          <w:szCs w:val="21"/>
        </w:rPr>
        <w:t>Interlaboratory re</w:t>
      </w:r>
      <w:r>
        <w:rPr>
          <w:sz w:val="21"/>
          <w:szCs w:val="21"/>
        </w:rPr>
        <w:t>producibility was analysed by comparing cell viability results obtained in the Department of Molecular Medicine of the University of Pavia - Italy and Bac</w:t>
      </w:r>
      <w:r>
        <w:rPr>
          <w:sz w:val="21"/>
          <w:szCs w:val="21"/>
          <w:vertAlign w:val="superscript"/>
        </w:rPr>
        <w:t>3</w:t>
      </w:r>
      <w:r>
        <w:rPr>
          <w:sz w:val="21"/>
          <w:szCs w:val="21"/>
        </w:rPr>
        <w:t xml:space="preserve">Gel Lda, at TagusPark - Portugal. The viability of </w:t>
      </w:r>
      <w:r>
        <w:rPr>
          <w:i/>
          <w:sz w:val="21"/>
          <w:szCs w:val="21"/>
        </w:rPr>
        <w:t>S. aureus</w:t>
      </w:r>
      <w:r>
        <w:rPr>
          <w:sz w:val="21"/>
          <w:szCs w:val="21"/>
        </w:rPr>
        <w:t xml:space="preserve"> and </w:t>
      </w:r>
      <w:r>
        <w:rPr>
          <w:i/>
          <w:sz w:val="21"/>
          <w:szCs w:val="21"/>
        </w:rPr>
        <w:t>P. aeruginosa</w:t>
      </w:r>
      <w:r>
        <w:rPr>
          <w:sz w:val="21"/>
          <w:szCs w:val="21"/>
        </w:rPr>
        <w:t xml:space="preserve"> monocultured grown in </w:t>
      </w:r>
      <w:r>
        <w:rPr>
          <w:sz w:val="21"/>
          <w:szCs w:val="21"/>
        </w:rPr>
        <w:t>CF-Mu</w:t>
      </w:r>
      <w:r>
        <w:rPr>
          <w:sz w:val="21"/>
          <w:szCs w:val="21"/>
          <w:vertAlign w:val="superscript"/>
        </w:rPr>
        <w:t>3</w:t>
      </w:r>
      <w:r>
        <w:rPr>
          <w:sz w:val="21"/>
          <w:szCs w:val="21"/>
        </w:rPr>
        <w:t>Gel were comparable between both institutions with no statistical differences detected, which supports interlaboratory reproducibility of microbiological experiments performed on CF-Mu</w:t>
      </w:r>
      <w:r>
        <w:rPr>
          <w:sz w:val="21"/>
          <w:szCs w:val="21"/>
          <w:vertAlign w:val="superscript"/>
        </w:rPr>
        <w:t>3</w:t>
      </w:r>
      <w:r>
        <w:rPr>
          <w:sz w:val="21"/>
          <w:szCs w:val="21"/>
        </w:rPr>
        <w:t>Gel.</w:t>
      </w:r>
    </w:p>
    <w:p w14:paraId="000000DA" w14:textId="3B62DFB6" w:rsidR="008F08CA" w:rsidRDefault="00051916">
      <w:pPr>
        <w:widowControl w:val="0"/>
        <w:spacing w:line="360" w:lineRule="auto"/>
        <w:jc w:val="center"/>
        <w:rPr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 wp14:anchorId="5B2D2D72" wp14:editId="2A571353">
            <wp:extent cx="5727700" cy="2003425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00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DB" w14:textId="77777777" w:rsidR="008F08CA" w:rsidRDefault="00031084">
      <w:pPr>
        <w:spacing w:before="280" w:after="280" w:line="360" w:lineRule="auto"/>
        <w:jc w:val="both"/>
        <w:rPr>
          <w:sz w:val="18"/>
          <w:szCs w:val="18"/>
        </w:rPr>
      </w:pPr>
      <w:r>
        <w:rPr>
          <w:b/>
          <w:sz w:val="18"/>
          <w:szCs w:val="18"/>
        </w:rPr>
        <w:t>Supplementary Fig. 2 |</w:t>
      </w:r>
      <w:r>
        <w:rPr>
          <w:sz w:val="18"/>
          <w:szCs w:val="18"/>
        </w:rPr>
        <w:t xml:space="preserve"> </w:t>
      </w:r>
      <w:r>
        <w:rPr>
          <w:b/>
          <w:sz w:val="18"/>
          <w:szCs w:val="18"/>
        </w:rPr>
        <w:t xml:space="preserve">Interlaboratory study of bacterial </w:t>
      </w:r>
      <w:r>
        <w:rPr>
          <w:b/>
          <w:sz w:val="18"/>
          <w:szCs w:val="18"/>
        </w:rPr>
        <w:t>viability in CF-Mu</w:t>
      </w:r>
      <w:r>
        <w:rPr>
          <w:b/>
          <w:sz w:val="18"/>
          <w:szCs w:val="18"/>
          <w:vertAlign w:val="superscript"/>
        </w:rPr>
        <w:t>3</w:t>
      </w:r>
      <w:r>
        <w:rPr>
          <w:b/>
          <w:sz w:val="18"/>
          <w:szCs w:val="18"/>
        </w:rPr>
        <w:t>Gel.</w:t>
      </w:r>
      <w:r>
        <w:rPr>
          <w:sz w:val="18"/>
          <w:szCs w:val="18"/>
        </w:rPr>
        <w:t xml:space="preserve"> </w:t>
      </w:r>
      <w:r>
        <w:rPr>
          <w:b/>
          <w:sz w:val="18"/>
          <w:szCs w:val="18"/>
        </w:rPr>
        <w:t xml:space="preserve">a, </w:t>
      </w:r>
      <w:r>
        <w:rPr>
          <w:i/>
          <w:sz w:val="18"/>
          <w:szCs w:val="18"/>
        </w:rPr>
        <w:t>S. aureus</w:t>
      </w:r>
      <w:r>
        <w:rPr>
          <w:sz w:val="18"/>
          <w:szCs w:val="18"/>
        </w:rPr>
        <w:t xml:space="preserve">; and </w:t>
      </w:r>
      <w:r>
        <w:rPr>
          <w:b/>
          <w:sz w:val="18"/>
          <w:szCs w:val="18"/>
        </w:rPr>
        <w:t>b,</w:t>
      </w:r>
      <w:r>
        <w:rPr>
          <w:sz w:val="18"/>
          <w:szCs w:val="18"/>
        </w:rPr>
        <w:t xml:space="preserve"> </w:t>
      </w:r>
      <w:r>
        <w:rPr>
          <w:i/>
          <w:sz w:val="18"/>
          <w:szCs w:val="18"/>
        </w:rPr>
        <w:t>P. aeruginosa</w:t>
      </w:r>
      <w:r>
        <w:rPr>
          <w:sz w:val="18"/>
          <w:szCs w:val="18"/>
        </w:rPr>
        <w:t xml:space="preserve"> were grown in CF-Mu</w:t>
      </w:r>
      <w:r>
        <w:rPr>
          <w:sz w:val="18"/>
          <w:szCs w:val="18"/>
          <w:vertAlign w:val="superscript"/>
        </w:rPr>
        <w:t>3</w:t>
      </w:r>
      <w:r>
        <w:rPr>
          <w:sz w:val="18"/>
          <w:szCs w:val="18"/>
        </w:rPr>
        <w:t>Gel, which production and microbiological experiments were performed by different operators at both the University of Pavia - Italy (yellow) and Bac</w:t>
      </w:r>
      <w:r>
        <w:rPr>
          <w:sz w:val="18"/>
          <w:szCs w:val="18"/>
          <w:vertAlign w:val="superscript"/>
        </w:rPr>
        <w:t>3</w:t>
      </w:r>
      <w:r>
        <w:rPr>
          <w:sz w:val="18"/>
          <w:szCs w:val="18"/>
        </w:rPr>
        <w:t xml:space="preserve">Gel Lda – Portugal (green). </w:t>
      </w:r>
      <w:r>
        <w:rPr>
          <w:sz w:val="18"/>
          <w:szCs w:val="18"/>
        </w:rPr>
        <w:t>The values represent the mean of at least 9 samples, and the bars indicate the standard deviation.</w:t>
      </w:r>
    </w:p>
    <w:p w14:paraId="6A3E6048" w14:textId="77777777" w:rsidR="004D4964" w:rsidRDefault="004D4964">
      <w:pPr>
        <w:widowControl w:val="0"/>
        <w:spacing w:line="360" w:lineRule="auto"/>
        <w:jc w:val="both"/>
        <w:rPr>
          <w:sz w:val="18"/>
          <w:szCs w:val="18"/>
        </w:rPr>
      </w:pPr>
    </w:p>
    <w:p w14:paraId="11A2E7F6" w14:textId="77777777" w:rsidR="004D4964" w:rsidRDefault="004D4964"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000000FD" w14:textId="7600A410" w:rsidR="008F08CA" w:rsidRDefault="00031084">
      <w:pPr>
        <w:widowControl w:val="0"/>
        <w:spacing w:line="360" w:lineRule="auto"/>
        <w:jc w:val="both"/>
        <w:rPr>
          <w:i/>
          <w:sz w:val="21"/>
          <w:szCs w:val="21"/>
        </w:rPr>
      </w:pPr>
      <w:r w:rsidRPr="00051916">
        <w:rPr>
          <w:b/>
          <w:sz w:val="21"/>
          <w:szCs w:val="21"/>
        </w:rPr>
        <w:lastRenderedPageBreak/>
        <w:t xml:space="preserve">Supplementary Figure </w:t>
      </w:r>
      <w:r w:rsidR="00051916" w:rsidRPr="00051916">
        <w:rPr>
          <w:b/>
          <w:sz w:val="21"/>
          <w:szCs w:val="21"/>
        </w:rPr>
        <w:t>3</w:t>
      </w:r>
      <w:r w:rsidRPr="00051916">
        <w:rPr>
          <w:b/>
          <w:sz w:val="21"/>
          <w:szCs w:val="21"/>
        </w:rPr>
        <w:t xml:space="preserve">. </w:t>
      </w:r>
      <w:r w:rsidRPr="00051916">
        <w:rPr>
          <w:sz w:val="21"/>
          <w:szCs w:val="21"/>
        </w:rPr>
        <w:t xml:space="preserve">Distribution and colonisation of </w:t>
      </w:r>
      <w:r w:rsidRPr="00051916">
        <w:rPr>
          <w:i/>
          <w:sz w:val="21"/>
          <w:szCs w:val="21"/>
        </w:rPr>
        <w:t xml:space="preserve">S. aureus </w:t>
      </w:r>
      <w:r w:rsidRPr="00051916">
        <w:rPr>
          <w:sz w:val="21"/>
          <w:szCs w:val="21"/>
        </w:rPr>
        <w:t>within CF-Mu</w:t>
      </w:r>
      <w:r w:rsidRPr="00051916">
        <w:rPr>
          <w:sz w:val="21"/>
          <w:szCs w:val="21"/>
          <w:vertAlign w:val="superscript"/>
        </w:rPr>
        <w:t>3</w:t>
      </w:r>
      <w:r w:rsidRPr="00051916">
        <w:rPr>
          <w:sz w:val="21"/>
          <w:szCs w:val="21"/>
        </w:rPr>
        <w:t>Gel was investigated</w:t>
      </w:r>
      <w:r>
        <w:rPr>
          <w:sz w:val="21"/>
          <w:szCs w:val="21"/>
        </w:rPr>
        <w:t xml:space="preserve"> by culturing DsRed-fluorescent </w:t>
      </w:r>
      <w:r>
        <w:rPr>
          <w:i/>
          <w:sz w:val="21"/>
          <w:szCs w:val="21"/>
        </w:rPr>
        <w:t>S. aureus</w:t>
      </w:r>
      <w:r>
        <w:rPr>
          <w:sz w:val="21"/>
          <w:szCs w:val="21"/>
        </w:rPr>
        <w:t xml:space="preserve"> for 12, 24, and 48 h. An increase in the intensity of red with the time of culture was observed especially at the top and bottom</w:t>
      </w:r>
      <w:r>
        <w:rPr>
          <w:i/>
          <w:sz w:val="21"/>
          <w:szCs w:val="21"/>
        </w:rPr>
        <w:t>.</w:t>
      </w:r>
    </w:p>
    <w:p w14:paraId="00000100" w14:textId="5F7AA082" w:rsidR="008F08CA" w:rsidRDefault="00051916">
      <w:pPr>
        <w:spacing w:before="280" w:after="280" w:line="360" w:lineRule="auto"/>
        <w:jc w:val="center"/>
        <w:rPr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 wp14:anchorId="7E6C8373" wp14:editId="259365FA">
            <wp:extent cx="4267346" cy="559675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3652" cy="5605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101" w14:textId="7C45EF4F" w:rsidR="008F08CA" w:rsidRDefault="00031084">
      <w:pPr>
        <w:spacing w:before="280" w:after="280" w:line="360" w:lineRule="auto"/>
        <w:jc w:val="both"/>
        <w:rPr>
          <w:sz w:val="18"/>
          <w:szCs w:val="18"/>
        </w:rPr>
      </w:pPr>
      <w:bookmarkStart w:id="3" w:name="_heading=h.2s8eyo1" w:colFirst="0" w:colLast="0"/>
      <w:bookmarkEnd w:id="3"/>
      <w:r>
        <w:rPr>
          <w:b/>
          <w:sz w:val="18"/>
          <w:szCs w:val="18"/>
        </w:rPr>
        <w:t xml:space="preserve">Supplementary Fig. </w:t>
      </w:r>
      <w:r w:rsidR="004B4A2E">
        <w:rPr>
          <w:b/>
          <w:sz w:val="18"/>
          <w:szCs w:val="18"/>
        </w:rPr>
        <w:t>3</w:t>
      </w:r>
      <w:r>
        <w:rPr>
          <w:b/>
          <w:sz w:val="18"/>
          <w:szCs w:val="18"/>
        </w:rPr>
        <w:t xml:space="preserve"> | Mono-cultures of CF-Mu</w:t>
      </w:r>
      <w:r>
        <w:rPr>
          <w:b/>
          <w:sz w:val="18"/>
          <w:szCs w:val="18"/>
          <w:vertAlign w:val="superscript"/>
        </w:rPr>
        <w:t>3</w:t>
      </w:r>
      <w:r>
        <w:rPr>
          <w:b/>
          <w:sz w:val="18"/>
          <w:szCs w:val="18"/>
        </w:rPr>
        <w:t xml:space="preserve">Gel with DsRed-fluorescent </w:t>
      </w:r>
      <w:r>
        <w:rPr>
          <w:b/>
          <w:i/>
          <w:sz w:val="18"/>
          <w:szCs w:val="18"/>
        </w:rPr>
        <w:t>S. aureus</w:t>
      </w:r>
      <w:r>
        <w:rPr>
          <w:b/>
          <w:sz w:val="18"/>
          <w:szCs w:val="18"/>
        </w:rPr>
        <w:t xml:space="preserve">. </w:t>
      </w:r>
      <w:r>
        <w:rPr>
          <w:sz w:val="18"/>
          <w:szCs w:val="18"/>
        </w:rPr>
        <w:t xml:space="preserve">Confocal microscopy analyses of </w:t>
      </w:r>
      <w:r w:rsidR="00051916">
        <w:rPr>
          <w:b/>
          <w:sz w:val="18"/>
          <w:szCs w:val="18"/>
        </w:rPr>
        <w:t>a,</w:t>
      </w:r>
      <w:r w:rsidR="00051916">
        <w:rPr>
          <w:sz w:val="18"/>
          <w:szCs w:val="18"/>
        </w:rPr>
        <w:t xml:space="preserve"> sterile</w:t>
      </w:r>
      <w:r w:rsidR="00051916">
        <w:rPr>
          <w:b/>
          <w:sz w:val="18"/>
          <w:szCs w:val="18"/>
        </w:rPr>
        <w:t xml:space="preserve"> </w:t>
      </w:r>
      <w:r w:rsidR="00051916">
        <w:rPr>
          <w:sz w:val="18"/>
          <w:szCs w:val="18"/>
        </w:rPr>
        <w:t>CF-Mu</w:t>
      </w:r>
      <w:r w:rsidR="00051916">
        <w:rPr>
          <w:sz w:val="18"/>
          <w:szCs w:val="18"/>
          <w:vertAlign w:val="superscript"/>
        </w:rPr>
        <w:t>3</w:t>
      </w:r>
      <w:r w:rsidR="00051916">
        <w:rPr>
          <w:sz w:val="18"/>
          <w:szCs w:val="18"/>
        </w:rPr>
        <w:t>Gel (</w:t>
      </w:r>
      <w:r w:rsidR="00051916">
        <w:rPr>
          <w:color w:val="000000"/>
          <w:sz w:val="18"/>
          <w:szCs w:val="18"/>
        </w:rPr>
        <w:t>scale bar = 50 μm)</w:t>
      </w:r>
      <w:r w:rsidR="00051916">
        <w:rPr>
          <w:sz w:val="18"/>
          <w:szCs w:val="18"/>
        </w:rPr>
        <w:t xml:space="preserve">; </w:t>
      </w:r>
      <w:r w:rsidR="00051916">
        <w:rPr>
          <w:b/>
          <w:sz w:val="18"/>
          <w:szCs w:val="18"/>
        </w:rPr>
        <w:t>b,</w:t>
      </w:r>
      <w:r w:rsidR="00051916">
        <w:rPr>
          <w:sz w:val="18"/>
          <w:szCs w:val="18"/>
        </w:rPr>
        <w:t xml:space="preserve"> </w:t>
      </w:r>
      <w:r w:rsidR="00051916">
        <w:rPr>
          <w:color w:val="000000"/>
          <w:sz w:val="18"/>
          <w:szCs w:val="18"/>
        </w:rPr>
        <w:t>DsRed-fluorescent</w:t>
      </w:r>
      <w:r w:rsidR="00051916">
        <w:rPr>
          <w:sz w:val="18"/>
          <w:szCs w:val="18"/>
        </w:rPr>
        <w:t xml:space="preserve"> </w:t>
      </w:r>
      <w:r w:rsidR="00051916">
        <w:rPr>
          <w:i/>
          <w:color w:val="000000"/>
          <w:sz w:val="18"/>
          <w:szCs w:val="18"/>
        </w:rPr>
        <w:t>S. aureus</w:t>
      </w:r>
      <w:r w:rsidR="00051916">
        <w:rPr>
          <w:sz w:val="18"/>
          <w:szCs w:val="18"/>
        </w:rPr>
        <w:t xml:space="preserve"> (</w:t>
      </w:r>
      <w:r w:rsidR="00051916">
        <w:rPr>
          <w:color w:val="000000"/>
          <w:sz w:val="18"/>
          <w:szCs w:val="18"/>
        </w:rPr>
        <w:t>scale bar = 50 μm);</w:t>
      </w:r>
      <w:r w:rsidR="00051916">
        <w:rPr>
          <w:b/>
          <w:color w:val="000000"/>
          <w:sz w:val="18"/>
          <w:szCs w:val="18"/>
        </w:rPr>
        <w:t xml:space="preserve"> c, </w:t>
      </w:r>
      <w:r>
        <w:rPr>
          <w:sz w:val="18"/>
          <w:szCs w:val="18"/>
        </w:rPr>
        <w:t>CF-Mu</w:t>
      </w:r>
      <w:r>
        <w:rPr>
          <w:sz w:val="18"/>
          <w:szCs w:val="18"/>
          <w:vertAlign w:val="superscript"/>
        </w:rPr>
        <w:t>3</w:t>
      </w:r>
      <w:r>
        <w:rPr>
          <w:sz w:val="18"/>
          <w:szCs w:val="18"/>
        </w:rPr>
        <w:t xml:space="preserve">Gel colonised with DsRed-fluorescent </w:t>
      </w:r>
      <w:r>
        <w:rPr>
          <w:i/>
          <w:sz w:val="18"/>
          <w:szCs w:val="18"/>
        </w:rPr>
        <w:t>S. aureus</w:t>
      </w:r>
      <w:r>
        <w:rPr>
          <w:sz w:val="18"/>
          <w:szCs w:val="18"/>
        </w:rPr>
        <w:t xml:space="preserve"> for 12, 24, and 48 h visualised from the: top; cross-section; and bottom perspectives; as well as 3D reconstruction. SYTO9 staining (green) was performed to visualise viable bacteria. The scale bar corresponds to 10 μm.</w:t>
      </w:r>
    </w:p>
    <w:p w14:paraId="00000106" w14:textId="31A97C72" w:rsidR="004D4964" w:rsidRDefault="004D4964"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00000109" w14:textId="547E223B" w:rsidR="008F08CA" w:rsidRDefault="00031084">
      <w:pPr>
        <w:widowControl w:val="0"/>
        <w:spacing w:line="360" w:lineRule="auto"/>
        <w:jc w:val="both"/>
        <w:rPr>
          <w:i/>
          <w:sz w:val="21"/>
          <w:szCs w:val="21"/>
        </w:rPr>
      </w:pPr>
      <w:r w:rsidRPr="00051916">
        <w:rPr>
          <w:b/>
          <w:sz w:val="21"/>
          <w:szCs w:val="21"/>
        </w:rPr>
        <w:lastRenderedPageBreak/>
        <w:t xml:space="preserve">Supplementary Figure </w:t>
      </w:r>
      <w:r w:rsidR="00E54BC8">
        <w:rPr>
          <w:b/>
          <w:sz w:val="21"/>
          <w:szCs w:val="21"/>
        </w:rPr>
        <w:t>4</w:t>
      </w:r>
      <w:r w:rsidRPr="00051916">
        <w:rPr>
          <w:b/>
          <w:sz w:val="21"/>
          <w:szCs w:val="21"/>
        </w:rPr>
        <w:t xml:space="preserve">. </w:t>
      </w:r>
      <w:r w:rsidRPr="00051916">
        <w:rPr>
          <w:sz w:val="21"/>
          <w:szCs w:val="21"/>
        </w:rPr>
        <w:t>Distribut</w:t>
      </w:r>
      <w:r w:rsidRPr="00051916">
        <w:rPr>
          <w:sz w:val="21"/>
          <w:szCs w:val="21"/>
        </w:rPr>
        <w:t xml:space="preserve">ion and colonisation of </w:t>
      </w:r>
      <w:r w:rsidRPr="00051916">
        <w:rPr>
          <w:i/>
          <w:sz w:val="21"/>
          <w:szCs w:val="21"/>
        </w:rPr>
        <w:t xml:space="preserve">P. aeruginosa </w:t>
      </w:r>
      <w:r w:rsidRPr="00051916">
        <w:rPr>
          <w:sz w:val="21"/>
          <w:szCs w:val="21"/>
        </w:rPr>
        <w:t>within CF-Mu</w:t>
      </w:r>
      <w:r w:rsidRPr="00051916">
        <w:rPr>
          <w:sz w:val="21"/>
          <w:szCs w:val="21"/>
          <w:vertAlign w:val="superscript"/>
        </w:rPr>
        <w:t>3</w:t>
      </w:r>
      <w:r w:rsidRPr="00051916">
        <w:rPr>
          <w:sz w:val="21"/>
          <w:szCs w:val="21"/>
        </w:rPr>
        <w:t>Gel was</w:t>
      </w:r>
      <w:r>
        <w:rPr>
          <w:sz w:val="21"/>
          <w:szCs w:val="21"/>
        </w:rPr>
        <w:t xml:space="preserve"> investigated by culturing GFP-fluorescent </w:t>
      </w:r>
      <w:r>
        <w:rPr>
          <w:i/>
          <w:sz w:val="21"/>
          <w:szCs w:val="21"/>
        </w:rPr>
        <w:t xml:space="preserve">P. aeruginosa </w:t>
      </w:r>
      <w:r>
        <w:rPr>
          <w:sz w:val="21"/>
          <w:szCs w:val="21"/>
        </w:rPr>
        <w:t>for 12, 24, and 48 h. A consistent increase in the intensity of green with the time of culture was observed throughout the whole structure</w:t>
      </w:r>
      <w:r>
        <w:rPr>
          <w:i/>
          <w:sz w:val="21"/>
          <w:szCs w:val="21"/>
        </w:rPr>
        <w:t>.</w:t>
      </w:r>
    </w:p>
    <w:p w14:paraId="0000010A" w14:textId="6D7B6EB9" w:rsidR="008F08CA" w:rsidRDefault="00E54BC8" w:rsidP="00E54BC8">
      <w:pPr>
        <w:widowControl w:val="0"/>
        <w:spacing w:line="360" w:lineRule="auto"/>
        <w:jc w:val="center"/>
        <w:rPr>
          <w:i/>
          <w:sz w:val="18"/>
          <w:szCs w:val="18"/>
        </w:rPr>
      </w:pPr>
      <w:r>
        <w:rPr>
          <w:i/>
          <w:noProof/>
          <w:sz w:val="18"/>
          <w:szCs w:val="18"/>
        </w:rPr>
        <w:drawing>
          <wp:inline distT="0" distB="0" distL="0" distR="0" wp14:anchorId="3353914A" wp14:editId="5430639E">
            <wp:extent cx="4265053" cy="5598000"/>
            <wp:effectExtent l="0" t="0" r="2540" b="31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5053" cy="559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10B" w14:textId="384CEF8D" w:rsidR="008F08CA" w:rsidRDefault="00031084">
      <w:pPr>
        <w:spacing w:before="280" w:after="280" w:line="360" w:lineRule="auto"/>
        <w:jc w:val="both"/>
        <w:rPr>
          <w:sz w:val="18"/>
          <w:szCs w:val="18"/>
        </w:rPr>
      </w:pPr>
      <w:r>
        <w:rPr>
          <w:b/>
          <w:sz w:val="18"/>
          <w:szCs w:val="18"/>
        </w:rPr>
        <w:t xml:space="preserve">Supplementary Fig. </w:t>
      </w:r>
      <w:r w:rsidR="00E54BC8">
        <w:rPr>
          <w:b/>
          <w:sz w:val="18"/>
          <w:szCs w:val="18"/>
        </w:rPr>
        <w:t>4</w:t>
      </w:r>
      <w:r>
        <w:rPr>
          <w:b/>
          <w:sz w:val="18"/>
          <w:szCs w:val="18"/>
        </w:rPr>
        <w:t xml:space="preserve"> | Mono-cultures of CF-Mu</w:t>
      </w:r>
      <w:r>
        <w:rPr>
          <w:b/>
          <w:sz w:val="18"/>
          <w:szCs w:val="18"/>
          <w:vertAlign w:val="superscript"/>
        </w:rPr>
        <w:t>3</w:t>
      </w:r>
      <w:r>
        <w:rPr>
          <w:b/>
          <w:sz w:val="18"/>
          <w:szCs w:val="18"/>
        </w:rPr>
        <w:t>Gel with GFP-fluorescent</w:t>
      </w:r>
      <w:r>
        <w:t xml:space="preserve"> </w:t>
      </w:r>
      <w:r>
        <w:rPr>
          <w:b/>
          <w:i/>
          <w:sz w:val="18"/>
          <w:szCs w:val="18"/>
        </w:rPr>
        <w:t>P. aeruginosa</w:t>
      </w:r>
      <w:r>
        <w:rPr>
          <w:b/>
          <w:sz w:val="18"/>
          <w:szCs w:val="18"/>
        </w:rPr>
        <w:t xml:space="preserve">. </w:t>
      </w:r>
      <w:r w:rsidR="00E54BC8">
        <w:rPr>
          <w:b/>
          <w:sz w:val="18"/>
          <w:szCs w:val="18"/>
        </w:rPr>
        <w:t>a,</w:t>
      </w:r>
      <w:r w:rsidR="00E54BC8">
        <w:rPr>
          <w:sz w:val="18"/>
          <w:szCs w:val="18"/>
        </w:rPr>
        <w:t xml:space="preserve"> sterile</w:t>
      </w:r>
      <w:r w:rsidR="00E54BC8">
        <w:rPr>
          <w:b/>
          <w:sz w:val="18"/>
          <w:szCs w:val="18"/>
        </w:rPr>
        <w:t xml:space="preserve"> </w:t>
      </w:r>
      <w:r w:rsidR="00E54BC8">
        <w:rPr>
          <w:sz w:val="18"/>
          <w:szCs w:val="18"/>
        </w:rPr>
        <w:t>CF-Mu</w:t>
      </w:r>
      <w:r w:rsidR="00E54BC8">
        <w:rPr>
          <w:sz w:val="18"/>
          <w:szCs w:val="18"/>
          <w:vertAlign w:val="superscript"/>
        </w:rPr>
        <w:t>3</w:t>
      </w:r>
      <w:r w:rsidR="00E54BC8">
        <w:rPr>
          <w:sz w:val="18"/>
          <w:szCs w:val="18"/>
        </w:rPr>
        <w:t>Gel (</w:t>
      </w:r>
      <w:r w:rsidR="00E54BC8">
        <w:rPr>
          <w:color w:val="000000"/>
          <w:sz w:val="18"/>
          <w:szCs w:val="18"/>
        </w:rPr>
        <w:t>scale bar = 50 μm)</w:t>
      </w:r>
      <w:r w:rsidR="00E54BC8">
        <w:rPr>
          <w:sz w:val="18"/>
          <w:szCs w:val="18"/>
        </w:rPr>
        <w:t xml:space="preserve">; </w:t>
      </w:r>
      <w:r w:rsidR="00E54BC8">
        <w:rPr>
          <w:b/>
          <w:sz w:val="18"/>
          <w:szCs w:val="18"/>
        </w:rPr>
        <w:t>b,</w:t>
      </w:r>
      <w:r w:rsidR="00E54BC8">
        <w:rPr>
          <w:sz w:val="18"/>
          <w:szCs w:val="18"/>
        </w:rPr>
        <w:t xml:space="preserve"> </w:t>
      </w:r>
      <w:r w:rsidR="00E54BC8">
        <w:rPr>
          <w:color w:val="000000"/>
          <w:sz w:val="18"/>
          <w:szCs w:val="18"/>
        </w:rPr>
        <w:t xml:space="preserve">GFP-fluorescent </w:t>
      </w:r>
      <w:r w:rsidR="00E54BC8">
        <w:rPr>
          <w:i/>
          <w:color w:val="000000"/>
          <w:sz w:val="18"/>
          <w:szCs w:val="18"/>
        </w:rPr>
        <w:t>P. aeruginosa</w:t>
      </w:r>
      <w:r w:rsidR="00E54BC8">
        <w:rPr>
          <w:sz w:val="18"/>
          <w:szCs w:val="18"/>
        </w:rPr>
        <w:t xml:space="preserve"> (</w:t>
      </w:r>
      <w:r w:rsidR="00E54BC8">
        <w:rPr>
          <w:color w:val="000000"/>
          <w:sz w:val="18"/>
          <w:szCs w:val="18"/>
        </w:rPr>
        <w:t xml:space="preserve">scale bar = 100 μm); and </w:t>
      </w:r>
      <w:r w:rsidR="00E54BC8">
        <w:rPr>
          <w:b/>
          <w:color w:val="000000"/>
          <w:sz w:val="18"/>
          <w:szCs w:val="18"/>
        </w:rPr>
        <w:t xml:space="preserve">c, </w:t>
      </w:r>
      <w:r>
        <w:rPr>
          <w:sz w:val="18"/>
          <w:szCs w:val="18"/>
        </w:rPr>
        <w:t>Confocal microscopy analyses of CF-Mu</w:t>
      </w:r>
      <w:r>
        <w:rPr>
          <w:sz w:val="18"/>
          <w:szCs w:val="18"/>
          <w:vertAlign w:val="superscript"/>
        </w:rPr>
        <w:t>3</w:t>
      </w:r>
      <w:r>
        <w:rPr>
          <w:sz w:val="18"/>
          <w:szCs w:val="18"/>
        </w:rPr>
        <w:t xml:space="preserve">Gel colonised with GFP-fluorescent </w:t>
      </w:r>
      <w:r>
        <w:rPr>
          <w:i/>
          <w:sz w:val="18"/>
          <w:szCs w:val="18"/>
        </w:rPr>
        <w:t>P. aeruginosa</w:t>
      </w:r>
      <w:r>
        <w:rPr>
          <w:sz w:val="18"/>
          <w:szCs w:val="18"/>
        </w:rPr>
        <w:t xml:space="preserve"> for 12, 24, and 48 h visualised from the: top; cross-section; and bottom perspectives; as well as 3D reconstruction. The scale bar corresponds to 10 μm.</w:t>
      </w:r>
    </w:p>
    <w:p w14:paraId="04A7E872" w14:textId="77777777" w:rsidR="004D4964" w:rsidRDefault="004D4964">
      <w:pPr>
        <w:widowControl w:val="0"/>
        <w:spacing w:line="360" w:lineRule="auto"/>
        <w:jc w:val="both"/>
        <w:rPr>
          <w:b/>
          <w:sz w:val="21"/>
          <w:szCs w:val="21"/>
        </w:rPr>
      </w:pPr>
    </w:p>
    <w:p w14:paraId="1638533A" w14:textId="77777777" w:rsidR="004D4964" w:rsidRDefault="004D4964">
      <w:pPr>
        <w:widowControl w:val="0"/>
        <w:spacing w:line="360" w:lineRule="auto"/>
        <w:jc w:val="both"/>
        <w:rPr>
          <w:b/>
          <w:sz w:val="21"/>
          <w:szCs w:val="21"/>
        </w:rPr>
      </w:pPr>
    </w:p>
    <w:p w14:paraId="168C6583" w14:textId="77777777" w:rsidR="004D4964" w:rsidRDefault="004D4964">
      <w:pPr>
        <w:widowControl w:val="0"/>
        <w:spacing w:line="360" w:lineRule="auto"/>
        <w:jc w:val="both"/>
        <w:rPr>
          <w:b/>
          <w:sz w:val="21"/>
          <w:szCs w:val="21"/>
        </w:rPr>
      </w:pPr>
    </w:p>
    <w:p w14:paraId="7A8E70F2" w14:textId="77777777" w:rsidR="004D4964" w:rsidRDefault="004D4964">
      <w:pPr>
        <w:widowControl w:val="0"/>
        <w:spacing w:line="360" w:lineRule="auto"/>
        <w:jc w:val="both"/>
        <w:rPr>
          <w:b/>
          <w:sz w:val="21"/>
          <w:szCs w:val="21"/>
        </w:rPr>
      </w:pPr>
    </w:p>
    <w:p w14:paraId="3C89CC2F" w14:textId="77777777" w:rsidR="004D4964" w:rsidRDefault="004D4964">
      <w:pPr>
        <w:widowControl w:val="0"/>
        <w:spacing w:line="360" w:lineRule="auto"/>
        <w:jc w:val="both"/>
        <w:rPr>
          <w:b/>
          <w:sz w:val="21"/>
          <w:szCs w:val="21"/>
        </w:rPr>
      </w:pPr>
    </w:p>
    <w:p w14:paraId="5B73D52C" w14:textId="77777777" w:rsidR="004D4964" w:rsidRDefault="004D4964">
      <w:pPr>
        <w:widowControl w:val="0"/>
        <w:spacing w:line="360" w:lineRule="auto"/>
        <w:jc w:val="both"/>
        <w:rPr>
          <w:b/>
          <w:sz w:val="21"/>
          <w:szCs w:val="21"/>
        </w:rPr>
      </w:pPr>
    </w:p>
    <w:p w14:paraId="00000114" w14:textId="1338432E" w:rsidR="008F08CA" w:rsidRDefault="00031084">
      <w:pPr>
        <w:widowControl w:val="0"/>
        <w:spacing w:line="360" w:lineRule="auto"/>
        <w:jc w:val="both"/>
        <w:rPr>
          <w:sz w:val="21"/>
          <w:szCs w:val="21"/>
        </w:rPr>
      </w:pPr>
      <w:r>
        <w:rPr>
          <w:b/>
          <w:sz w:val="21"/>
          <w:szCs w:val="21"/>
        </w:rPr>
        <w:lastRenderedPageBreak/>
        <w:t xml:space="preserve">Supplementary Figure </w:t>
      </w:r>
      <w:r w:rsidR="004D4964">
        <w:rPr>
          <w:b/>
          <w:sz w:val="21"/>
          <w:szCs w:val="21"/>
        </w:rPr>
        <w:t>5</w:t>
      </w:r>
      <w:r>
        <w:rPr>
          <w:b/>
          <w:sz w:val="21"/>
          <w:szCs w:val="21"/>
        </w:rPr>
        <w:t xml:space="preserve">. </w:t>
      </w:r>
      <w:r>
        <w:rPr>
          <w:sz w:val="21"/>
          <w:szCs w:val="21"/>
        </w:rPr>
        <w:t>Aggregates of</w:t>
      </w:r>
      <w:r>
        <w:rPr>
          <w:i/>
          <w:sz w:val="21"/>
          <w:szCs w:val="21"/>
        </w:rPr>
        <w:t xml:space="preserve"> P. aeruginosa</w:t>
      </w:r>
      <w:r>
        <w:rPr>
          <w:sz w:val="21"/>
          <w:szCs w:val="21"/>
        </w:rPr>
        <w:t xml:space="preserve"> inside CF-Mu</w:t>
      </w:r>
      <w:r>
        <w:rPr>
          <w:sz w:val="21"/>
          <w:szCs w:val="21"/>
          <w:vertAlign w:val="superscript"/>
        </w:rPr>
        <w:t>3</w:t>
      </w:r>
      <w:r>
        <w:rPr>
          <w:sz w:val="21"/>
          <w:szCs w:val="21"/>
        </w:rPr>
        <w:t>Gel after 24 h of colonisation.</w:t>
      </w:r>
    </w:p>
    <w:p w14:paraId="00000116" w14:textId="76044603" w:rsidR="008F08CA" w:rsidRDefault="00031084">
      <w:pPr>
        <w:widowControl w:val="0"/>
        <w:spacing w:line="360" w:lineRule="auto"/>
        <w:jc w:val="both"/>
        <w:rPr>
          <w:sz w:val="18"/>
          <w:szCs w:val="18"/>
        </w:rPr>
      </w:pPr>
      <w:r>
        <w:rPr>
          <w:b/>
          <w:noProof/>
        </w:rPr>
        <w:drawing>
          <wp:inline distT="0" distB="0" distL="0" distR="0" wp14:anchorId="3EAC340A" wp14:editId="6F5545A3">
            <wp:extent cx="5727700" cy="1396365"/>
            <wp:effectExtent l="0" t="0" r="0" b="0"/>
            <wp:docPr id="133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3963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sz w:val="18"/>
          <w:szCs w:val="18"/>
        </w:rPr>
        <w:t xml:space="preserve">Supplementary Fig. </w:t>
      </w:r>
      <w:r w:rsidR="004D4964">
        <w:rPr>
          <w:b/>
          <w:sz w:val="18"/>
          <w:szCs w:val="18"/>
        </w:rPr>
        <w:t>5</w:t>
      </w:r>
      <w:r>
        <w:rPr>
          <w:b/>
          <w:sz w:val="18"/>
          <w:szCs w:val="18"/>
        </w:rPr>
        <w:t xml:space="preserve"> |</w:t>
      </w:r>
      <w:r>
        <w:rPr>
          <w:sz w:val="18"/>
          <w:szCs w:val="18"/>
        </w:rPr>
        <w:t xml:space="preserve"> </w:t>
      </w:r>
      <w:r>
        <w:rPr>
          <w:b/>
          <w:sz w:val="18"/>
          <w:szCs w:val="18"/>
        </w:rPr>
        <w:t>Confocal microscopy imaging of</w:t>
      </w:r>
      <w:r>
        <w:rPr>
          <w:sz w:val="18"/>
          <w:szCs w:val="18"/>
        </w:rPr>
        <w:t xml:space="preserve"> </w:t>
      </w:r>
      <w:r>
        <w:rPr>
          <w:b/>
          <w:sz w:val="18"/>
          <w:szCs w:val="18"/>
        </w:rPr>
        <w:t xml:space="preserve">aggregates of </w:t>
      </w:r>
      <w:r>
        <w:rPr>
          <w:b/>
          <w:i/>
          <w:sz w:val="18"/>
          <w:szCs w:val="18"/>
        </w:rPr>
        <w:t xml:space="preserve">P. aeruginosa </w:t>
      </w:r>
      <w:r>
        <w:rPr>
          <w:b/>
          <w:sz w:val="18"/>
          <w:szCs w:val="18"/>
        </w:rPr>
        <w:t>after 24h of culture in CF-Mu</w:t>
      </w:r>
      <w:r>
        <w:rPr>
          <w:b/>
          <w:sz w:val="18"/>
          <w:szCs w:val="18"/>
          <w:vertAlign w:val="superscript"/>
        </w:rPr>
        <w:t>3</w:t>
      </w:r>
      <w:r>
        <w:rPr>
          <w:b/>
          <w:sz w:val="18"/>
          <w:szCs w:val="18"/>
        </w:rPr>
        <w:t xml:space="preserve">Gel a, </w:t>
      </w:r>
      <w:r>
        <w:rPr>
          <w:sz w:val="18"/>
          <w:szCs w:val="18"/>
        </w:rPr>
        <w:t xml:space="preserve">scale bar = 20 μm; </w:t>
      </w:r>
      <w:r>
        <w:rPr>
          <w:b/>
          <w:sz w:val="18"/>
          <w:szCs w:val="18"/>
        </w:rPr>
        <w:t>b</w:t>
      </w:r>
      <w:r>
        <w:rPr>
          <w:sz w:val="18"/>
          <w:szCs w:val="18"/>
        </w:rPr>
        <w:t xml:space="preserve"> and </w:t>
      </w:r>
      <w:r>
        <w:rPr>
          <w:b/>
          <w:sz w:val="18"/>
          <w:szCs w:val="18"/>
        </w:rPr>
        <w:t>c</w:t>
      </w:r>
      <w:r>
        <w:rPr>
          <w:sz w:val="18"/>
          <w:szCs w:val="18"/>
        </w:rPr>
        <w:t>, scale bar = 10 μm.</w:t>
      </w:r>
    </w:p>
    <w:p w14:paraId="00000117" w14:textId="5B18A34C" w:rsidR="00344822" w:rsidRDefault="00344822">
      <w:pPr>
        <w:rPr>
          <w:b/>
          <w:sz w:val="21"/>
          <w:szCs w:val="21"/>
        </w:rPr>
      </w:pPr>
      <w:r>
        <w:rPr>
          <w:b/>
          <w:sz w:val="21"/>
          <w:szCs w:val="21"/>
        </w:rPr>
        <w:br w:type="page"/>
      </w:r>
    </w:p>
    <w:p w14:paraId="00000118" w14:textId="0EC24139" w:rsidR="008F08CA" w:rsidRDefault="00031084">
      <w:pPr>
        <w:widowControl w:val="0"/>
        <w:spacing w:line="360" w:lineRule="auto"/>
        <w:jc w:val="both"/>
        <w:rPr>
          <w:sz w:val="21"/>
          <w:szCs w:val="21"/>
        </w:rPr>
      </w:pPr>
      <w:r>
        <w:rPr>
          <w:b/>
          <w:sz w:val="21"/>
          <w:szCs w:val="21"/>
        </w:rPr>
        <w:lastRenderedPageBreak/>
        <w:t xml:space="preserve">Supplementary Figure </w:t>
      </w:r>
      <w:r w:rsidR="004B4A2E">
        <w:rPr>
          <w:b/>
          <w:sz w:val="21"/>
          <w:szCs w:val="21"/>
        </w:rPr>
        <w:t>6</w:t>
      </w:r>
      <w:r>
        <w:rPr>
          <w:b/>
          <w:sz w:val="21"/>
          <w:szCs w:val="21"/>
        </w:rPr>
        <w:t xml:space="preserve">. </w:t>
      </w:r>
      <w:r>
        <w:rPr>
          <w:sz w:val="21"/>
          <w:szCs w:val="21"/>
        </w:rPr>
        <w:t xml:space="preserve">Three antimicrobial agents were selected based on antimicrobial treatment routinely administered to CF patients and against infections where </w:t>
      </w:r>
      <w:r>
        <w:rPr>
          <w:i/>
          <w:sz w:val="21"/>
          <w:szCs w:val="21"/>
        </w:rPr>
        <w:t xml:space="preserve">S. aureus </w:t>
      </w:r>
      <w:r>
        <w:rPr>
          <w:sz w:val="21"/>
          <w:szCs w:val="21"/>
        </w:rPr>
        <w:t xml:space="preserve">and </w:t>
      </w:r>
      <w:r>
        <w:rPr>
          <w:i/>
          <w:sz w:val="21"/>
          <w:szCs w:val="21"/>
        </w:rPr>
        <w:t xml:space="preserve">P. aeruginosa </w:t>
      </w:r>
      <w:r>
        <w:rPr>
          <w:sz w:val="21"/>
          <w:szCs w:val="21"/>
        </w:rPr>
        <w:t>are present or co-present. The minimal inhibitory concentration</w:t>
      </w:r>
      <w:r>
        <w:rPr>
          <w:sz w:val="21"/>
          <w:szCs w:val="21"/>
        </w:rPr>
        <w:t xml:space="preserve"> was determined to establish the concentration at which the antimicrobial agent prevents the visible growth of a microorganism, so the concentration that the absorbance is close to zero.</w:t>
      </w:r>
      <w:r w:rsidR="00C32D3F">
        <w:rPr>
          <w:sz w:val="21"/>
          <w:szCs w:val="21"/>
        </w:rPr>
        <w:fldChar w:fldCharType="begin" w:fldLock="1"/>
      </w:r>
      <w:r w:rsidR="00C32D3F">
        <w:rPr>
          <w:sz w:val="21"/>
          <w:szCs w:val="21"/>
        </w:rPr>
        <w:instrText>ADDIN CSL_CITATION {"citationItems":[{"id":"ITEM-1","itemData":{"ISBN":"1-56238-836-3","abstract":"11th edition. \"M07, 11th ed., January 2018, Replaces M07-A10.\" Caption title. Errata sheets tipped in.","author":[{"dropping-particle":"","family":"Clinical and Laboratory Standards Institute","given":"","non-dropping-particle":"","parse-names":false,"suffix":""}],"edition":"11th","id":"ITEM-1","issued":{"date-parts":[["2018"]]},"number-of-pages":"1-92","title":"Methods for dilution antimicrobial susceptibility tests for bacteria that grow aerobically","type":"book","volume":"38"},"uris":["http://www.mendeley.com/documents/?uuid=877048a3-d6c4-3b9e-bcd9-29b0153e6700"]}],"mendeley":{"formattedCitation":"&lt;sup&gt;77&lt;/sup&gt;","plainTextFormattedCitation":"77","previouslyFormattedCitation":"&lt;sup&gt;77&lt;/sup&gt;"},"properties":{"noteIndex":0},"schema":"https://github.com/citation-style-language/schema/raw/master/csl-citation.json"}</w:instrText>
      </w:r>
      <w:r w:rsidR="00C32D3F">
        <w:rPr>
          <w:sz w:val="21"/>
          <w:szCs w:val="21"/>
        </w:rPr>
        <w:fldChar w:fldCharType="separate"/>
      </w:r>
      <w:r w:rsidR="00C32D3F" w:rsidRPr="00C32D3F">
        <w:rPr>
          <w:noProof/>
          <w:sz w:val="21"/>
          <w:szCs w:val="21"/>
          <w:vertAlign w:val="superscript"/>
        </w:rPr>
        <w:t>77</w:t>
      </w:r>
      <w:r w:rsidR="00C32D3F">
        <w:rPr>
          <w:sz w:val="21"/>
          <w:szCs w:val="21"/>
        </w:rPr>
        <w:fldChar w:fldCharType="end"/>
      </w:r>
      <w:r>
        <w:rPr>
          <w:sz w:val="21"/>
          <w:szCs w:val="21"/>
        </w:rPr>
        <w:t xml:space="preserve"> A MIC of ciprofloxacin of 0.5 mg l</w:t>
      </w:r>
      <w:r>
        <w:rPr>
          <w:sz w:val="21"/>
          <w:szCs w:val="21"/>
          <w:vertAlign w:val="superscript"/>
        </w:rPr>
        <w:t>-1</w:t>
      </w:r>
      <w:r>
        <w:rPr>
          <w:sz w:val="21"/>
          <w:szCs w:val="21"/>
        </w:rPr>
        <w:t xml:space="preserve"> was determined against </w:t>
      </w:r>
      <w:r>
        <w:rPr>
          <w:i/>
          <w:sz w:val="21"/>
          <w:szCs w:val="21"/>
        </w:rPr>
        <w:t>S. aureus</w:t>
      </w:r>
      <w:r>
        <w:rPr>
          <w:sz w:val="21"/>
          <w:szCs w:val="21"/>
        </w:rPr>
        <w:t>, which is</w:t>
      </w:r>
      <w:r>
        <w:rPr>
          <w:i/>
          <w:sz w:val="21"/>
          <w:szCs w:val="21"/>
        </w:rPr>
        <w:t xml:space="preserve"> </w:t>
      </w:r>
      <w:r>
        <w:rPr>
          <w:sz w:val="21"/>
          <w:szCs w:val="21"/>
        </w:rPr>
        <w:t>in agreement with previous studies.</w:t>
      </w:r>
      <w:r w:rsidR="00C32D3F">
        <w:rPr>
          <w:sz w:val="21"/>
          <w:szCs w:val="21"/>
        </w:rPr>
        <w:fldChar w:fldCharType="begin" w:fldLock="1"/>
      </w:r>
      <w:r w:rsidR="00C32D3F">
        <w:rPr>
          <w:sz w:val="21"/>
          <w:szCs w:val="21"/>
        </w:rPr>
        <w:instrText>ADDIN CSL_CITATION {"citationItems":[{"id":"ITEM-1","itemData":{"DOI":"10.1111/j.1469-0691.2005.01105.x","ISSN":"1198743X","author":[{"dropping-particle":"","family":"Matynia","given":"B.","non-dropping-particle":"","parse-names":false,"suffix":""},{"dropping-particle":"","family":"Młodzinska","given":"E.","non-dropping-particle":"","parse-names":false,"suffix":""},{"dropping-particle":"","family":"Hryniewicz","given":"W.","non-dropping-particle":"","parse-names":false,"suffix":""}],"container-title":"Clinical Microbiology and Infection","id":"ITEM-1","issue":"5","issued":{"date-parts":[["2005","5"]]},"page":"379-385","title":"Antimicrobial susceptibility patterns of Staphylococcus aureus in Poland obtained by the National Quality Assurance Programme","type":"article-journal","volume":"11"},"uris":["http://www.mendeley.com/documents/?uuid=93ab2e6b-95b2-4191-8e94-62fc472a7a09"]},{"id":"ITEM-2","itemData":{"DOI":"10.1128/AAC.01586-05","ISSN":"0066-4804","abstract":"Gatifloxacin (GAT) is a new 8-methoxy fluoroquinolone with enhanced activity against gram-positive cocci. Its activity was studied in an in vitro pharmacokinetic-pharmacodynamic model against five Staphylococcus aureus strains, either susceptible to ciprofloxacin or exhibiting various levels and mechanisms of ciprofloxacin (CIP) resistance: the ATCC 25923 reference strain (MICs of CIP and GAT: 0.5 and 0.1 μg/ml, respectively), its efflux mutant SA-1 (16 and 0.5 μg/ml; mutation in the norA promoter region), and three clinical strains, Sa2102 (2 and 0.2 μg/ml), Sa2667 (4 and 0.5 μg/ml), and Sa2669 (16 and 1 μg/ml), carrying mutations in the grlA (Ser80Tyr or Phe) and gyrA (Ser84Ala) quinolone resistance-determining regions (QRDRs) for Sa2669. Plasmatic pharmacokinetic profiles after daily 1-h perfusion of 400 mg for 48 h were accurately simulated. Thus, mean maximum concentration of drug in serum values for the two administration intervals were 5.36 and 5.80 μg/ml, respectively, and the corresponding half-life at β-phase values were 8.68 and 7.80 h (goodness of fit coefficient, &gt;0.98). Therapeutic concentrations of GAT allowed the complete eradication of the susceptible strain within 12 h (difference between the bacterial counts at the beginning of the treatment and at a defined time: −2.18 at the 1-h time point [ t 1 ] and −6.80 at t 24 and t 48 ; the bacterial killing and regrowth curve from 0 to 48 h was 30.2 h × log CFU/milliliter). However, mutants (M) with GAT MICs increased by 4- to 40-fold were selected from the other strains. They acquired mutations either supplementary (MSa2102 and MSa2667) or different (Ala84Val for MSa2669) in gyrA or in both gyrA and grlA QRDRs (MSA-1). MSa2667 additionally overproduced efflux system(s) without norA promoter modification. Thus, GAT properties should allow the total elimination of ciprofloxacin-susceptible S. aureus , but resistant mutants might emerge from strains showing reduced susceptibility to older fluoroquinolones independently of the first-step mutation(s).","author":[{"dropping-particle":"","family":"Ba","given":"Boubakar B.","non-dropping-particle":"","parse-names":false,"suffix":""},{"dropping-particle":"","family":"Arpin","given":"Corinne","non-dropping-particle":"","parse-names":false,"suffix":""},{"dropping-particle":"","family":"Vidaillac","given":"Céline","non-dropping-particle":"","parse-names":false,"suffix":""},{"dropping-particle":"","family":"Chausse","given":"Arnaud","non-dropping-particle":"","parse-names":false,"suffix":""},{"dropping-particle":"","family":"Saux","given":"Marie-Claude","non-dropping-particle":"","parse-names":false,"suffix":""},{"dropping-particle":"","family":"Quentin","given":"Claudine","non-dropping-particle":"","parse-names":false,"suffix":""}],"container-title":"Antimicrobial Agents and Chemotherapy","id":"ITEM-2","issue":"6","issued":{"date-parts":[["2006","6"]]},"page":"1931-1936","title":"Activity of Gatifloxacin in an In Vitro Pharmacokinetic-Pharmacodynamic Model against Staphylococcus aureus Strains either Susceptible to Ciprofloxacin or Exhibiting Various Levels and Mechanisms of Ciprofloxacin Resistance","type":"article-journal","volume":"50"},"uris":["http://www.mendeley.com/documents/?uuid=2a2394b6-2e06-43e7-9557-0a5f3aecde34"]}],"mendeley":{"formattedCitation":"&lt;sup&gt;78,79&lt;/sup&gt;","plainTextFormattedCitation":"78,79","previouslyFormattedCitation":"&lt;sup&gt;78,79&lt;/sup&gt;"},"properties":{"noteIndex":0},"schema":"https://github.com/citation-style-language/schema/raw/master/csl-citation.json"}</w:instrText>
      </w:r>
      <w:r w:rsidR="00C32D3F">
        <w:rPr>
          <w:sz w:val="21"/>
          <w:szCs w:val="21"/>
        </w:rPr>
        <w:fldChar w:fldCharType="separate"/>
      </w:r>
      <w:r w:rsidR="00C32D3F" w:rsidRPr="00C32D3F">
        <w:rPr>
          <w:noProof/>
          <w:sz w:val="21"/>
          <w:szCs w:val="21"/>
          <w:vertAlign w:val="superscript"/>
        </w:rPr>
        <w:t>78,79</w:t>
      </w:r>
      <w:r w:rsidR="00C32D3F">
        <w:rPr>
          <w:sz w:val="21"/>
          <w:szCs w:val="21"/>
        </w:rPr>
        <w:fldChar w:fldCharType="end"/>
      </w:r>
      <w:r>
        <w:rPr>
          <w:sz w:val="21"/>
          <w:szCs w:val="21"/>
        </w:rPr>
        <w:t xml:space="preserve"> </w:t>
      </w:r>
      <w:r>
        <w:rPr>
          <w:i/>
          <w:sz w:val="21"/>
          <w:szCs w:val="21"/>
        </w:rPr>
        <w:t xml:space="preserve">P. aeruginosa </w:t>
      </w:r>
      <w:r>
        <w:rPr>
          <w:sz w:val="21"/>
          <w:szCs w:val="21"/>
        </w:rPr>
        <w:t>also showed a MIC for ciprofloxacin of 0.5 mg l</w:t>
      </w:r>
      <w:r>
        <w:rPr>
          <w:sz w:val="21"/>
          <w:szCs w:val="21"/>
          <w:vertAlign w:val="superscript"/>
        </w:rPr>
        <w:t>-1</w:t>
      </w:r>
      <w:r>
        <w:rPr>
          <w:sz w:val="21"/>
          <w:szCs w:val="21"/>
        </w:rPr>
        <w:t xml:space="preserve">, in accordance with the MIC breakpoint to which </w:t>
      </w:r>
      <w:r>
        <w:rPr>
          <w:i/>
          <w:sz w:val="21"/>
          <w:szCs w:val="21"/>
        </w:rPr>
        <w:t>P. aeruginosa</w:t>
      </w:r>
      <w:r>
        <w:rPr>
          <w:sz w:val="21"/>
          <w:szCs w:val="21"/>
        </w:rPr>
        <w:t xml:space="preserve"> is reported sensitive by EUCAST.</w:t>
      </w:r>
      <w:r w:rsidR="00C32D3F">
        <w:rPr>
          <w:sz w:val="21"/>
          <w:szCs w:val="21"/>
        </w:rPr>
        <w:fldChar w:fldCharType="begin" w:fldLock="1"/>
      </w:r>
      <w:r w:rsidR="00C32D3F">
        <w:rPr>
          <w:sz w:val="21"/>
          <w:szCs w:val="21"/>
        </w:rPr>
        <w:instrText>ADDIN CSL_CITATION {"citationItems":[{"id":"ITEM-1","itemData":{"author":[{"dropping-particle":"","family":"European Committee on Antimicrobial Susceptibility Testing","given":"","non-dropping-particle":"","parse-names":false,"suffix":""}],"id":"ITEM-1","issued":{"date-parts":[["2019"]]},"number-of-pages":"Version 9.0","title":"Breakpoint tables for interpretation of MICs and zone diameters. Version 9.0","type":"report"},"uris":["http://www.mendeley.com/documents/?uuid=38203451-bbd1-422b-92e3-2d677941fa78"]}],"mendeley":{"formattedCitation":"&lt;sup&gt;80&lt;/sup&gt;","plainTextFormattedCitation":"80","previouslyFormattedCitation":"&lt;sup&gt;80&lt;/sup&gt;"},"properties":{"noteIndex":0},"schema":"https://github.com/citation-style-language/schema/raw/master/csl-citation.json"}</w:instrText>
      </w:r>
      <w:r w:rsidR="00C32D3F">
        <w:rPr>
          <w:sz w:val="21"/>
          <w:szCs w:val="21"/>
        </w:rPr>
        <w:fldChar w:fldCharType="separate"/>
      </w:r>
      <w:r w:rsidR="00C32D3F" w:rsidRPr="00C32D3F">
        <w:rPr>
          <w:noProof/>
          <w:sz w:val="21"/>
          <w:szCs w:val="21"/>
          <w:vertAlign w:val="superscript"/>
        </w:rPr>
        <w:t>80</w:t>
      </w:r>
      <w:r w:rsidR="00C32D3F">
        <w:rPr>
          <w:sz w:val="21"/>
          <w:szCs w:val="21"/>
        </w:rPr>
        <w:fldChar w:fldCharType="end"/>
      </w:r>
      <w:r>
        <w:rPr>
          <w:sz w:val="21"/>
          <w:szCs w:val="21"/>
        </w:rPr>
        <w:t xml:space="preserve"> For tobramycin, the MIC for </w:t>
      </w:r>
      <w:r>
        <w:rPr>
          <w:i/>
          <w:sz w:val="21"/>
          <w:szCs w:val="21"/>
        </w:rPr>
        <w:t>P. aeruginosa</w:t>
      </w:r>
      <w:r>
        <w:rPr>
          <w:sz w:val="21"/>
          <w:szCs w:val="21"/>
        </w:rPr>
        <w:t xml:space="preserve"> was 8 mg l</w:t>
      </w:r>
      <w:r>
        <w:rPr>
          <w:sz w:val="21"/>
          <w:szCs w:val="21"/>
          <w:vertAlign w:val="superscript"/>
        </w:rPr>
        <w:t>-1</w:t>
      </w:r>
      <w:r>
        <w:rPr>
          <w:sz w:val="21"/>
          <w:szCs w:val="21"/>
        </w:rPr>
        <w:t>, which, following the MIC breakpoints reported by EUCAST, is considered as resistant.</w:t>
      </w:r>
      <w:r w:rsidR="00C32D3F">
        <w:rPr>
          <w:sz w:val="21"/>
          <w:szCs w:val="21"/>
        </w:rPr>
        <w:fldChar w:fldCharType="begin" w:fldLock="1"/>
      </w:r>
      <w:r w:rsidR="00BB11A9">
        <w:rPr>
          <w:sz w:val="21"/>
          <w:szCs w:val="21"/>
        </w:rPr>
        <w:instrText>ADDIN CSL_CITATION {"citationItems":[{"id":"ITEM-1","itemData":{"author":[{"dropping-particle":"","family":"European Committee on Antimicrobial Susceptibility Testing","given":"","non-dropping-particle":"","parse-names":false,"suffix":""}],"id":"ITEM-1","issued":{"date-parts":[["2019"]]},"number-of-pages":"Version 9.0","title":"Breakpoint tables for interpretation of MICs and zone diameters. Version 9.0","type":"report"},"uris":["http://www.mendeley.com/documents/?uuid=38203451-bbd1-422b-92e3-2d677941fa78"]}],"mendeley":{"formattedCitation":"&lt;sup&gt;80&lt;/sup&gt;","plainTextFormattedCitation":"80","previouslyFormattedCitation":"&lt;sup&gt;80&lt;/sup&gt;"},"properties":{"noteIndex":0},"schema":"https://github.com/citation-style-language/schema/raw/master/csl-citation.json"}</w:instrText>
      </w:r>
      <w:r w:rsidR="00C32D3F">
        <w:rPr>
          <w:sz w:val="21"/>
          <w:szCs w:val="21"/>
        </w:rPr>
        <w:fldChar w:fldCharType="separate"/>
      </w:r>
      <w:r w:rsidR="00C32D3F" w:rsidRPr="00C32D3F">
        <w:rPr>
          <w:noProof/>
          <w:sz w:val="21"/>
          <w:szCs w:val="21"/>
          <w:vertAlign w:val="superscript"/>
        </w:rPr>
        <w:t>80</w:t>
      </w:r>
      <w:r w:rsidR="00C32D3F">
        <w:rPr>
          <w:sz w:val="21"/>
          <w:szCs w:val="21"/>
        </w:rPr>
        <w:fldChar w:fldCharType="end"/>
      </w:r>
      <w:r>
        <w:rPr>
          <w:sz w:val="21"/>
          <w:szCs w:val="21"/>
        </w:rPr>
        <w:t xml:space="preserve"> Instead, colistin i</w:t>
      </w:r>
      <w:r>
        <w:rPr>
          <w:sz w:val="21"/>
          <w:szCs w:val="21"/>
        </w:rPr>
        <w:t xml:space="preserve">s commonly used as the last weapon against Gram-negative cultures, such as pneumonia caused by </w:t>
      </w:r>
      <w:r>
        <w:rPr>
          <w:i/>
          <w:sz w:val="21"/>
          <w:szCs w:val="21"/>
        </w:rPr>
        <w:t>P. aeruginosa</w:t>
      </w:r>
      <w:r>
        <w:rPr>
          <w:sz w:val="21"/>
          <w:szCs w:val="21"/>
        </w:rPr>
        <w:t xml:space="preserve"> and the determined MIC was 8 mg l</w:t>
      </w:r>
      <w:r>
        <w:rPr>
          <w:sz w:val="21"/>
          <w:szCs w:val="21"/>
          <w:vertAlign w:val="superscript"/>
        </w:rPr>
        <w:t>-1</w:t>
      </w:r>
      <w:r>
        <w:rPr>
          <w:sz w:val="21"/>
          <w:szCs w:val="21"/>
        </w:rPr>
        <w:t>.</w:t>
      </w:r>
    </w:p>
    <w:p w14:paraId="00000119" w14:textId="77777777" w:rsidR="008F08CA" w:rsidRDefault="00031084">
      <w:pPr>
        <w:widowControl w:val="0"/>
        <w:ind w:left="640"/>
        <w:rPr>
          <w:b/>
        </w:rPr>
      </w:pPr>
      <w:r>
        <w:rPr>
          <w:b/>
          <w:noProof/>
        </w:rPr>
        <w:drawing>
          <wp:inline distT="114300" distB="114300" distL="114300" distR="114300" wp14:anchorId="355D6E89" wp14:editId="5C663C09">
            <wp:extent cx="5731200" cy="2082800"/>
            <wp:effectExtent l="0" t="0" r="0" b="0"/>
            <wp:docPr id="13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082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11A" w14:textId="4ED67539" w:rsidR="008F08CA" w:rsidRDefault="00031084">
      <w:pPr>
        <w:widowControl w:val="0"/>
        <w:spacing w:line="360" w:lineRule="auto"/>
        <w:jc w:val="both"/>
        <w:rPr>
          <w:sz w:val="18"/>
          <w:szCs w:val="18"/>
        </w:rPr>
      </w:pPr>
      <w:r>
        <w:rPr>
          <w:b/>
          <w:sz w:val="18"/>
          <w:szCs w:val="18"/>
        </w:rPr>
        <w:t xml:space="preserve">Supplementary Fig. </w:t>
      </w:r>
      <w:r w:rsidR="004B4A2E">
        <w:rPr>
          <w:b/>
          <w:sz w:val="18"/>
          <w:szCs w:val="18"/>
        </w:rPr>
        <w:t>6</w:t>
      </w:r>
      <w:r>
        <w:rPr>
          <w:b/>
          <w:sz w:val="18"/>
          <w:szCs w:val="18"/>
        </w:rPr>
        <w:t xml:space="preserve"> | Minimal inhibitory concentration for different antimicrobial agents</w:t>
      </w:r>
      <w:r>
        <w:rPr>
          <w:sz w:val="18"/>
          <w:szCs w:val="18"/>
        </w:rPr>
        <w:t xml:space="preserve"> </w:t>
      </w:r>
      <w:r>
        <w:rPr>
          <w:b/>
          <w:sz w:val="18"/>
          <w:szCs w:val="18"/>
        </w:rPr>
        <w:t xml:space="preserve">a, </w:t>
      </w:r>
      <w:r>
        <w:rPr>
          <w:sz w:val="18"/>
          <w:szCs w:val="18"/>
        </w:rPr>
        <w:t>Minimal inhibi</w:t>
      </w:r>
      <w:r>
        <w:rPr>
          <w:sz w:val="18"/>
          <w:szCs w:val="18"/>
        </w:rPr>
        <w:t xml:space="preserve">tory concentration of ciprofloxacin, tobramycin, and vancomycin against </w:t>
      </w:r>
      <w:r>
        <w:rPr>
          <w:i/>
          <w:sz w:val="18"/>
          <w:szCs w:val="18"/>
        </w:rPr>
        <w:t>S. aureus;</w:t>
      </w:r>
      <w:r>
        <w:rPr>
          <w:sz w:val="18"/>
          <w:szCs w:val="18"/>
        </w:rPr>
        <w:t xml:space="preserve"> and </w:t>
      </w:r>
      <w:r>
        <w:rPr>
          <w:b/>
          <w:sz w:val="18"/>
          <w:szCs w:val="18"/>
        </w:rPr>
        <w:t>b,</w:t>
      </w:r>
      <w:r>
        <w:rPr>
          <w:sz w:val="18"/>
          <w:szCs w:val="18"/>
        </w:rPr>
        <w:t xml:space="preserve"> Minimal inhibitory concentration of ciprofloxacin, tobramycin, and colistin against </w:t>
      </w:r>
      <w:r>
        <w:rPr>
          <w:i/>
          <w:sz w:val="18"/>
          <w:szCs w:val="18"/>
        </w:rPr>
        <w:t>P. aeruginosa</w:t>
      </w:r>
      <w:r>
        <w:rPr>
          <w:b/>
          <w:sz w:val="18"/>
          <w:szCs w:val="18"/>
        </w:rPr>
        <w:t xml:space="preserve"> </w:t>
      </w:r>
      <w:r>
        <w:rPr>
          <w:sz w:val="18"/>
          <w:szCs w:val="18"/>
        </w:rPr>
        <w:t>by the broth microdilution method using Muller Hinton broth (MHB) ac</w:t>
      </w:r>
      <w:r>
        <w:rPr>
          <w:sz w:val="18"/>
          <w:szCs w:val="18"/>
        </w:rPr>
        <w:t>cording to The European Committee on Antimicrobial Susceptibility Testing (EUCAST) guidelines.</w:t>
      </w:r>
    </w:p>
    <w:p w14:paraId="0000011C" w14:textId="3145CE3C" w:rsidR="004B4A2E" w:rsidRDefault="004B4A2E"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0000011D" w14:textId="75A7611F" w:rsidR="008F08CA" w:rsidRDefault="00031084">
      <w:pPr>
        <w:widowControl w:val="0"/>
        <w:spacing w:line="360" w:lineRule="auto"/>
        <w:jc w:val="both"/>
        <w:rPr>
          <w:sz w:val="21"/>
          <w:szCs w:val="21"/>
        </w:rPr>
      </w:pPr>
      <w:r>
        <w:rPr>
          <w:b/>
          <w:sz w:val="21"/>
          <w:szCs w:val="21"/>
        </w:rPr>
        <w:lastRenderedPageBreak/>
        <w:t xml:space="preserve">Supplementary Figure </w:t>
      </w:r>
      <w:r w:rsidR="004B4A2E">
        <w:rPr>
          <w:b/>
          <w:sz w:val="21"/>
          <w:szCs w:val="21"/>
        </w:rPr>
        <w:t>7</w:t>
      </w:r>
      <w:r>
        <w:rPr>
          <w:b/>
          <w:sz w:val="21"/>
          <w:szCs w:val="21"/>
        </w:rPr>
        <w:t xml:space="preserve">. </w:t>
      </w:r>
      <w:r>
        <w:rPr>
          <w:sz w:val="21"/>
          <w:szCs w:val="21"/>
        </w:rPr>
        <w:t xml:space="preserve">Co-cultures of </w:t>
      </w:r>
      <w:r>
        <w:rPr>
          <w:i/>
          <w:sz w:val="21"/>
          <w:szCs w:val="21"/>
        </w:rPr>
        <w:t xml:space="preserve">S. aureus </w:t>
      </w:r>
      <w:r>
        <w:rPr>
          <w:sz w:val="21"/>
          <w:szCs w:val="21"/>
        </w:rPr>
        <w:t xml:space="preserve">and </w:t>
      </w:r>
      <w:r>
        <w:rPr>
          <w:i/>
          <w:sz w:val="21"/>
          <w:szCs w:val="21"/>
        </w:rPr>
        <w:t>P. aeruginosa</w:t>
      </w:r>
      <w:r>
        <w:rPr>
          <w:sz w:val="21"/>
          <w:szCs w:val="21"/>
        </w:rPr>
        <w:t xml:space="preserve"> in CF-Mu</w:t>
      </w:r>
      <w:r>
        <w:rPr>
          <w:sz w:val="21"/>
          <w:szCs w:val="21"/>
          <w:vertAlign w:val="superscript"/>
        </w:rPr>
        <w:t>3</w:t>
      </w:r>
      <w:r>
        <w:rPr>
          <w:sz w:val="21"/>
          <w:szCs w:val="21"/>
        </w:rPr>
        <w:t>Gel following three different settings: (a) contemporary co-culture of both</w:t>
      </w:r>
      <w:r>
        <w:rPr>
          <w:i/>
          <w:sz w:val="21"/>
          <w:szCs w:val="21"/>
        </w:rPr>
        <w:t xml:space="preserve"> S. aureus </w:t>
      </w:r>
      <w:r>
        <w:rPr>
          <w:sz w:val="21"/>
          <w:szCs w:val="21"/>
        </w:rPr>
        <w:t xml:space="preserve">and </w:t>
      </w:r>
      <w:r>
        <w:rPr>
          <w:i/>
          <w:sz w:val="21"/>
          <w:szCs w:val="21"/>
        </w:rPr>
        <w:t>P. aeruginosa</w:t>
      </w:r>
      <w:r>
        <w:rPr>
          <w:sz w:val="21"/>
          <w:szCs w:val="21"/>
        </w:rPr>
        <w:t xml:space="preserve"> for 24h; (b) culture with </w:t>
      </w:r>
      <w:r>
        <w:rPr>
          <w:i/>
          <w:sz w:val="21"/>
          <w:szCs w:val="21"/>
        </w:rPr>
        <w:t>S. aureus</w:t>
      </w:r>
      <w:r>
        <w:rPr>
          <w:sz w:val="21"/>
          <w:szCs w:val="21"/>
        </w:rPr>
        <w:t xml:space="preserve"> first, followed by </w:t>
      </w:r>
      <w:r>
        <w:rPr>
          <w:i/>
          <w:sz w:val="21"/>
          <w:szCs w:val="21"/>
        </w:rPr>
        <w:t>P. aeruginosa</w:t>
      </w:r>
      <w:r>
        <w:rPr>
          <w:sz w:val="21"/>
          <w:szCs w:val="21"/>
        </w:rPr>
        <w:t xml:space="preserve"> culture for another 24h of incubation; and finally (c) culture with </w:t>
      </w:r>
      <w:r>
        <w:rPr>
          <w:i/>
          <w:sz w:val="21"/>
          <w:szCs w:val="21"/>
        </w:rPr>
        <w:t>P. aeruginosa</w:t>
      </w:r>
      <w:r>
        <w:rPr>
          <w:sz w:val="21"/>
          <w:szCs w:val="21"/>
        </w:rPr>
        <w:t xml:space="preserve"> first, after which </w:t>
      </w:r>
      <w:r>
        <w:rPr>
          <w:i/>
          <w:sz w:val="21"/>
          <w:szCs w:val="21"/>
        </w:rPr>
        <w:t>S. aureus</w:t>
      </w:r>
      <w:r>
        <w:rPr>
          <w:sz w:val="21"/>
          <w:szCs w:val="21"/>
        </w:rPr>
        <w:t xml:space="preserve"> was added and incubated for further 24h. To obs</w:t>
      </w:r>
      <w:r>
        <w:rPr>
          <w:sz w:val="21"/>
          <w:szCs w:val="21"/>
        </w:rPr>
        <w:t xml:space="preserve">erve bacteria distribution and co-colonisation both DsRed-fluorescent </w:t>
      </w:r>
      <w:r>
        <w:rPr>
          <w:i/>
          <w:sz w:val="21"/>
          <w:szCs w:val="21"/>
        </w:rPr>
        <w:t>S. aureus</w:t>
      </w:r>
      <w:r>
        <w:rPr>
          <w:sz w:val="21"/>
          <w:szCs w:val="21"/>
        </w:rPr>
        <w:t xml:space="preserve"> (fluorescent red) and GFP-fluorescent </w:t>
      </w:r>
      <w:r>
        <w:rPr>
          <w:i/>
          <w:sz w:val="21"/>
          <w:szCs w:val="21"/>
        </w:rPr>
        <w:t>P. aeruginosa</w:t>
      </w:r>
      <w:r>
        <w:rPr>
          <w:sz w:val="21"/>
          <w:szCs w:val="21"/>
        </w:rPr>
        <w:t xml:space="preserve"> (fluorescent green) were adopted.</w:t>
      </w:r>
    </w:p>
    <w:p w14:paraId="0000011F" w14:textId="77777777" w:rsidR="008F08CA" w:rsidRDefault="00031084">
      <w:pPr>
        <w:spacing w:before="280" w:after="280" w:line="360" w:lineRule="auto"/>
        <w:jc w:val="both"/>
        <w:rPr>
          <w:i/>
          <w:sz w:val="18"/>
          <w:szCs w:val="18"/>
        </w:rPr>
      </w:pPr>
      <w:r>
        <w:rPr>
          <w:i/>
          <w:noProof/>
          <w:sz w:val="18"/>
          <w:szCs w:val="18"/>
        </w:rPr>
        <w:drawing>
          <wp:inline distT="114300" distB="114300" distL="114300" distR="114300" wp14:anchorId="5919FCEF" wp14:editId="55094A98">
            <wp:extent cx="5731200" cy="2667000"/>
            <wp:effectExtent l="0" t="0" r="0" b="0"/>
            <wp:docPr id="139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67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120" w14:textId="15567312" w:rsidR="008F08CA" w:rsidRDefault="00031084">
      <w:pPr>
        <w:spacing w:before="280" w:after="280" w:line="360" w:lineRule="auto"/>
        <w:jc w:val="both"/>
        <w:rPr>
          <w:sz w:val="18"/>
          <w:szCs w:val="18"/>
        </w:rPr>
      </w:pPr>
      <w:r>
        <w:rPr>
          <w:b/>
          <w:sz w:val="18"/>
          <w:szCs w:val="18"/>
        </w:rPr>
        <w:t xml:space="preserve">Supplementary Fig. </w:t>
      </w:r>
      <w:r w:rsidR="004B4A2E">
        <w:rPr>
          <w:b/>
          <w:sz w:val="18"/>
          <w:szCs w:val="18"/>
        </w:rPr>
        <w:t>7</w:t>
      </w:r>
      <w:r>
        <w:rPr>
          <w:b/>
          <w:sz w:val="18"/>
          <w:szCs w:val="18"/>
        </w:rPr>
        <w:t xml:space="preserve"> | Co-cultures of DsRed-fluorescent </w:t>
      </w:r>
      <w:r>
        <w:rPr>
          <w:b/>
          <w:i/>
          <w:sz w:val="18"/>
          <w:szCs w:val="18"/>
        </w:rPr>
        <w:t>S. aureus</w:t>
      </w:r>
      <w:r>
        <w:rPr>
          <w:b/>
          <w:sz w:val="18"/>
          <w:szCs w:val="18"/>
        </w:rPr>
        <w:t xml:space="preserve"> and GFP-fluorescent </w:t>
      </w:r>
      <w:r>
        <w:rPr>
          <w:b/>
          <w:i/>
          <w:sz w:val="18"/>
          <w:szCs w:val="18"/>
        </w:rPr>
        <w:t>P.</w:t>
      </w:r>
      <w:r>
        <w:rPr>
          <w:b/>
          <w:i/>
          <w:sz w:val="18"/>
          <w:szCs w:val="18"/>
        </w:rPr>
        <w:t xml:space="preserve"> aeruginosa </w:t>
      </w:r>
      <w:r>
        <w:rPr>
          <w:b/>
          <w:sz w:val="18"/>
          <w:szCs w:val="18"/>
        </w:rPr>
        <w:t>in CF-Mu</w:t>
      </w:r>
      <w:r>
        <w:rPr>
          <w:b/>
          <w:sz w:val="18"/>
          <w:szCs w:val="18"/>
          <w:vertAlign w:val="superscript"/>
        </w:rPr>
        <w:t>3</w:t>
      </w:r>
      <w:r>
        <w:rPr>
          <w:b/>
          <w:sz w:val="18"/>
          <w:szCs w:val="18"/>
        </w:rPr>
        <w:t xml:space="preserve">Gel. </w:t>
      </w:r>
      <w:r>
        <w:rPr>
          <w:sz w:val="18"/>
          <w:szCs w:val="18"/>
        </w:rPr>
        <w:t>Confocal microscopy analyses of CF-Mu</w:t>
      </w:r>
      <w:r>
        <w:rPr>
          <w:sz w:val="18"/>
          <w:szCs w:val="18"/>
          <w:vertAlign w:val="superscript"/>
        </w:rPr>
        <w:t>3</w:t>
      </w:r>
      <w:r>
        <w:rPr>
          <w:sz w:val="18"/>
          <w:szCs w:val="18"/>
        </w:rPr>
        <w:t xml:space="preserve">Gel colonised with both DsRed-fluorescent </w:t>
      </w:r>
      <w:r>
        <w:rPr>
          <w:i/>
          <w:sz w:val="18"/>
          <w:szCs w:val="18"/>
        </w:rPr>
        <w:t>S. aureus</w:t>
      </w:r>
      <w:r>
        <w:rPr>
          <w:sz w:val="18"/>
          <w:szCs w:val="18"/>
        </w:rPr>
        <w:t xml:space="preserve"> (fluorescent red) and GFP-fluorescent </w:t>
      </w:r>
      <w:r>
        <w:rPr>
          <w:i/>
          <w:sz w:val="18"/>
          <w:szCs w:val="18"/>
        </w:rPr>
        <w:t>P. aeruginosa</w:t>
      </w:r>
      <w:r>
        <w:rPr>
          <w:sz w:val="18"/>
          <w:szCs w:val="18"/>
        </w:rPr>
        <w:t xml:space="preserve"> (fluorescent green) following different experimental settings: </w:t>
      </w:r>
      <w:r>
        <w:rPr>
          <w:b/>
          <w:sz w:val="18"/>
          <w:szCs w:val="18"/>
        </w:rPr>
        <w:t>a,</w:t>
      </w:r>
      <w:r>
        <w:rPr>
          <w:sz w:val="18"/>
          <w:szCs w:val="18"/>
        </w:rPr>
        <w:t xml:space="preserve"> contemporary culture w</w:t>
      </w:r>
      <w:r>
        <w:rPr>
          <w:sz w:val="18"/>
          <w:szCs w:val="18"/>
        </w:rPr>
        <w:t xml:space="preserve">ith both </w:t>
      </w:r>
      <w:r>
        <w:rPr>
          <w:i/>
          <w:sz w:val="18"/>
          <w:szCs w:val="18"/>
        </w:rPr>
        <w:t xml:space="preserve">S. aureus </w:t>
      </w:r>
      <w:r>
        <w:rPr>
          <w:sz w:val="18"/>
          <w:szCs w:val="18"/>
        </w:rPr>
        <w:t xml:space="preserve">and </w:t>
      </w:r>
      <w:r>
        <w:rPr>
          <w:i/>
          <w:sz w:val="18"/>
          <w:szCs w:val="18"/>
        </w:rPr>
        <w:t>P. aeruginosa</w:t>
      </w:r>
      <w:r>
        <w:rPr>
          <w:sz w:val="18"/>
          <w:szCs w:val="18"/>
        </w:rPr>
        <w:t xml:space="preserve"> for 24 h; </w:t>
      </w:r>
      <w:r>
        <w:rPr>
          <w:b/>
          <w:sz w:val="18"/>
          <w:szCs w:val="18"/>
        </w:rPr>
        <w:t>b,</w:t>
      </w:r>
      <w:r>
        <w:rPr>
          <w:sz w:val="18"/>
          <w:szCs w:val="18"/>
        </w:rPr>
        <w:t xml:space="preserve"> culturing </w:t>
      </w:r>
      <w:r>
        <w:rPr>
          <w:i/>
          <w:sz w:val="18"/>
          <w:szCs w:val="18"/>
        </w:rPr>
        <w:t>S. aureus</w:t>
      </w:r>
      <w:r>
        <w:rPr>
          <w:sz w:val="18"/>
          <w:szCs w:val="18"/>
        </w:rPr>
        <w:t xml:space="preserve"> first for 24 h followed by </w:t>
      </w:r>
      <w:r>
        <w:rPr>
          <w:i/>
          <w:sz w:val="18"/>
          <w:szCs w:val="18"/>
        </w:rPr>
        <w:t>P. aeruginosa</w:t>
      </w:r>
      <w:r>
        <w:rPr>
          <w:sz w:val="18"/>
          <w:szCs w:val="18"/>
        </w:rPr>
        <w:t xml:space="preserve"> culture for another 24 h; and finally, </w:t>
      </w:r>
      <w:r>
        <w:rPr>
          <w:b/>
          <w:sz w:val="18"/>
          <w:szCs w:val="18"/>
        </w:rPr>
        <w:t>c,</w:t>
      </w:r>
      <w:r>
        <w:rPr>
          <w:sz w:val="18"/>
          <w:szCs w:val="18"/>
        </w:rPr>
        <w:t xml:space="preserve"> culture with </w:t>
      </w:r>
      <w:r>
        <w:rPr>
          <w:i/>
          <w:sz w:val="18"/>
          <w:szCs w:val="18"/>
        </w:rPr>
        <w:t>P. aeruginosa</w:t>
      </w:r>
      <w:r>
        <w:rPr>
          <w:sz w:val="18"/>
          <w:szCs w:val="18"/>
        </w:rPr>
        <w:t xml:space="preserve"> first for 24 h, after which </w:t>
      </w:r>
      <w:r>
        <w:rPr>
          <w:i/>
          <w:sz w:val="18"/>
          <w:szCs w:val="18"/>
        </w:rPr>
        <w:t>S. aureus</w:t>
      </w:r>
      <w:r>
        <w:rPr>
          <w:sz w:val="18"/>
          <w:szCs w:val="18"/>
        </w:rPr>
        <w:t xml:space="preserve"> was added and incubated for further 24 h. Co-colonised CF-Mu</w:t>
      </w:r>
      <w:r>
        <w:rPr>
          <w:sz w:val="18"/>
          <w:szCs w:val="18"/>
          <w:vertAlign w:val="superscript"/>
        </w:rPr>
        <w:t>3</w:t>
      </w:r>
      <w:r>
        <w:rPr>
          <w:sz w:val="18"/>
          <w:szCs w:val="18"/>
        </w:rPr>
        <w:t xml:space="preserve">Gel was further stained with Hoechst 33342 to depict total bacteria (in blue). Deconstructed microscopical images are provided to better understand the organisation of </w:t>
      </w:r>
      <w:r>
        <w:rPr>
          <w:i/>
          <w:sz w:val="18"/>
          <w:szCs w:val="18"/>
        </w:rPr>
        <w:t>S. aureus</w:t>
      </w:r>
      <w:r>
        <w:rPr>
          <w:sz w:val="18"/>
          <w:szCs w:val="18"/>
        </w:rPr>
        <w:t xml:space="preserve"> (fluorescent red</w:t>
      </w:r>
      <w:r>
        <w:rPr>
          <w:sz w:val="18"/>
          <w:szCs w:val="18"/>
        </w:rPr>
        <w:t xml:space="preserve">) and </w:t>
      </w:r>
      <w:r>
        <w:rPr>
          <w:i/>
          <w:sz w:val="18"/>
          <w:szCs w:val="18"/>
        </w:rPr>
        <w:t>P. aeruginosa</w:t>
      </w:r>
      <w:r>
        <w:rPr>
          <w:sz w:val="18"/>
          <w:szCs w:val="18"/>
        </w:rPr>
        <w:t xml:space="preserve"> (fluorescent green) during co-culture in CF-Mu</w:t>
      </w:r>
      <w:r>
        <w:rPr>
          <w:sz w:val="18"/>
          <w:szCs w:val="18"/>
          <w:vertAlign w:val="superscript"/>
        </w:rPr>
        <w:t>3</w:t>
      </w:r>
      <w:r>
        <w:rPr>
          <w:sz w:val="18"/>
          <w:szCs w:val="18"/>
        </w:rPr>
        <w:t>Gel, as well as the 3D reconstruction of the different experimental set-ups. The scale bar corresponds to 10 μm.</w:t>
      </w:r>
    </w:p>
    <w:p w14:paraId="00000121" w14:textId="77777777" w:rsidR="008F08CA" w:rsidRDefault="008F08CA">
      <w:pPr>
        <w:spacing w:before="280" w:after="280" w:line="360" w:lineRule="auto"/>
        <w:jc w:val="both"/>
        <w:rPr>
          <w:sz w:val="18"/>
          <w:szCs w:val="18"/>
        </w:rPr>
      </w:pPr>
    </w:p>
    <w:p w14:paraId="2A1ABF43" w14:textId="77777777" w:rsidR="00344822" w:rsidRDefault="00344822">
      <w:pPr>
        <w:rPr>
          <w:b/>
          <w:sz w:val="21"/>
          <w:szCs w:val="21"/>
        </w:rPr>
      </w:pPr>
      <w:r>
        <w:rPr>
          <w:b/>
          <w:sz w:val="21"/>
          <w:szCs w:val="21"/>
        </w:rPr>
        <w:br w:type="page"/>
      </w:r>
    </w:p>
    <w:p w14:paraId="00000122" w14:textId="5F8C72BE" w:rsidR="008F08CA" w:rsidRDefault="00031084">
      <w:pPr>
        <w:spacing w:line="392" w:lineRule="auto"/>
        <w:jc w:val="both"/>
        <w:rPr>
          <w:sz w:val="18"/>
          <w:szCs w:val="18"/>
        </w:rPr>
      </w:pPr>
      <w:r>
        <w:rPr>
          <w:b/>
          <w:sz w:val="21"/>
          <w:szCs w:val="21"/>
        </w:rPr>
        <w:lastRenderedPageBreak/>
        <w:t xml:space="preserve">Supplementary Figure </w:t>
      </w:r>
      <w:r w:rsidR="004B4A2E">
        <w:rPr>
          <w:b/>
          <w:sz w:val="21"/>
          <w:szCs w:val="21"/>
        </w:rPr>
        <w:t>8</w:t>
      </w:r>
      <w:r>
        <w:rPr>
          <w:b/>
          <w:sz w:val="21"/>
          <w:szCs w:val="21"/>
        </w:rPr>
        <w:t xml:space="preserve">. </w:t>
      </w:r>
      <w:r>
        <w:rPr>
          <w:sz w:val="21"/>
          <w:szCs w:val="21"/>
        </w:rPr>
        <w:t xml:space="preserve">Co-cultures of </w:t>
      </w:r>
      <w:r>
        <w:rPr>
          <w:i/>
          <w:sz w:val="21"/>
          <w:szCs w:val="21"/>
        </w:rPr>
        <w:t>S. aureus</w:t>
      </w:r>
      <w:r>
        <w:rPr>
          <w:sz w:val="21"/>
          <w:szCs w:val="21"/>
        </w:rPr>
        <w:t xml:space="preserve"> and </w:t>
      </w:r>
      <w:r>
        <w:rPr>
          <w:i/>
          <w:sz w:val="21"/>
          <w:szCs w:val="21"/>
        </w:rPr>
        <w:t>P. aeruginosa</w:t>
      </w:r>
      <w:r>
        <w:rPr>
          <w:sz w:val="21"/>
          <w:szCs w:val="21"/>
        </w:rPr>
        <w:t xml:space="preserve"> were f</w:t>
      </w:r>
      <w:r>
        <w:rPr>
          <w:sz w:val="21"/>
          <w:szCs w:val="21"/>
        </w:rPr>
        <w:t xml:space="preserve">urther treated with ciprofloxacin to understand how the co-existence of these bacteria would impact their susceptibility to antimicrobial treatment. To do so, </w:t>
      </w:r>
      <w:r>
        <w:rPr>
          <w:i/>
          <w:sz w:val="21"/>
          <w:szCs w:val="21"/>
        </w:rPr>
        <w:t xml:space="preserve">S. aureus </w:t>
      </w:r>
      <w:r>
        <w:rPr>
          <w:sz w:val="21"/>
          <w:szCs w:val="21"/>
        </w:rPr>
        <w:t xml:space="preserve">was first cultured for 24 h followed by </w:t>
      </w:r>
      <w:r>
        <w:rPr>
          <w:i/>
          <w:sz w:val="21"/>
          <w:szCs w:val="21"/>
        </w:rPr>
        <w:t>P. aeruginosa</w:t>
      </w:r>
      <w:r>
        <w:rPr>
          <w:sz w:val="21"/>
          <w:szCs w:val="21"/>
        </w:rPr>
        <w:t xml:space="preserve"> culture for further 24 h (experim</w:t>
      </w:r>
      <w:r>
        <w:rPr>
          <w:sz w:val="21"/>
          <w:szCs w:val="21"/>
        </w:rPr>
        <w:t xml:space="preserve">ental setting b). This experimental setting was chosen because it closely recapitulates infection evolution in CF patients, as first </w:t>
      </w:r>
      <w:r>
        <w:rPr>
          <w:i/>
          <w:sz w:val="21"/>
          <w:szCs w:val="21"/>
        </w:rPr>
        <w:t xml:space="preserve">S. aureus </w:t>
      </w:r>
      <w:r>
        <w:rPr>
          <w:sz w:val="21"/>
          <w:szCs w:val="21"/>
        </w:rPr>
        <w:t xml:space="preserve">infections are occurring, followed by </w:t>
      </w:r>
      <w:r>
        <w:rPr>
          <w:i/>
          <w:sz w:val="21"/>
          <w:szCs w:val="21"/>
        </w:rPr>
        <w:t>P. aeruginosa</w:t>
      </w:r>
      <w:r>
        <w:rPr>
          <w:sz w:val="21"/>
          <w:szCs w:val="21"/>
        </w:rPr>
        <w:t xml:space="preserve"> colonisation. Upon ciprofloxacin treatment, no differences in</w:t>
      </w:r>
      <w:r>
        <w:rPr>
          <w:sz w:val="21"/>
          <w:szCs w:val="21"/>
        </w:rPr>
        <w:t xml:space="preserve"> the number of </w:t>
      </w:r>
      <w:r>
        <w:rPr>
          <w:i/>
          <w:sz w:val="21"/>
          <w:szCs w:val="21"/>
        </w:rPr>
        <w:t>P. aeruginosa</w:t>
      </w:r>
      <w:r>
        <w:rPr>
          <w:sz w:val="21"/>
          <w:szCs w:val="21"/>
        </w:rPr>
        <w:t xml:space="preserve"> were found when this was co-cultured in CF-Mu</w:t>
      </w:r>
      <w:r>
        <w:rPr>
          <w:sz w:val="21"/>
          <w:szCs w:val="21"/>
          <w:vertAlign w:val="superscript"/>
        </w:rPr>
        <w:t>3</w:t>
      </w:r>
      <w:r>
        <w:rPr>
          <w:sz w:val="21"/>
          <w:szCs w:val="21"/>
        </w:rPr>
        <w:t>Gel among the tested MIC. In CF-Mu</w:t>
      </w:r>
      <w:r>
        <w:rPr>
          <w:sz w:val="21"/>
          <w:szCs w:val="21"/>
          <w:vertAlign w:val="superscript"/>
        </w:rPr>
        <w:t>3</w:t>
      </w:r>
      <w:r>
        <w:rPr>
          <w:sz w:val="21"/>
          <w:szCs w:val="21"/>
        </w:rPr>
        <w:t xml:space="preserve">Gel, </w:t>
      </w:r>
      <w:r>
        <w:rPr>
          <w:i/>
          <w:sz w:val="21"/>
          <w:szCs w:val="21"/>
        </w:rPr>
        <w:t>S. aureus</w:t>
      </w:r>
      <w:r>
        <w:rPr>
          <w:sz w:val="21"/>
          <w:szCs w:val="21"/>
        </w:rPr>
        <w:t xml:space="preserve"> was only susceptible to 10 MIC ciprofloxacin treatment with a one-log 10 reduction in comparison to MIC and no antimicrobial treatm</w:t>
      </w:r>
      <w:r>
        <w:rPr>
          <w:sz w:val="21"/>
          <w:szCs w:val="21"/>
        </w:rPr>
        <w:t xml:space="preserve">ent. In planktonic conditions, the number of </w:t>
      </w:r>
      <w:r>
        <w:rPr>
          <w:i/>
          <w:sz w:val="21"/>
          <w:szCs w:val="21"/>
        </w:rPr>
        <w:t>P. aeruginosa</w:t>
      </w:r>
      <w:r>
        <w:rPr>
          <w:sz w:val="21"/>
          <w:szCs w:val="21"/>
        </w:rPr>
        <w:t xml:space="preserve"> gradually decreased with increased concentration of ciprofloxacin. A reduction of two-log 10, four-log10, and five-log10 of the number of </w:t>
      </w:r>
      <w:r>
        <w:rPr>
          <w:i/>
          <w:sz w:val="21"/>
          <w:szCs w:val="21"/>
        </w:rPr>
        <w:t>P. aeruginosa</w:t>
      </w:r>
      <w:r>
        <w:rPr>
          <w:sz w:val="21"/>
          <w:szCs w:val="21"/>
        </w:rPr>
        <w:t xml:space="preserve"> was determined after treating with 0.1, 1, an</w:t>
      </w:r>
      <w:r>
        <w:rPr>
          <w:sz w:val="21"/>
          <w:szCs w:val="21"/>
        </w:rPr>
        <w:t xml:space="preserve">d 10 MIC, respectively, in comparison to </w:t>
      </w:r>
      <w:r>
        <w:rPr>
          <w:i/>
          <w:sz w:val="21"/>
          <w:szCs w:val="21"/>
        </w:rPr>
        <w:t>P. aeruginosa</w:t>
      </w:r>
      <w:r>
        <w:rPr>
          <w:sz w:val="21"/>
          <w:szCs w:val="21"/>
        </w:rPr>
        <w:t xml:space="preserve"> co-cultured under planktonic conditions with no antimicrobial treatment.</w:t>
      </w:r>
    </w:p>
    <w:p w14:paraId="00000123" w14:textId="77777777" w:rsidR="008F08CA" w:rsidRDefault="00031084">
      <w:pPr>
        <w:spacing w:line="392" w:lineRule="auto"/>
        <w:jc w:val="center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114300" distB="114300" distL="114300" distR="114300" wp14:anchorId="607F8707" wp14:editId="176C0145">
            <wp:extent cx="3968750" cy="1888357"/>
            <wp:effectExtent l="0" t="0" r="0" b="0"/>
            <wp:docPr id="136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8750" cy="188835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124" w14:textId="067E08E6" w:rsidR="008F08CA" w:rsidRDefault="00031084">
      <w:pPr>
        <w:spacing w:before="280" w:after="280" w:line="392" w:lineRule="auto"/>
        <w:jc w:val="both"/>
        <w:rPr>
          <w:sz w:val="18"/>
          <w:szCs w:val="18"/>
        </w:rPr>
      </w:pPr>
      <w:r>
        <w:rPr>
          <w:b/>
          <w:sz w:val="18"/>
          <w:szCs w:val="18"/>
        </w:rPr>
        <w:t xml:space="preserve">Supplementary Fig. </w:t>
      </w:r>
      <w:r w:rsidR="004B4A2E">
        <w:rPr>
          <w:b/>
          <w:sz w:val="18"/>
          <w:szCs w:val="18"/>
        </w:rPr>
        <w:t>8</w:t>
      </w:r>
      <w:r>
        <w:rPr>
          <w:b/>
          <w:sz w:val="18"/>
          <w:szCs w:val="18"/>
        </w:rPr>
        <w:t xml:space="preserve"> | Antimicrobial treatment of CF-Mu</w:t>
      </w:r>
      <w:r>
        <w:rPr>
          <w:b/>
          <w:sz w:val="18"/>
          <w:szCs w:val="18"/>
          <w:vertAlign w:val="superscript"/>
        </w:rPr>
        <w:t>3</w:t>
      </w:r>
      <w:r>
        <w:rPr>
          <w:b/>
          <w:sz w:val="18"/>
          <w:szCs w:val="18"/>
        </w:rPr>
        <w:t xml:space="preserve">Gel co-colonised with both </w:t>
      </w:r>
      <w:r>
        <w:rPr>
          <w:b/>
          <w:i/>
          <w:sz w:val="18"/>
          <w:szCs w:val="18"/>
        </w:rPr>
        <w:t>S. aureus</w:t>
      </w:r>
      <w:r>
        <w:rPr>
          <w:b/>
          <w:sz w:val="18"/>
          <w:szCs w:val="18"/>
        </w:rPr>
        <w:t xml:space="preserve"> and </w:t>
      </w:r>
      <w:r>
        <w:rPr>
          <w:b/>
          <w:i/>
          <w:sz w:val="18"/>
          <w:szCs w:val="18"/>
        </w:rPr>
        <w:t>P. aeruginosa</w:t>
      </w:r>
      <w:r>
        <w:rPr>
          <w:sz w:val="18"/>
          <w:szCs w:val="18"/>
        </w:rPr>
        <w:t xml:space="preserve"> followed by antimicrobial treatment with ciprofloxacin. 0.1, 1 and 10 MIC correspond to 0.05, 0.5, and 5 mg.l</w:t>
      </w:r>
      <w:r>
        <w:rPr>
          <w:sz w:val="18"/>
          <w:szCs w:val="18"/>
          <w:vertAlign w:val="superscript"/>
        </w:rPr>
        <w:t>-1</w:t>
      </w:r>
      <w:r>
        <w:rPr>
          <w:sz w:val="18"/>
          <w:szCs w:val="18"/>
        </w:rPr>
        <w:t xml:space="preserve">, respectively, while No ATB means that ciprofloxacin was absent. </w:t>
      </w:r>
      <w:r>
        <w:rPr>
          <w:b/>
          <w:sz w:val="18"/>
          <w:szCs w:val="18"/>
        </w:rPr>
        <w:t>a,</w:t>
      </w:r>
      <w:r>
        <w:rPr>
          <w:sz w:val="18"/>
          <w:szCs w:val="18"/>
        </w:rPr>
        <w:t xml:space="preserve"> Proportion of </w:t>
      </w:r>
      <w:r>
        <w:rPr>
          <w:i/>
          <w:sz w:val="18"/>
          <w:szCs w:val="18"/>
        </w:rPr>
        <w:t>S. aureus</w:t>
      </w:r>
      <w:r>
        <w:rPr>
          <w:sz w:val="18"/>
          <w:szCs w:val="18"/>
        </w:rPr>
        <w:t xml:space="preserve">: </w:t>
      </w:r>
      <w:r>
        <w:rPr>
          <w:i/>
          <w:sz w:val="18"/>
          <w:szCs w:val="18"/>
        </w:rPr>
        <w:t xml:space="preserve">P. aeruginosa </w:t>
      </w:r>
      <w:r>
        <w:rPr>
          <w:sz w:val="18"/>
          <w:szCs w:val="18"/>
        </w:rPr>
        <w:t>after antimicrobial treatment; Quant</w:t>
      </w:r>
      <w:r>
        <w:rPr>
          <w:sz w:val="18"/>
          <w:szCs w:val="18"/>
        </w:rPr>
        <w:t xml:space="preserve">ification of co-cultured: </w:t>
      </w:r>
      <w:r>
        <w:rPr>
          <w:b/>
          <w:sz w:val="18"/>
          <w:szCs w:val="18"/>
        </w:rPr>
        <w:t>b,</w:t>
      </w:r>
      <w:r>
        <w:rPr>
          <w:sz w:val="18"/>
          <w:szCs w:val="18"/>
        </w:rPr>
        <w:t xml:space="preserve"> </w:t>
      </w:r>
      <w:r>
        <w:rPr>
          <w:i/>
          <w:sz w:val="18"/>
          <w:szCs w:val="18"/>
        </w:rPr>
        <w:t>S. aureus;</w:t>
      </w:r>
      <w:r>
        <w:rPr>
          <w:sz w:val="18"/>
          <w:szCs w:val="18"/>
        </w:rPr>
        <w:t xml:space="preserve"> and </w:t>
      </w:r>
      <w:r>
        <w:rPr>
          <w:b/>
          <w:sz w:val="18"/>
          <w:szCs w:val="18"/>
        </w:rPr>
        <w:t xml:space="preserve">c, </w:t>
      </w:r>
      <w:r>
        <w:rPr>
          <w:i/>
          <w:sz w:val="18"/>
          <w:szCs w:val="18"/>
        </w:rPr>
        <w:t>P. aeruginosa</w:t>
      </w:r>
      <w:r>
        <w:rPr>
          <w:sz w:val="18"/>
          <w:szCs w:val="18"/>
        </w:rPr>
        <w:t xml:space="preserve"> grown after treatment using selective medium, mannitol and cetrimide agar, respectively. The results obtained with CF-Mu</w:t>
      </w:r>
      <w:r>
        <w:rPr>
          <w:sz w:val="18"/>
          <w:szCs w:val="18"/>
          <w:vertAlign w:val="superscript"/>
        </w:rPr>
        <w:t>3</w:t>
      </w:r>
      <w:r>
        <w:rPr>
          <w:sz w:val="18"/>
          <w:szCs w:val="18"/>
        </w:rPr>
        <w:t>Gel (green) were further compared with planktonic cultures (white). All da</w:t>
      </w:r>
      <w:r>
        <w:rPr>
          <w:sz w:val="18"/>
          <w:szCs w:val="18"/>
        </w:rPr>
        <w:t>ta were analysed using two‐way ANOVA. Significant differences were set for *</w:t>
      </w:r>
      <w:r>
        <w:rPr>
          <w:i/>
          <w:sz w:val="18"/>
          <w:szCs w:val="18"/>
        </w:rPr>
        <w:t>p</w:t>
      </w:r>
      <w:r>
        <w:rPr>
          <w:sz w:val="18"/>
          <w:szCs w:val="18"/>
        </w:rPr>
        <w:t xml:space="preserve"> &lt; 0.05; **</w:t>
      </w:r>
      <w:r>
        <w:rPr>
          <w:i/>
          <w:sz w:val="18"/>
          <w:szCs w:val="18"/>
        </w:rPr>
        <w:t>p</w:t>
      </w:r>
      <w:r>
        <w:rPr>
          <w:sz w:val="18"/>
          <w:szCs w:val="18"/>
        </w:rPr>
        <w:t xml:space="preserve"> &lt; 0.01; ***</w:t>
      </w:r>
      <w:r>
        <w:rPr>
          <w:i/>
          <w:sz w:val="18"/>
          <w:szCs w:val="18"/>
        </w:rPr>
        <w:t>p</w:t>
      </w:r>
      <w:r>
        <w:rPr>
          <w:sz w:val="18"/>
          <w:szCs w:val="18"/>
        </w:rPr>
        <w:t xml:space="preserve"> &lt; 0.001; ****</w:t>
      </w:r>
      <w:r>
        <w:rPr>
          <w:i/>
          <w:sz w:val="18"/>
          <w:szCs w:val="18"/>
        </w:rPr>
        <w:t>p</w:t>
      </w:r>
      <w:r>
        <w:rPr>
          <w:sz w:val="18"/>
          <w:szCs w:val="18"/>
        </w:rPr>
        <w:t xml:space="preserve"> &lt; 0.0001. A minimum of five independent samples were analysed per bacterium (n </w:t>
      </w:r>
      <w:r>
        <w:rPr>
          <w:rFonts w:ascii="Cambria Math" w:eastAsia="Cambria Math" w:hAnsi="Cambria Math" w:cs="Cambria Math"/>
          <w:sz w:val="18"/>
          <w:szCs w:val="18"/>
        </w:rPr>
        <w:t>≧</w:t>
      </w:r>
      <w:r>
        <w:rPr>
          <w:sz w:val="18"/>
          <w:szCs w:val="18"/>
        </w:rPr>
        <w:t xml:space="preserve"> 5).</w:t>
      </w:r>
    </w:p>
    <w:p w14:paraId="00000130" w14:textId="77777777" w:rsidR="008F08CA" w:rsidRDefault="008F08CA">
      <w:pPr>
        <w:widowControl w:val="0"/>
        <w:spacing w:line="360" w:lineRule="auto"/>
        <w:jc w:val="both"/>
        <w:rPr>
          <w:sz w:val="18"/>
          <w:szCs w:val="18"/>
        </w:rPr>
      </w:pPr>
    </w:p>
    <w:p w14:paraId="24F23BE6" w14:textId="77777777" w:rsidR="00344822" w:rsidRDefault="00344822">
      <w:pPr>
        <w:rPr>
          <w:b/>
          <w:sz w:val="21"/>
          <w:szCs w:val="21"/>
        </w:rPr>
      </w:pPr>
      <w:r>
        <w:rPr>
          <w:b/>
          <w:sz w:val="21"/>
          <w:szCs w:val="21"/>
        </w:rPr>
        <w:br w:type="page"/>
      </w:r>
    </w:p>
    <w:p w14:paraId="00000131" w14:textId="5F2837D1" w:rsidR="008F08CA" w:rsidRDefault="00031084">
      <w:pPr>
        <w:spacing w:line="360" w:lineRule="auto"/>
        <w:jc w:val="both"/>
        <w:rPr>
          <w:sz w:val="21"/>
          <w:szCs w:val="21"/>
        </w:rPr>
      </w:pPr>
      <w:r>
        <w:rPr>
          <w:b/>
          <w:sz w:val="21"/>
          <w:szCs w:val="21"/>
        </w:rPr>
        <w:lastRenderedPageBreak/>
        <w:t>Supplementary Table 1.</w:t>
      </w:r>
      <w:r>
        <w:rPr>
          <w:sz w:val="21"/>
          <w:szCs w:val="21"/>
        </w:rPr>
        <w:t xml:space="preserve"> Mass Spectroscopy analytical conditions.</w:t>
      </w:r>
    </w:p>
    <w:p w14:paraId="00000132" w14:textId="77777777" w:rsidR="008F08CA" w:rsidRDefault="008F08CA">
      <w:pPr>
        <w:spacing w:line="360" w:lineRule="auto"/>
        <w:jc w:val="both"/>
        <w:rPr>
          <w:sz w:val="21"/>
          <w:szCs w:val="21"/>
        </w:rPr>
      </w:pPr>
    </w:p>
    <w:tbl>
      <w:tblPr>
        <w:tblStyle w:val="a0"/>
        <w:tblW w:w="6658" w:type="dxa"/>
        <w:jc w:val="center"/>
        <w:tblBorders>
          <w:top w:val="single" w:sz="4" w:space="0" w:color="DBDBDB"/>
          <w:left w:val="single" w:sz="4" w:space="0" w:color="DBDBDB"/>
          <w:bottom w:val="single" w:sz="4" w:space="0" w:color="DBDBDB"/>
          <w:right w:val="single" w:sz="4" w:space="0" w:color="DBDBDB"/>
          <w:insideH w:val="single" w:sz="4" w:space="0" w:color="DBDBDB"/>
          <w:insideV w:val="single" w:sz="4" w:space="0" w:color="DBDBDB"/>
        </w:tblBorders>
        <w:tblLayout w:type="fixed"/>
        <w:tblLook w:val="0400" w:firstRow="0" w:lastRow="0" w:firstColumn="0" w:lastColumn="0" w:noHBand="0" w:noVBand="1"/>
      </w:tblPr>
      <w:tblGrid>
        <w:gridCol w:w="1548"/>
        <w:gridCol w:w="1424"/>
        <w:gridCol w:w="1559"/>
        <w:gridCol w:w="2127"/>
      </w:tblGrid>
      <w:tr w:rsidR="008F08CA" w14:paraId="211E2C34" w14:textId="77777777">
        <w:trPr>
          <w:jc w:val="center"/>
        </w:trPr>
        <w:tc>
          <w:tcPr>
            <w:tcW w:w="1548" w:type="dxa"/>
            <w:tcBorders>
              <w:top w:val="single" w:sz="4" w:space="0" w:color="000000"/>
              <w:bottom w:val="single" w:sz="4" w:space="0" w:color="000000"/>
            </w:tcBorders>
          </w:tcPr>
          <w:p w14:paraId="00000133" w14:textId="77777777" w:rsidR="008F08CA" w:rsidRDefault="00031084">
            <w:pPr>
              <w:spacing w:line="360" w:lineRule="auto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Compound</w:t>
            </w:r>
          </w:p>
        </w:tc>
        <w:tc>
          <w:tcPr>
            <w:tcW w:w="1424" w:type="dxa"/>
            <w:tcBorders>
              <w:top w:val="single" w:sz="4" w:space="0" w:color="000000"/>
              <w:bottom w:val="single" w:sz="4" w:space="0" w:color="000000"/>
            </w:tcBorders>
          </w:tcPr>
          <w:p w14:paraId="00000134" w14:textId="77777777" w:rsidR="008F08CA" w:rsidRDefault="00031084">
            <w:pPr>
              <w:spacing w:line="360" w:lineRule="auto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Parent ion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</w:tcPr>
          <w:p w14:paraId="00000135" w14:textId="77777777" w:rsidR="008F08CA" w:rsidRDefault="00031084">
            <w:pPr>
              <w:spacing w:line="360" w:lineRule="auto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Fragment ion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</w:tcBorders>
          </w:tcPr>
          <w:p w14:paraId="00000136" w14:textId="77777777" w:rsidR="008F08CA" w:rsidRDefault="00031084">
            <w:pPr>
              <w:spacing w:line="360" w:lineRule="auto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Collision Energy (V)</w:t>
            </w:r>
          </w:p>
        </w:tc>
      </w:tr>
      <w:tr w:rsidR="008F08CA" w14:paraId="1D9280F6" w14:textId="77777777">
        <w:trPr>
          <w:jc w:val="center"/>
        </w:trPr>
        <w:tc>
          <w:tcPr>
            <w:tcW w:w="1548" w:type="dxa"/>
            <w:tcBorders>
              <w:top w:val="single" w:sz="4" w:space="0" w:color="000000"/>
            </w:tcBorders>
          </w:tcPr>
          <w:p w14:paraId="00000137" w14:textId="77777777" w:rsidR="008F08CA" w:rsidRDefault="00031084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Ciprofloxacin</w:t>
            </w:r>
          </w:p>
        </w:tc>
        <w:tc>
          <w:tcPr>
            <w:tcW w:w="1424" w:type="dxa"/>
            <w:tcBorders>
              <w:top w:val="single" w:sz="4" w:space="0" w:color="000000"/>
            </w:tcBorders>
          </w:tcPr>
          <w:p w14:paraId="00000138" w14:textId="77777777" w:rsidR="008F08CA" w:rsidRDefault="00031084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331.9</w:t>
            </w:r>
          </w:p>
        </w:tc>
        <w:tc>
          <w:tcPr>
            <w:tcW w:w="1559" w:type="dxa"/>
            <w:tcBorders>
              <w:top w:val="single" w:sz="4" w:space="0" w:color="000000"/>
            </w:tcBorders>
          </w:tcPr>
          <w:p w14:paraId="00000139" w14:textId="77777777" w:rsidR="008F08CA" w:rsidRDefault="00031084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230.8</w:t>
            </w:r>
          </w:p>
        </w:tc>
        <w:tc>
          <w:tcPr>
            <w:tcW w:w="2127" w:type="dxa"/>
            <w:tcBorders>
              <w:top w:val="single" w:sz="4" w:space="0" w:color="000000"/>
            </w:tcBorders>
          </w:tcPr>
          <w:p w14:paraId="0000013A" w14:textId="77777777" w:rsidR="008F08CA" w:rsidRDefault="00031084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-38.5</w:t>
            </w:r>
          </w:p>
        </w:tc>
      </w:tr>
      <w:tr w:rsidR="008F08CA" w14:paraId="186A2E71" w14:textId="77777777">
        <w:trPr>
          <w:jc w:val="center"/>
        </w:trPr>
        <w:tc>
          <w:tcPr>
            <w:tcW w:w="1548" w:type="dxa"/>
          </w:tcPr>
          <w:p w14:paraId="0000013B" w14:textId="77777777" w:rsidR="008F08CA" w:rsidRDefault="00031084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Tobramycin</w:t>
            </w:r>
          </w:p>
        </w:tc>
        <w:tc>
          <w:tcPr>
            <w:tcW w:w="1424" w:type="dxa"/>
          </w:tcPr>
          <w:p w14:paraId="0000013C" w14:textId="77777777" w:rsidR="008F08CA" w:rsidRDefault="00031084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468.0</w:t>
            </w:r>
          </w:p>
        </w:tc>
        <w:tc>
          <w:tcPr>
            <w:tcW w:w="1559" w:type="dxa"/>
          </w:tcPr>
          <w:p w14:paraId="0000013D" w14:textId="77777777" w:rsidR="008F08CA" w:rsidRDefault="00031084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324.0</w:t>
            </w:r>
          </w:p>
        </w:tc>
        <w:tc>
          <w:tcPr>
            <w:tcW w:w="2127" w:type="dxa"/>
          </w:tcPr>
          <w:p w14:paraId="0000013E" w14:textId="77777777" w:rsidR="008F08CA" w:rsidRDefault="00031084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-13.0</w:t>
            </w:r>
          </w:p>
        </w:tc>
      </w:tr>
      <w:tr w:rsidR="008F08CA" w14:paraId="3C846D0F" w14:textId="77777777">
        <w:trPr>
          <w:jc w:val="center"/>
        </w:trPr>
        <w:tc>
          <w:tcPr>
            <w:tcW w:w="1548" w:type="dxa"/>
            <w:tcBorders>
              <w:bottom w:val="single" w:sz="4" w:space="0" w:color="000000"/>
            </w:tcBorders>
          </w:tcPr>
          <w:p w14:paraId="0000013F" w14:textId="77777777" w:rsidR="008F08CA" w:rsidRDefault="00031084">
            <w:pPr>
              <w:spacing w:line="36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Colistin</w:t>
            </w:r>
          </w:p>
        </w:tc>
        <w:tc>
          <w:tcPr>
            <w:tcW w:w="1424" w:type="dxa"/>
            <w:tcBorders>
              <w:bottom w:val="single" w:sz="4" w:space="0" w:color="000000"/>
            </w:tcBorders>
          </w:tcPr>
          <w:p w14:paraId="00000140" w14:textId="77777777" w:rsidR="008F08CA" w:rsidRDefault="00031084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386.0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14:paraId="00000141" w14:textId="77777777" w:rsidR="008F08CA" w:rsidRDefault="00031084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100.9</w:t>
            </w:r>
          </w:p>
        </w:tc>
        <w:tc>
          <w:tcPr>
            <w:tcW w:w="2127" w:type="dxa"/>
            <w:tcBorders>
              <w:bottom w:val="single" w:sz="4" w:space="0" w:color="000000"/>
            </w:tcBorders>
          </w:tcPr>
          <w:p w14:paraId="00000142" w14:textId="77777777" w:rsidR="008F08CA" w:rsidRDefault="00031084">
            <w:pPr>
              <w:spacing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-13.5</w:t>
            </w:r>
          </w:p>
        </w:tc>
      </w:tr>
    </w:tbl>
    <w:p w14:paraId="00000143" w14:textId="77777777" w:rsidR="008F08CA" w:rsidRDefault="008F08CA"/>
    <w:sectPr w:rsidR="008F08CA">
      <w:footerReference w:type="even" r:id="rId20"/>
      <w:footerReference w:type="default" r:id="rId21"/>
      <w:pgSz w:w="11900" w:h="16840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016BCA" w14:textId="77777777" w:rsidR="00031084" w:rsidRDefault="00031084">
      <w:r>
        <w:separator/>
      </w:r>
    </w:p>
  </w:endnote>
  <w:endnote w:type="continuationSeparator" w:id="0">
    <w:p w14:paraId="35DCC6B4" w14:textId="77777777" w:rsidR="00031084" w:rsidRDefault="00031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(Body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146" w14:textId="77777777" w:rsidR="008F08CA" w:rsidRDefault="0003108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  <w:sz w:val="21"/>
        <w:szCs w:val="21"/>
      </w:rPr>
    </w:pPr>
    <w:r>
      <w:rPr>
        <w:color w:val="000000"/>
        <w:sz w:val="21"/>
        <w:szCs w:val="21"/>
      </w:rPr>
      <w:fldChar w:fldCharType="begin"/>
    </w:r>
    <w:r>
      <w:rPr>
        <w:color w:val="000000"/>
        <w:sz w:val="21"/>
        <w:szCs w:val="21"/>
      </w:rPr>
      <w:instrText>PAGE</w:instrText>
    </w:r>
    <w:r>
      <w:rPr>
        <w:color w:val="000000"/>
        <w:sz w:val="21"/>
        <w:szCs w:val="21"/>
      </w:rPr>
      <w:fldChar w:fldCharType="end"/>
    </w:r>
  </w:p>
  <w:p w14:paraId="00000147" w14:textId="77777777" w:rsidR="008F08CA" w:rsidRDefault="008F08C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right="360"/>
      <w:jc w:val="both"/>
      <w:rPr>
        <w:color w:val="000000"/>
        <w:sz w:val="21"/>
        <w:szCs w:val="2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144" w14:textId="24E49683" w:rsidR="008F08CA" w:rsidRDefault="0003108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  <w:sz w:val="21"/>
        <w:szCs w:val="21"/>
      </w:rPr>
    </w:pPr>
    <w:r>
      <w:rPr>
        <w:color w:val="000000"/>
        <w:sz w:val="21"/>
        <w:szCs w:val="21"/>
      </w:rPr>
      <w:fldChar w:fldCharType="begin"/>
    </w:r>
    <w:r>
      <w:rPr>
        <w:color w:val="000000"/>
        <w:sz w:val="21"/>
        <w:szCs w:val="21"/>
      </w:rPr>
      <w:instrText>PAGE</w:instrText>
    </w:r>
    <w:r>
      <w:rPr>
        <w:color w:val="000000"/>
        <w:sz w:val="21"/>
        <w:szCs w:val="21"/>
      </w:rPr>
      <w:fldChar w:fldCharType="separate"/>
    </w:r>
    <w:r w:rsidR="00684224">
      <w:rPr>
        <w:noProof/>
        <w:color w:val="000000"/>
        <w:sz w:val="21"/>
        <w:szCs w:val="21"/>
      </w:rPr>
      <w:t>1</w:t>
    </w:r>
    <w:r>
      <w:rPr>
        <w:color w:val="000000"/>
        <w:sz w:val="21"/>
        <w:szCs w:val="21"/>
      </w:rPr>
      <w:fldChar w:fldCharType="end"/>
    </w:r>
  </w:p>
  <w:p w14:paraId="00000145" w14:textId="77777777" w:rsidR="008F08CA" w:rsidRDefault="008F08C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right="360"/>
      <w:jc w:val="both"/>
      <w:rPr>
        <w:color w:val="000000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E5EE2D" w14:textId="77777777" w:rsidR="00031084" w:rsidRDefault="00031084">
      <w:r>
        <w:separator/>
      </w:r>
    </w:p>
  </w:footnote>
  <w:footnote w:type="continuationSeparator" w:id="0">
    <w:p w14:paraId="1EF7FC08" w14:textId="77777777" w:rsidR="00031084" w:rsidRDefault="000310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8BE1F96"/>
    <w:multiLevelType w:val="multilevel"/>
    <w:tmpl w:val="CDAA6984"/>
    <w:lvl w:ilvl="0">
      <w:start w:val="1"/>
      <w:numFmt w:val="decimal"/>
      <w:pStyle w:val="Heading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Style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Styl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08CA"/>
    <w:rsid w:val="00031084"/>
    <w:rsid w:val="00051916"/>
    <w:rsid w:val="00074D0E"/>
    <w:rsid w:val="00277B0A"/>
    <w:rsid w:val="00296E8C"/>
    <w:rsid w:val="00344822"/>
    <w:rsid w:val="003D3CEB"/>
    <w:rsid w:val="00433298"/>
    <w:rsid w:val="004B4A2E"/>
    <w:rsid w:val="004C0E02"/>
    <w:rsid w:val="004D4964"/>
    <w:rsid w:val="004F6F30"/>
    <w:rsid w:val="0058506D"/>
    <w:rsid w:val="005A7335"/>
    <w:rsid w:val="00684224"/>
    <w:rsid w:val="006F237E"/>
    <w:rsid w:val="00805E84"/>
    <w:rsid w:val="00830789"/>
    <w:rsid w:val="008F08CA"/>
    <w:rsid w:val="00AA0161"/>
    <w:rsid w:val="00BB11A9"/>
    <w:rsid w:val="00BE7BB7"/>
    <w:rsid w:val="00C24B8B"/>
    <w:rsid w:val="00C32D3F"/>
    <w:rsid w:val="00C3616B"/>
    <w:rsid w:val="00D5460F"/>
    <w:rsid w:val="00DA3679"/>
    <w:rsid w:val="00DA5254"/>
    <w:rsid w:val="00DB4082"/>
    <w:rsid w:val="00E54BC8"/>
    <w:rsid w:val="00EA7D80"/>
    <w:rsid w:val="00EF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9DB7FE"/>
  <w15:docId w15:val="{BA812D56-14E3-EA47-802C-3FBAB090B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789"/>
    <w:rPr>
      <w:lang/>
    </w:rPr>
  </w:style>
  <w:style w:type="paragraph" w:styleId="Heading1">
    <w:name w:val="heading 1"/>
    <w:basedOn w:val="Normal"/>
    <w:next w:val="Normal"/>
    <w:link w:val="Heading1Char"/>
    <w:uiPriority w:val="9"/>
    <w:qFormat/>
    <w:rsid w:val="00610DA4"/>
    <w:pPr>
      <w:keepNext/>
      <w:keepLines/>
      <w:spacing w:before="240" w:beforeAutospacing="1" w:afterAutospacing="1" w:line="360" w:lineRule="auto"/>
      <w:jc w:val="both"/>
      <w:outlineLvl w:val="0"/>
    </w:pPr>
    <w:rPr>
      <w:rFonts w:eastAsiaTheme="majorEastAsia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0DA4"/>
    <w:pPr>
      <w:keepNext/>
      <w:keepLines/>
      <w:numPr>
        <w:numId w:val="1"/>
      </w:numPr>
      <w:spacing w:before="40" w:beforeAutospacing="1" w:afterAutospacing="1" w:line="360" w:lineRule="auto"/>
      <w:ind w:left="360" w:hanging="360"/>
      <w:jc w:val="both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2C6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5A6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5A6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5A6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5A6D"/>
    <w:pPr>
      <w:keepNext/>
      <w:keepLines/>
      <w:spacing w:before="40" w:beforeAutospacing="1" w:afterAutospacing="1" w:line="360" w:lineRule="auto"/>
      <w:ind w:left="1296" w:hanging="1296"/>
      <w:jc w:val="both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sz w:val="21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5A6D"/>
    <w:pPr>
      <w:keepNext/>
      <w:keepLines/>
      <w:spacing w:before="40" w:beforeAutospacing="1" w:afterAutospacing="1" w:line="360" w:lineRule="auto"/>
      <w:ind w:left="1440" w:hanging="1440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5A6D"/>
    <w:pPr>
      <w:keepNext/>
      <w:keepLines/>
      <w:spacing w:before="40" w:beforeAutospacing="1" w:afterAutospacing="1" w:line="360" w:lineRule="auto"/>
      <w:ind w:left="1584" w:hanging="1584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C5A6D"/>
    <w:pPr>
      <w:spacing w:before="100" w:beforeAutospacing="1" w:after="100" w:afterAutospacing="1" w:line="480" w:lineRule="auto"/>
      <w:jc w:val="both"/>
      <w:outlineLvl w:val="0"/>
    </w:pPr>
    <w:rPr>
      <w:rFonts w:eastAsiaTheme="majorEastAsia" w:cstheme="majorBidi"/>
      <w:b/>
      <w:bCs/>
      <w:kern w:val="28"/>
      <w:sz w:val="21"/>
      <w:szCs w:val="32"/>
      <w:lang w:val="de-DE"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610DA4"/>
    <w:rPr>
      <w:rFonts w:ascii="Times New Roman" w:eastAsiaTheme="majorEastAsia" w:hAnsi="Times New Roman" w:cstheme="majorBidi"/>
      <w:b/>
      <w:color w:val="000000" w:themeColor="text1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610DA4"/>
    <w:rPr>
      <w:rFonts w:ascii="Times New Roman" w:eastAsiaTheme="majorEastAsia" w:hAnsi="Times New Roman" w:cstheme="majorBidi"/>
      <w:b/>
      <w:szCs w:val="26"/>
      <w:lang w:val="en-GB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610DA4"/>
    <w:pPr>
      <w:spacing w:before="120" w:beforeAutospacing="1" w:after="120" w:afterAutospacing="1" w:line="360" w:lineRule="auto"/>
      <w:jc w:val="both"/>
    </w:pPr>
    <w:rPr>
      <w:rFonts w:eastAsia="SimSun" w:cs="Calibri (Body)"/>
      <w:b/>
      <w:bCs/>
      <w:szCs w:val="20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610DA4"/>
    <w:pPr>
      <w:spacing w:beforeAutospacing="1" w:afterAutospacing="1" w:line="360" w:lineRule="auto"/>
    </w:pPr>
    <w:rPr>
      <w:rFonts w:eastAsia="SimSun" w:cs="Calibri (Body)"/>
      <w:sz w:val="21"/>
      <w:szCs w:val="20"/>
    </w:rPr>
  </w:style>
  <w:style w:type="paragraph" w:customStyle="1" w:styleId="Style1">
    <w:name w:val="Style1"/>
    <w:basedOn w:val="Heading1"/>
    <w:qFormat/>
    <w:rsid w:val="00732C66"/>
    <w:pPr>
      <w:tabs>
        <w:tab w:val="num" w:pos="720"/>
      </w:tabs>
      <w:spacing w:before="100" w:after="100"/>
      <w:ind w:left="720" w:hanging="720"/>
    </w:pPr>
    <w:rPr>
      <w:rFonts w:cs="Times New Roman"/>
      <w:color w:val="auto"/>
    </w:rPr>
  </w:style>
  <w:style w:type="paragraph" w:customStyle="1" w:styleId="Style2">
    <w:name w:val="Style2"/>
    <w:basedOn w:val="Heading2"/>
    <w:qFormat/>
    <w:rsid w:val="00732C66"/>
    <w:pPr>
      <w:numPr>
        <w:ilvl w:val="1"/>
        <w:numId w:val="2"/>
      </w:numPr>
      <w:spacing w:before="100" w:after="100"/>
    </w:pPr>
    <w:rPr>
      <w:rFonts w:cs="Times New Roman"/>
      <w:iCs/>
      <w:szCs w:val="24"/>
    </w:rPr>
  </w:style>
  <w:style w:type="paragraph" w:customStyle="1" w:styleId="Style3">
    <w:name w:val="Style3"/>
    <w:basedOn w:val="Heading3"/>
    <w:qFormat/>
    <w:rsid w:val="00732C66"/>
    <w:pPr>
      <w:numPr>
        <w:ilvl w:val="2"/>
        <w:numId w:val="2"/>
      </w:numPr>
      <w:spacing w:before="100" w:beforeAutospacing="1" w:after="100" w:afterAutospacing="1" w:line="360" w:lineRule="auto"/>
      <w:jc w:val="both"/>
    </w:pPr>
    <w:rPr>
      <w:rFonts w:ascii="Times New Roman" w:hAnsi="Times New Roman" w:cs="Times New Roman"/>
      <w:b/>
      <w:iCs/>
      <w:color w:val="auto"/>
    </w:rPr>
  </w:style>
  <w:style w:type="character" w:customStyle="1" w:styleId="Heading3Char">
    <w:name w:val="Heading 3 Char"/>
    <w:basedOn w:val="DefaultParagraphFont"/>
    <w:link w:val="Heading3"/>
    <w:uiPriority w:val="9"/>
    <w:rsid w:val="00732C66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5A6D"/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5A6D"/>
    <w:rPr>
      <w:rFonts w:asciiTheme="majorHAnsi" w:eastAsiaTheme="majorEastAsia" w:hAnsiTheme="majorHAnsi" w:cstheme="majorBidi"/>
      <w:color w:val="2F5496" w:themeColor="accent1" w:themeShade="BF"/>
      <w:lang w:val="en-GB"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5A6D"/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5A6D"/>
    <w:rPr>
      <w:rFonts w:asciiTheme="majorHAnsi" w:eastAsiaTheme="majorEastAsia" w:hAnsiTheme="majorHAnsi" w:cstheme="majorBidi"/>
      <w:i/>
      <w:iCs/>
      <w:color w:val="1F3763" w:themeColor="accent1" w:themeShade="7F"/>
      <w:sz w:val="21"/>
      <w:szCs w:val="22"/>
      <w:lang w:val="en-GB" w:eastAsia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5A6D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5A6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 w:eastAsia="en-GB"/>
    </w:rPr>
  </w:style>
  <w:style w:type="character" w:customStyle="1" w:styleId="TitleChar">
    <w:name w:val="Title Char"/>
    <w:basedOn w:val="DefaultParagraphFont"/>
    <w:link w:val="Title"/>
    <w:uiPriority w:val="10"/>
    <w:rsid w:val="009C5A6D"/>
    <w:rPr>
      <w:rFonts w:ascii="Times New Roman" w:eastAsiaTheme="majorEastAsia" w:hAnsi="Times New Roman" w:cstheme="majorBidi"/>
      <w:b/>
      <w:bCs/>
      <w:kern w:val="28"/>
      <w:sz w:val="21"/>
      <w:szCs w:val="32"/>
      <w:lang w:val="de-DE" w:eastAsia="ja-JP"/>
    </w:rPr>
  </w:style>
  <w:style w:type="paragraph" w:styleId="ListParagraph">
    <w:name w:val="List Paragraph"/>
    <w:basedOn w:val="Normal"/>
    <w:link w:val="ListParagraphChar"/>
    <w:uiPriority w:val="34"/>
    <w:qFormat/>
    <w:rsid w:val="009C5A6D"/>
    <w:pPr>
      <w:spacing w:before="100" w:beforeAutospacing="1" w:after="100" w:afterAutospacing="1" w:line="360" w:lineRule="auto"/>
      <w:ind w:left="720"/>
      <w:contextualSpacing/>
      <w:jc w:val="both"/>
    </w:pPr>
    <w:rPr>
      <w:sz w:val="21"/>
      <w:szCs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C5A6D"/>
    <w:rPr>
      <w:rFonts w:ascii="Times New Roman" w:eastAsia="Times New Roman" w:hAnsi="Times New Roman" w:cs="Times New Roman"/>
      <w:sz w:val="21"/>
      <w:szCs w:val="22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9C5A6D"/>
    <w:pPr>
      <w:tabs>
        <w:tab w:val="center" w:pos="4252"/>
        <w:tab w:val="right" w:pos="8504"/>
      </w:tabs>
      <w:spacing w:before="100" w:beforeAutospacing="1" w:afterAutospacing="1"/>
      <w:jc w:val="right"/>
    </w:pPr>
    <w:rPr>
      <w:b/>
      <w:sz w:val="28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9C5A6D"/>
    <w:rPr>
      <w:rFonts w:ascii="Times New Roman" w:eastAsia="Times New Roman" w:hAnsi="Times New Roman" w:cs="Times New Roman"/>
      <w:b/>
      <w:sz w:val="28"/>
      <w:szCs w:val="22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9C5A6D"/>
    <w:pPr>
      <w:tabs>
        <w:tab w:val="center" w:pos="4252"/>
        <w:tab w:val="right" w:pos="8504"/>
      </w:tabs>
      <w:spacing w:before="100" w:beforeAutospacing="1" w:afterAutospacing="1"/>
      <w:jc w:val="both"/>
    </w:pPr>
    <w:rPr>
      <w:sz w:val="21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9C5A6D"/>
    <w:rPr>
      <w:rFonts w:ascii="Times New Roman" w:eastAsia="Times New Roman" w:hAnsi="Times New Roman" w:cs="Times New Roman"/>
      <w:sz w:val="21"/>
      <w:szCs w:val="22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9C5A6D"/>
    <w:rPr>
      <w:color w:val="0563C1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rsid w:val="009C5A6D"/>
    <w:pPr>
      <w:spacing w:before="100" w:beforeAutospacing="1" w:afterAutospacing="1" w:line="360" w:lineRule="auto"/>
      <w:ind w:left="480"/>
    </w:pPr>
    <w:rPr>
      <w:rFonts w:cstheme="minorHAnsi"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9C5A6D"/>
    <w:pPr>
      <w:ind w:left="432" w:hanging="432"/>
      <w:outlineLvl w:val="9"/>
    </w:pPr>
    <w:rPr>
      <w:rFonts w:asciiTheme="majorHAnsi" w:hAnsiTheme="majorHAnsi"/>
      <w:b w:val="0"/>
      <w:color w:val="2F5496" w:themeColor="accent1" w:themeShade="BF"/>
      <w:sz w:val="3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C5A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C5A6D"/>
    <w:pPr>
      <w:spacing w:before="100" w:beforeAutospacing="1" w:after="160" w:afterAutospacing="1"/>
    </w:pPr>
    <w:rPr>
      <w:sz w:val="21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C5A6D"/>
    <w:rPr>
      <w:rFonts w:ascii="Times New Roman" w:eastAsia="Times New Roman" w:hAnsi="Times New Roman" w:cs="Times New Roman"/>
      <w:sz w:val="21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5A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5A6D"/>
    <w:rPr>
      <w:rFonts w:ascii="Times New Roman" w:eastAsia="Times New Roman" w:hAnsi="Times New Roman" w:cs="Times New Roman"/>
      <w:b/>
      <w:bCs/>
      <w:sz w:val="21"/>
      <w:szCs w:val="20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5A6D"/>
    <w:pPr>
      <w:spacing w:before="100" w:beforeAutospacing="1" w:afterAutospacing="1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5A6D"/>
    <w:rPr>
      <w:rFonts w:ascii="Segoe UI" w:eastAsia="Times New Roman" w:hAnsi="Segoe UI" w:cs="Segoe UI"/>
      <w:sz w:val="18"/>
      <w:szCs w:val="18"/>
      <w:lang w:val="en-GB" w:eastAsia="en-GB"/>
    </w:rPr>
  </w:style>
  <w:style w:type="character" w:styleId="PlaceholderText">
    <w:name w:val="Placeholder Text"/>
    <w:basedOn w:val="DefaultParagraphFont"/>
    <w:uiPriority w:val="99"/>
    <w:semiHidden/>
    <w:rsid w:val="009C5A6D"/>
    <w:rPr>
      <w:color w:val="808080"/>
    </w:rPr>
  </w:style>
  <w:style w:type="paragraph" w:styleId="NormalWeb">
    <w:name w:val="Normal (Web)"/>
    <w:basedOn w:val="Normal"/>
    <w:uiPriority w:val="99"/>
    <w:unhideWhenUsed/>
    <w:rsid w:val="009C5A6D"/>
    <w:pPr>
      <w:spacing w:before="100" w:beforeAutospacing="1" w:after="100" w:afterAutospacing="1"/>
    </w:pPr>
    <w:rPr>
      <w:sz w:val="21"/>
    </w:rPr>
  </w:style>
  <w:style w:type="paragraph" w:styleId="Revision">
    <w:name w:val="Revision"/>
    <w:hidden/>
    <w:uiPriority w:val="99"/>
    <w:semiHidden/>
    <w:rsid w:val="009C5A6D"/>
    <w:rPr>
      <w:sz w:val="22"/>
      <w:szCs w:val="22"/>
    </w:rPr>
  </w:style>
  <w:style w:type="paragraph" w:styleId="TOC4">
    <w:name w:val="toc 4"/>
    <w:basedOn w:val="Normal"/>
    <w:next w:val="Normal"/>
    <w:autoRedefine/>
    <w:uiPriority w:val="39"/>
    <w:unhideWhenUsed/>
    <w:rsid w:val="009C5A6D"/>
    <w:pPr>
      <w:spacing w:before="100" w:beforeAutospacing="1" w:afterAutospacing="1" w:line="360" w:lineRule="auto"/>
      <w:ind w:left="720"/>
    </w:pPr>
    <w:rPr>
      <w:rFonts w:cstheme="minorHAnsi"/>
      <w:sz w:val="20"/>
      <w:szCs w:val="20"/>
    </w:rPr>
  </w:style>
  <w:style w:type="table" w:styleId="TableGrid">
    <w:name w:val="Table Grid"/>
    <w:basedOn w:val="TableNormal"/>
    <w:uiPriority w:val="39"/>
    <w:rsid w:val="009C5A6D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l">
    <w:name w:val="il"/>
    <w:basedOn w:val="DefaultParagraphFont"/>
    <w:rsid w:val="009C5A6D"/>
  </w:style>
  <w:style w:type="paragraph" w:customStyle="1" w:styleId="m543995736809958806msolistparagraph">
    <w:name w:val="m_543995736809958806msolistparagraph"/>
    <w:basedOn w:val="Normal"/>
    <w:rsid w:val="009C5A6D"/>
    <w:pPr>
      <w:spacing w:before="100" w:beforeAutospacing="1" w:after="100" w:afterAutospacing="1"/>
    </w:pPr>
    <w:rPr>
      <w:sz w:val="21"/>
    </w:rPr>
  </w:style>
  <w:style w:type="paragraph" w:styleId="TOC6">
    <w:name w:val="toc 6"/>
    <w:basedOn w:val="Normal"/>
    <w:next w:val="Normal"/>
    <w:autoRedefine/>
    <w:uiPriority w:val="39"/>
    <w:unhideWhenUsed/>
    <w:rsid w:val="009C5A6D"/>
    <w:pPr>
      <w:spacing w:before="100" w:beforeAutospacing="1" w:afterAutospacing="1" w:line="360" w:lineRule="auto"/>
      <w:ind w:left="120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9C5A6D"/>
    <w:pPr>
      <w:spacing w:before="100" w:beforeAutospacing="1" w:afterAutospacing="1" w:line="360" w:lineRule="auto"/>
      <w:ind w:left="96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9C5A6D"/>
    <w:pPr>
      <w:spacing w:before="100" w:beforeAutospacing="1" w:afterAutospacing="1" w:line="360" w:lineRule="auto"/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9C5A6D"/>
    <w:pPr>
      <w:spacing w:before="100" w:beforeAutospacing="1" w:afterAutospacing="1" w:line="360" w:lineRule="auto"/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9C5A6D"/>
    <w:pPr>
      <w:spacing w:before="100" w:beforeAutospacing="1" w:afterAutospacing="1" w:line="360" w:lineRule="auto"/>
      <w:ind w:left="1920"/>
    </w:pPr>
    <w:rPr>
      <w:rFonts w:cstheme="minorHAnsi"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C5A6D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C5A6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C5A6D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9C5A6D"/>
    <w:pPr>
      <w:spacing w:before="100" w:beforeAutospacing="1" w:after="100" w:afterAutospacing="1" w:line="360" w:lineRule="auto"/>
      <w:jc w:val="center"/>
    </w:pPr>
    <w:rPr>
      <w:i/>
      <w:iCs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9C5A6D"/>
    <w:pPr>
      <w:spacing w:before="100" w:beforeAutospacing="1" w:afterAutospacing="1" w:line="360" w:lineRule="auto"/>
      <w:jc w:val="both"/>
    </w:pPr>
    <w:rPr>
      <w:sz w:val="21"/>
      <w:szCs w:val="22"/>
    </w:rPr>
  </w:style>
  <w:style w:type="character" w:customStyle="1" w:styleId="foldable-text">
    <w:name w:val="foldable-text"/>
    <w:basedOn w:val="DefaultParagraphFont"/>
    <w:rsid w:val="009C5A6D"/>
  </w:style>
  <w:style w:type="table" w:styleId="PlainTable2">
    <w:name w:val="Plain Table 2"/>
    <w:basedOn w:val="TableNormal"/>
    <w:uiPriority w:val="42"/>
    <w:rsid w:val="009C5A6D"/>
    <w:pPr>
      <w:jc w:val="both"/>
    </w:pPr>
    <w:rPr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Spacing">
    <w:name w:val="No Spacing"/>
    <w:uiPriority w:val="1"/>
    <w:qFormat/>
    <w:rsid w:val="009C5A6D"/>
    <w:pPr>
      <w:jc w:val="both"/>
    </w:pPr>
    <w:rPr>
      <w:sz w:val="22"/>
      <w:szCs w:val="22"/>
      <w:lang w:val="en-US"/>
    </w:rPr>
  </w:style>
  <w:style w:type="character" w:customStyle="1" w:styleId="xbe">
    <w:name w:val="_xbe"/>
    <w:basedOn w:val="DefaultParagraphFont"/>
    <w:rsid w:val="009C5A6D"/>
  </w:style>
  <w:style w:type="paragraph" w:customStyle="1" w:styleId="Default">
    <w:name w:val="Default"/>
    <w:rsid w:val="009C5A6D"/>
    <w:pPr>
      <w:autoSpaceDE w:val="0"/>
      <w:autoSpaceDN w:val="0"/>
      <w:adjustRightInd w:val="0"/>
      <w:jc w:val="both"/>
    </w:pPr>
    <w:rPr>
      <w:color w:val="000000"/>
    </w:rPr>
  </w:style>
  <w:style w:type="character" w:styleId="Emphasis">
    <w:name w:val="Emphasis"/>
    <w:basedOn w:val="DefaultParagraphFont"/>
    <w:uiPriority w:val="20"/>
    <w:qFormat/>
    <w:rsid w:val="009C5A6D"/>
    <w:rPr>
      <w:i/>
      <w:iCs/>
    </w:rPr>
  </w:style>
  <w:style w:type="paragraph" w:styleId="Bibliography">
    <w:name w:val="Bibliography"/>
    <w:basedOn w:val="Normal"/>
    <w:next w:val="Normal"/>
    <w:uiPriority w:val="37"/>
    <w:unhideWhenUsed/>
    <w:rsid w:val="009C5A6D"/>
    <w:pPr>
      <w:spacing w:before="100" w:beforeAutospacing="1" w:after="100" w:afterAutospacing="1" w:line="360" w:lineRule="auto"/>
      <w:jc w:val="both"/>
    </w:pPr>
    <w:rPr>
      <w:sz w:val="21"/>
      <w:szCs w:val="22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C5A6D"/>
    <w:rPr>
      <w:rFonts w:ascii="Times New Roman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C5A6D"/>
    <w:pPr>
      <w:spacing w:before="100" w:beforeAutospacing="1" w:after="100" w:afterAutospacing="1"/>
      <w:jc w:val="both"/>
    </w:pPr>
    <w:rPr>
      <w:rFonts w:eastAsiaTheme="minorHAnsi" w:hAnsiTheme="minorHAnsi" w:cstheme="minorBidi"/>
      <w:sz w:val="20"/>
      <w:szCs w:val="20"/>
      <w:lang w:eastAsia="en-US"/>
    </w:rPr>
  </w:style>
  <w:style w:type="character" w:customStyle="1" w:styleId="FootnoteTextChar1">
    <w:name w:val="Footnote Text Char1"/>
    <w:basedOn w:val="DefaultParagraphFont"/>
    <w:uiPriority w:val="99"/>
    <w:semiHidden/>
    <w:rsid w:val="009C5A6D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Style4">
    <w:name w:val="Style4"/>
    <w:basedOn w:val="Heading4"/>
    <w:qFormat/>
    <w:rsid w:val="009C5A6D"/>
    <w:pPr>
      <w:numPr>
        <w:ilvl w:val="3"/>
      </w:numPr>
      <w:spacing w:before="100" w:beforeAutospacing="1" w:after="100" w:afterAutospacing="1" w:line="360" w:lineRule="auto"/>
      <w:ind w:left="720" w:hanging="720"/>
      <w:jc w:val="both"/>
    </w:pPr>
    <w:rPr>
      <w:rFonts w:ascii="Times New Roman" w:hAnsi="Times New Roman" w:cs="Times New Roman"/>
      <w:color w:val="000000" w:themeColor="text1"/>
      <w:sz w:val="21"/>
    </w:rPr>
  </w:style>
  <w:style w:type="paragraph" w:customStyle="1" w:styleId="Style5">
    <w:name w:val="Style5"/>
    <w:basedOn w:val="Heading5"/>
    <w:qFormat/>
    <w:rsid w:val="009C5A6D"/>
    <w:pPr>
      <w:numPr>
        <w:ilvl w:val="4"/>
      </w:numPr>
      <w:spacing w:before="100" w:beforeAutospacing="1" w:after="100" w:afterAutospacing="1" w:line="360" w:lineRule="auto"/>
      <w:ind w:left="1009" w:hanging="1009"/>
      <w:jc w:val="both"/>
    </w:pPr>
    <w:rPr>
      <w:rFonts w:ascii="Times New Roman" w:hAnsi="Times New Roman" w:cs="Times New Roman"/>
      <w:bCs/>
      <w:i/>
      <w:iCs/>
      <w:color w:val="auto"/>
      <w:sz w:val="21"/>
    </w:rPr>
  </w:style>
  <w:style w:type="paragraph" w:customStyle="1" w:styleId="Style6">
    <w:name w:val="Style6"/>
    <w:basedOn w:val="Heading6"/>
    <w:qFormat/>
    <w:rsid w:val="009C5A6D"/>
    <w:pPr>
      <w:numPr>
        <w:ilvl w:val="5"/>
      </w:numPr>
      <w:spacing w:beforeAutospacing="1" w:after="100" w:afterAutospacing="1" w:line="360" w:lineRule="auto"/>
      <w:ind w:left="720" w:hanging="720"/>
      <w:jc w:val="both"/>
    </w:pPr>
    <w:rPr>
      <w:rFonts w:ascii="Times New Roman" w:hAnsi="Times New Roman" w:cs="Times New Roman"/>
      <w:bCs/>
      <w:color w:val="000000" w:themeColor="text1"/>
      <w:sz w:val="21"/>
    </w:rPr>
  </w:style>
  <w:style w:type="paragraph" w:customStyle="1" w:styleId="Terzosottotitolo">
    <w:name w:val="Terzo sottotitolo"/>
    <w:basedOn w:val="Heading2"/>
    <w:link w:val="TerzosottotitoloCarattere"/>
    <w:autoRedefine/>
    <w:qFormat/>
    <w:rsid w:val="009C5A6D"/>
    <w:pPr>
      <w:numPr>
        <w:ilvl w:val="1"/>
        <w:numId w:val="0"/>
      </w:numPr>
      <w:spacing w:before="100" w:after="100"/>
      <w:ind w:left="432" w:hanging="432"/>
      <w:jc w:val="left"/>
    </w:pPr>
    <w:rPr>
      <w:rFonts w:eastAsiaTheme="minorEastAsia"/>
      <w:b w:val="0"/>
      <w:i/>
      <w:iCs/>
      <w:color w:val="000000" w:themeColor="text1"/>
      <w:sz w:val="28"/>
      <w:szCs w:val="28"/>
      <w:lang w:val="en-US"/>
    </w:rPr>
  </w:style>
  <w:style w:type="character" w:customStyle="1" w:styleId="TerzosottotitoloCarattere">
    <w:name w:val="Terzo sottotitolo Carattere"/>
    <w:basedOn w:val="Heading2Char"/>
    <w:link w:val="Terzosottotitolo"/>
    <w:rsid w:val="009C5A6D"/>
    <w:rPr>
      <w:rFonts w:ascii="Times New Roman" w:eastAsiaTheme="minorEastAsia" w:hAnsi="Times New Roman" w:cstheme="majorBidi"/>
      <w:b w:val="0"/>
      <w:i/>
      <w:iCs/>
      <w:color w:val="000000" w:themeColor="text1"/>
      <w:sz w:val="28"/>
      <w:szCs w:val="28"/>
      <w:lang w:val="en-US" w:eastAsia="en-GB"/>
    </w:rPr>
  </w:style>
  <w:style w:type="character" w:customStyle="1" w:styleId="apple-converted-space">
    <w:name w:val="apple-converted-space"/>
    <w:basedOn w:val="DefaultParagraphFont"/>
    <w:rsid w:val="009C5A6D"/>
  </w:style>
  <w:style w:type="paragraph" w:styleId="HTMLPreformatted">
    <w:name w:val="HTML Preformatted"/>
    <w:basedOn w:val="Normal"/>
    <w:link w:val="HTMLPreformattedChar"/>
    <w:uiPriority w:val="99"/>
    <w:unhideWhenUsed/>
    <w:rsid w:val="009C5A6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00" w:beforeAutospacing="1" w:afterAutospacing="1"/>
    </w:pPr>
    <w:rPr>
      <w:rFonts w:ascii="Courier New" w:hAnsi="Courier New" w:cs="Courier New"/>
      <w:sz w:val="20"/>
      <w:szCs w:val="20"/>
      <w:lang w:val="it-IT" w:eastAsia="it-IT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C5A6D"/>
    <w:rPr>
      <w:rFonts w:ascii="Courier New" w:eastAsia="Times New Roman" w:hAnsi="Courier New" w:cs="Courier New"/>
      <w:sz w:val="20"/>
      <w:szCs w:val="20"/>
      <w:lang w:val="it-IT" w:eastAsia="it-IT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line="480" w:lineRule="auto"/>
      <w:jc w:val="both"/>
    </w:pPr>
    <w:rPr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9C5A6D"/>
    <w:rPr>
      <w:rFonts w:ascii="Times New Roman" w:eastAsia="Times New Roman" w:hAnsi="Times New Roman" w:cs="Times New Roman"/>
      <w:sz w:val="21"/>
      <w:szCs w:val="21"/>
      <w:lang w:val="en-GB" w:eastAsia="en-GB"/>
    </w:rPr>
  </w:style>
  <w:style w:type="character" w:styleId="SubtleEmphasis">
    <w:name w:val="Subtle Emphasis"/>
    <w:basedOn w:val="DefaultParagraphFont"/>
    <w:uiPriority w:val="19"/>
    <w:qFormat/>
    <w:rsid w:val="009C5A6D"/>
    <w:rPr>
      <w:rFonts w:ascii="Times New Roman" w:hAnsi="Times New Roman"/>
      <w:i/>
      <w:iCs/>
      <w:color w:val="404040" w:themeColor="text1" w:themeTint="BF"/>
      <w:sz w:val="24"/>
    </w:rPr>
  </w:style>
  <w:style w:type="paragraph" w:customStyle="1" w:styleId="RSCB04AHeadingSection">
    <w:name w:val="RSC B04 A Heading (Section)"/>
    <w:basedOn w:val="Normal"/>
    <w:link w:val="RSCB04AHeadingSectionChar"/>
    <w:qFormat/>
    <w:rsid w:val="009C5A6D"/>
    <w:pPr>
      <w:spacing w:before="400" w:beforeAutospacing="1" w:after="80" w:afterAutospacing="1"/>
    </w:pPr>
    <w:rPr>
      <w:b/>
      <w:sz w:val="21"/>
      <w:szCs w:val="22"/>
    </w:rPr>
  </w:style>
  <w:style w:type="character" w:customStyle="1" w:styleId="RSCB04AHeadingSectionChar">
    <w:name w:val="RSC B04 A Heading (Section) Char"/>
    <w:basedOn w:val="DefaultParagraphFont"/>
    <w:link w:val="RSCB04AHeadingSection"/>
    <w:rsid w:val="009C5A6D"/>
    <w:rPr>
      <w:rFonts w:ascii="Times New Roman" w:eastAsia="Times New Roman" w:hAnsi="Times New Roman" w:cs="Times New Roman"/>
      <w:b/>
      <w:sz w:val="21"/>
      <w:szCs w:val="22"/>
      <w:lang w:val="en-GB" w:eastAsia="en-GB"/>
    </w:rPr>
  </w:style>
  <w:style w:type="character" w:customStyle="1" w:styleId="normaltextrun">
    <w:name w:val="normaltextrun"/>
    <w:basedOn w:val="DefaultParagraphFont"/>
    <w:rsid w:val="009C5A6D"/>
  </w:style>
  <w:style w:type="character" w:styleId="PageNumber">
    <w:name w:val="page number"/>
    <w:basedOn w:val="DefaultParagraphFont"/>
    <w:uiPriority w:val="99"/>
    <w:semiHidden/>
    <w:unhideWhenUsed/>
    <w:rsid w:val="009C5A6D"/>
  </w:style>
  <w:style w:type="paragraph" w:customStyle="1" w:styleId="TestotesiLu">
    <w:name w:val="Testo tesi Lu"/>
    <w:basedOn w:val="Normal"/>
    <w:link w:val="TestotesiLuCarattere"/>
    <w:qFormat/>
    <w:rsid w:val="009C5A6D"/>
    <w:pPr>
      <w:spacing w:before="100" w:beforeAutospacing="1" w:after="100" w:afterAutospacing="1" w:line="360" w:lineRule="auto"/>
      <w:jc w:val="both"/>
    </w:pPr>
    <w:rPr>
      <w:sz w:val="21"/>
      <w:lang w:val="en-US"/>
    </w:rPr>
  </w:style>
  <w:style w:type="character" w:customStyle="1" w:styleId="TestotesiLuCarattere">
    <w:name w:val="Testo tesi Lu Carattere"/>
    <w:basedOn w:val="DefaultParagraphFont"/>
    <w:link w:val="TestotesiLu"/>
    <w:rsid w:val="009C5A6D"/>
    <w:rPr>
      <w:rFonts w:ascii="Times New Roman" w:eastAsia="Times New Roman" w:hAnsi="Times New Roman" w:cs="Times New Roman"/>
      <w:sz w:val="21"/>
      <w:lang w:val="en-US" w:eastAsia="en-GB"/>
    </w:rPr>
  </w:style>
  <w:style w:type="character" w:customStyle="1" w:styleId="TestotesiCarattere">
    <w:name w:val="Testo tesi Carattere"/>
    <w:basedOn w:val="DefaultParagraphFont"/>
    <w:link w:val="Testotesi"/>
    <w:locked/>
    <w:rsid w:val="009C5A6D"/>
  </w:style>
  <w:style w:type="paragraph" w:customStyle="1" w:styleId="Testotesi">
    <w:name w:val="Testo tesi"/>
    <w:basedOn w:val="Normal"/>
    <w:link w:val="TestotesiCarattere"/>
    <w:rsid w:val="009C5A6D"/>
    <w:pPr>
      <w:spacing w:before="100" w:beforeAutospacing="1" w:after="200" w:afterAutospacing="1" w:line="276" w:lineRule="auto"/>
      <w:jc w:val="both"/>
    </w:pPr>
    <w:rPr>
      <w:rFonts w:asciiTheme="minorHAnsi" w:eastAsiaTheme="minorHAnsi" w:hAnsiTheme="minorHAnsi" w:cstheme="minorBidi"/>
      <w:lang w:eastAsia="en-US"/>
    </w:rPr>
  </w:style>
  <w:style w:type="character" w:styleId="LineNumber">
    <w:name w:val="line number"/>
    <w:basedOn w:val="DefaultParagraphFont"/>
    <w:uiPriority w:val="99"/>
    <w:semiHidden/>
    <w:unhideWhenUsed/>
    <w:rsid w:val="009C5A6D"/>
  </w:style>
  <w:style w:type="table" w:styleId="PlainTable1">
    <w:name w:val="Plain Table 1"/>
    <w:basedOn w:val="TableNormal"/>
    <w:uiPriority w:val="41"/>
    <w:rsid w:val="009C5A6D"/>
    <w:pPr>
      <w:jc w:val="both"/>
    </w:pPr>
    <w:rPr>
      <w:sz w:val="22"/>
      <w:szCs w:val="22"/>
      <w:lang w:val="it-IT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99"/>
    <w:rsid w:val="009C5A6D"/>
    <w:pPr>
      <w:jc w:val="both"/>
    </w:pPr>
    <w:rPr>
      <w:sz w:val="22"/>
      <w:szCs w:val="22"/>
      <w:lang w:val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2-Accent3">
    <w:name w:val="Grid Table 2 Accent 3"/>
    <w:basedOn w:val="TableNormal"/>
    <w:uiPriority w:val="47"/>
    <w:rsid w:val="009C5A6D"/>
    <w:pPr>
      <w:jc w:val="both"/>
    </w:pPr>
    <w:rPr>
      <w:sz w:val="22"/>
      <w:szCs w:val="22"/>
      <w:lang w:val="en-US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6">
    <w:name w:val="Grid Table 2 Accent 6"/>
    <w:basedOn w:val="TableNormal"/>
    <w:uiPriority w:val="47"/>
    <w:rsid w:val="009C5A6D"/>
    <w:pPr>
      <w:jc w:val="both"/>
    </w:pPr>
    <w:rPr>
      <w:sz w:val="22"/>
      <w:szCs w:val="22"/>
      <w:lang w:val="en-US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GridLight">
    <w:name w:val="Grid Table Light"/>
    <w:basedOn w:val="TableNormal"/>
    <w:uiPriority w:val="40"/>
    <w:rsid w:val="009C5A6D"/>
    <w:pPr>
      <w:jc w:val="both"/>
    </w:pPr>
    <w:rPr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ListTable1Light-Accent3">
    <w:name w:val="List Table 1 Light Accent 3"/>
    <w:basedOn w:val="TableNormal"/>
    <w:uiPriority w:val="46"/>
    <w:rsid w:val="009C5A6D"/>
    <w:pPr>
      <w:jc w:val="both"/>
    </w:pPr>
    <w:rPr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4">
    <w:name w:val="Plain Table 4"/>
    <w:basedOn w:val="TableNormal"/>
    <w:uiPriority w:val="44"/>
    <w:rsid w:val="009C5A6D"/>
    <w:pPr>
      <w:jc w:val="both"/>
    </w:pPr>
    <w:rPr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9C5A6D"/>
    <w:pPr>
      <w:jc w:val="both"/>
    </w:pPr>
    <w:rPr>
      <w:sz w:val="22"/>
      <w:szCs w:val="22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FootnoteReference">
    <w:name w:val="footnote reference"/>
    <w:basedOn w:val="DefaultParagraphFont"/>
    <w:uiPriority w:val="99"/>
    <w:semiHidden/>
    <w:unhideWhenUsed/>
    <w:rsid w:val="009C5A6D"/>
    <w:rPr>
      <w:vertAlign w:val="superscript"/>
    </w:rPr>
  </w:style>
  <w:style w:type="table" w:styleId="GridTable1Light-Accent3">
    <w:name w:val="Grid Table 1 Light Accent 3"/>
    <w:basedOn w:val="TableNormal"/>
    <w:uiPriority w:val="46"/>
    <w:rsid w:val="009C5A6D"/>
    <w:pPr>
      <w:jc w:val="both"/>
    </w:pPr>
    <w:rPr>
      <w:sz w:val="22"/>
      <w:szCs w:val="22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9C5A6D"/>
    <w:rPr>
      <w:color w:val="954F72" w:themeColor="followedHyperlink"/>
      <w:u w:val="single"/>
    </w:rPr>
  </w:style>
  <w:style w:type="paragraph" w:customStyle="1" w:styleId="p">
    <w:name w:val="p"/>
    <w:basedOn w:val="Normal"/>
    <w:rsid w:val="009C5A6D"/>
    <w:pPr>
      <w:spacing w:before="100" w:beforeAutospacing="1" w:after="100" w:afterAutospacing="1"/>
    </w:pPr>
  </w:style>
  <w:style w:type="table" w:customStyle="1" w:styleId="1">
    <w:name w:val="1"/>
    <w:basedOn w:val="TableNormal"/>
    <w:pPr>
      <w:jc w:val="both"/>
    </w:pPr>
    <w:rPr>
      <w:sz w:val="22"/>
      <w:szCs w:val="22"/>
    </w:rPr>
    <w:tblPr>
      <w:tblStyleRowBandSize w:val="1"/>
      <w:tblStyleColBandSize w:val="1"/>
    </w:tblPr>
  </w:style>
  <w:style w:type="table" w:customStyle="1" w:styleId="a">
    <w:basedOn w:val="TableNormal"/>
    <w:pPr>
      <w:jc w:val="both"/>
    </w:pPr>
    <w:rPr>
      <w:sz w:val="22"/>
      <w:szCs w:val="22"/>
    </w:rPr>
    <w:tblPr>
      <w:tblStyleRowBandSize w:val="1"/>
      <w:tblStyleColBandSize w:val="1"/>
    </w:tblPr>
  </w:style>
  <w:style w:type="table" w:customStyle="1" w:styleId="a0">
    <w:basedOn w:val="TableNormal"/>
    <w:pPr>
      <w:jc w:val="both"/>
    </w:pPr>
    <w:rPr>
      <w:sz w:val="22"/>
      <w:szCs w:val="22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63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8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61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69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33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697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openxmlformats.org/officeDocument/2006/relationships/numbering" Target="numbering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onja.visentin@unito.it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theme" Target="theme/theme1.xml"/><Relationship Id="rId10" Type="http://schemas.openxmlformats.org/officeDocument/2006/relationships/hyperlink" Target="mailto:livia.visai@unipv.it" TargetMode="External"/><Relationship Id="rId19" Type="http://schemas.openxmlformats.org/officeDocument/2006/relationships/image" Target="media/image8.png"/><Relationship Id="rId4" Type="http://schemas.openxmlformats.org/officeDocument/2006/relationships/styles" Target="styles.xml"/><Relationship Id="rId9" Type="http://schemas.openxmlformats.org/officeDocument/2006/relationships/hyperlink" Target="mailto:paola.petrini@polimi.it" TargetMode="External"/><Relationship Id="rId14" Type="http://schemas.openxmlformats.org/officeDocument/2006/relationships/image" Target="media/image3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quzUM5+xmAqcGVhhT3qXi63YC0g==">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</go:docsCustomData>
</go:gDocsCustomXmlDataStorage>
</file>

<file path=customXml/itemProps1.xml><?xml version="1.0" encoding="utf-8"?>
<ds:datastoreItem xmlns:ds="http://schemas.openxmlformats.org/officeDocument/2006/customXml" ds:itemID="{C2904A82-8AA0-3E43-BF00-8CC90DC289B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10</Pages>
  <Words>2633</Words>
  <Characters>15013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Bac3Gel</dc:creator>
  <cp:lastModifiedBy>Poonam Mutha</cp:lastModifiedBy>
  <cp:revision>10</cp:revision>
  <dcterms:created xsi:type="dcterms:W3CDTF">2023-03-13T22:57:00Z</dcterms:created>
  <dcterms:modified xsi:type="dcterms:W3CDTF">2023-03-28T06:08:00Z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http://www.zotero.org/styles/acs-nano</vt:lpwstr>
  </property>
  <property fmtid="{D5CDD505-2E9C-101B-9397-08002B2CF9AE}" pid="3" name="Mendeley Recent Style Name 0_1">
    <vt:lpwstr>ACS Nano</vt:lpwstr>
  </property>
  <property fmtid="{D5CDD505-2E9C-101B-9397-08002B2CF9AE}" pid="4" name="Mendeley Recent Style Id 1_1">
    <vt:lpwstr>http://www.zotero.org/styles/advanced-functional-materials</vt:lpwstr>
  </property>
  <property fmtid="{D5CDD505-2E9C-101B-9397-08002B2CF9AE}" pid="5" name="Mendeley Recent Style Name 1_1">
    <vt:lpwstr>Advanced Functional Materials</vt:lpwstr>
  </property>
  <property fmtid="{D5CDD505-2E9C-101B-9397-08002B2CF9AE}" pid="6" name="Mendeley Recent Style Id 2_1">
    <vt:lpwstr>http://www.zotero.org/styles/american-medical-association</vt:lpwstr>
  </property>
  <property fmtid="{D5CDD505-2E9C-101B-9397-08002B2CF9AE}" pid="7" name="Mendeley Recent Style Name 2_1">
    <vt:lpwstr>American Medical Association</vt:lpwstr>
  </property>
  <property fmtid="{D5CDD505-2E9C-101B-9397-08002B2CF9AE}" pid="8" name="Mendeley Recent Style Id 3_1">
    <vt:lpwstr>http://www.zotero.org/styles/apa-6th-edition</vt:lpwstr>
  </property>
  <property fmtid="{D5CDD505-2E9C-101B-9397-08002B2CF9AE}" pid="9" name="Mendeley Recent Style Name 3_1">
    <vt:lpwstr>American Psychological Association 6th edition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http://www.zotero.org/styles/institute-of-physics-numeric</vt:lpwstr>
  </property>
  <property fmtid="{D5CDD505-2E9C-101B-9397-08002B2CF9AE}" pid="13" name="Mendeley Recent Style Name 5_1">
    <vt:lpwstr>Institute of Physics (numeric)</vt:lpwstr>
  </property>
  <property fmtid="{D5CDD505-2E9C-101B-9397-08002B2CF9AE}" pid="14" name="Mendeley Recent Style Id 6_1">
    <vt:lpwstr>http://www.zotero.org/styles/materials-horizons</vt:lpwstr>
  </property>
  <property fmtid="{D5CDD505-2E9C-101B-9397-08002B2CF9AE}" pid="15" name="Mendeley Recent Style Name 6_1">
    <vt:lpwstr>Materials Horizons</vt:lpwstr>
  </property>
  <property fmtid="{D5CDD505-2E9C-101B-9397-08002B2CF9AE}" pid="16" name="Mendeley Recent Style Id 7_1">
    <vt:lpwstr>http://www.zotero.org/styles/national-library-of-medicine</vt:lpwstr>
  </property>
  <property fmtid="{D5CDD505-2E9C-101B-9397-08002B2CF9AE}" pid="17" name="Mendeley Recent Style Name 7_1">
    <vt:lpwstr>National Library of Medicine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75445438-4af1-3218-ab62-c7fa656b07f3</vt:lpwstr>
  </property>
  <property fmtid="{D5CDD505-2E9C-101B-9397-08002B2CF9AE}" pid="24" name="Mendeley Citation Style_1">
    <vt:lpwstr>http://www.zotero.org/styles/nature</vt:lpwstr>
  </property>
</Properties>
</file>