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DF379" w14:textId="77777777" w:rsidR="00BF1974" w:rsidRPr="006B0E23" w:rsidRDefault="00BF1974" w:rsidP="00BF1974">
      <w:pPr>
        <w:widowControl/>
        <w:spacing w:line="480" w:lineRule="auto"/>
        <w:rPr>
          <w:rFonts w:ascii="Arial" w:hAnsi="Arial" w:cs="Arial"/>
          <w:b/>
          <w:szCs w:val="24"/>
        </w:rPr>
      </w:pPr>
      <w:r w:rsidRPr="006B0E23">
        <w:rPr>
          <w:rFonts w:ascii="Arial" w:hAnsi="Arial" w:cs="Arial"/>
          <w:b/>
          <w:szCs w:val="24"/>
        </w:rPr>
        <w:t xml:space="preserve">Supplementary Information </w:t>
      </w:r>
    </w:p>
    <w:p w14:paraId="61D241F8" w14:textId="77777777" w:rsidR="00BF1974" w:rsidRDefault="00BF1974" w:rsidP="00BF1974">
      <w:pPr>
        <w:pStyle w:val="MDPI42tablebody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B0E23">
        <w:rPr>
          <w:rFonts w:ascii="Arial" w:hAnsi="Arial" w:cs="Arial"/>
          <w:b/>
          <w:bCs/>
          <w:sz w:val="24"/>
          <w:szCs w:val="24"/>
        </w:rPr>
        <w:t>Additional Figure S1:</w:t>
      </w:r>
      <w:r w:rsidRPr="006B0E23">
        <w:rPr>
          <w:rFonts w:ascii="Arial" w:hAnsi="Arial" w:cs="Arial"/>
          <w:sz w:val="24"/>
          <w:szCs w:val="24"/>
        </w:rPr>
        <w:t xml:space="preserve"> Probabilities of progression</w:t>
      </w:r>
      <w:r>
        <w:rPr>
          <w:rFonts w:ascii="Arial" w:hAnsi="Arial" w:cs="Arial"/>
          <w:sz w:val="24"/>
          <w:szCs w:val="24"/>
        </w:rPr>
        <w:t xml:space="preserve"> </w:t>
      </w:r>
      <w:r w:rsidRPr="006B0E23">
        <w:rPr>
          <w:rFonts w:ascii="Arial" w:hAnsi="Arial" w:cs="Arial"/>
          <w:sz w:val="24"/>
          <w:szCs w:val="24"/>
        </w:rPr>
        <w:t xml:space="preserve">free survival between the intraperitoneal and </w:t>
      </w:r>
      <w:r>
        <w:rPr>
          <w:rFonts w:ascii="Arial" w:hAnsi="Arial" w:cs="Arial"/>
          <w:sz w:val="24"/>
          <w:szCs w:val="24"/>
        </w:rPr>
        <w:t>intravenous</w:t>
      </w:r>
      <w:r w:rsidRPr="006B0E23">
        <w:rPr>
          <w:rFonts w:ascii="Arial" w:hAnsi="Arial" w:cs="Arial"/>
          <w:sz w:val="24"/>
          <w:szCs w:val="24"/>
        </w:rPr>
        <w:t xml:space="preserve"> chemotherapy plus bevacizumab groups in all enrolled women (n=59).</w:t>
      </w:r>
    </w:p>
    <w:p w14:paraId="5A39BF34" w14:textId="77777777" w:rsidR="00BF1974" w:rsidRDefault="00BF1974" w:rsidP="00BF1974">
      <w:pPr>
        <w:pStyle w:val="MDPI42tablebody"/>
        <w:spacing w:line="480" w:lineRule="auto"/>
        <w:jc w:val="left"/>
        <w:rPr>
          <w:rFonts w:ascii="Arial" w:hAnsi="Arial" w:cs="Arial"/>
          <w:bCs/>
          <w:sz w:val="24"/>
          <w:szCs w:val="24"/>
        </w:rPr>
        <w:sectPr w:rsidR="00BF1974" w:rsidSect="006B0E23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60"/>
        </w:sectPr>
      </w:pPr>
      <w:r w:rsidRPr="006B0E23">
        <w:rPr>
          <w:rFonts w:ascii="Arial" w:hAnsi="Arial" w:cs="Arial"/>
          <w:b/>
          <w:bCs/>
          <w:sz w:val="24"/>
          <w:szCs w:val="24"/>
        </w:rPr>
        <w:t>Additional Fi</w:t>
      </w:r>
      <w:r w:rsidRPr="006B0E23">
        <w:rPr>
          <w:rFonts w:ascii="Arial" w:hAnsi="Arial" w:cs="Arial"/>
          <w:b/>
          <w:sz w:val="24"/>
          <w:szCs w:val="24"/>
        </w:rPr>
        <w:t xml:space="preserve">gure </w:t>
      </w:r>
      <w:r w:rsidRPr="006B0E23">
        <w:rPr>
          <w:rFonts w:ascii="Arial" w:eastAsia="PMingLiU" w:hAnsi="Arial" w:cs="Arial"/>
          <w:b/>
          <w:sz w:val="24"/>
          <w:szCs w:val="24"/>
          <w:lang w:eastAsia="zh-TW"/>
        </w:rPr>
        <w:t>S2</w:t>
      </w:r>
      <w:r w:rsidRPr="006B0E23">
        <w:rPr>
          <w:rFonts w:ascii="Arial" w:hAnsi="Arial" w:cs="Arial"/>
          <w:b/>
          <w:sz w:val="24"/>
          <w:szCs w:val="24"/>
        </w:rPr>
        <w:t xml:space="preserve">. </w:t>
      </w:r>
      <w:r w:rsidRPr="006B0E23">
        <w:rPr>
          <w:rFonts w:ascii="Arial" w:hAnsi="Arial" w:cs="Arial"/>
          <w:bCs/>
          <w:sz w:val="24"/>
          <w:szCs w:val="24"/>
        </w:rPr>
        <w:t xml:space="preserve">Probabilities of </w:t>
      </w:r>
      <w:r>
        <w:rPr>
          <w:rFonts w:ascii="Arial" w:hAnsi="Arial" w:cs="Arial"/>
          <w:bCs/>
          <w:sz w:val="24"/>
          <w:szCs w:val="24"/>
        </w:rPr>
        <w:t>progression free</w:t>
      </w:r>
      <w:r w:rsidRPr="006B0E23">
        <w:rPr>
          <w:rFonts w:ascii="Arial" w:hAnsi="Arial" w:cs="Arial"/>
          <w:bCs/>
          <w:sz w:val="24"/>
          <w:szCs w:val="24"/>
        </w:rPr>
        <w:t xml:space="preserve"> survival between the intraperitoneal cisplatin 100 mg/m</w:t>
      </w:r>
      <w:r w:rsidRPr="006B0E23">
        <w:rPr>
          <w:rFonts w:ascii="Arial" w:hAnsi="Arial" w:cs="Arial"/>
          <w:bCs/>
          <w:sz w:val="24"/>
          <w:szCs w:val="24"/>
          <w:vertAlign w:val="superscript"/>
        </w:rPr>
        <w:t>2</w:t>
      </w:r>
      <w:r w:rsidRPr="006B0E23">
        <w:rPr>
          <w:rFonts w:ascii="Arial" w:hAnsi="Arial" w:cs="Arial"/>
          <w:bCs/>
          <w:sz w:val="24"/>
          <w:szCs w:val="24"/>
        </w:rPr>
        <w:t xml:space="preserve"> and other intraperitoneal regimen groups (n=44).</w:t>
      </w:r>
    </w:p>
    <w:p w14:paraId="74690E3F" w14:textId="77777777" w:rsidR="00BF1974" w:rsidRPr="006B0E23" w:rsidRDefault="00BF1974" w:rsidP="00BF1974">
      <w:pPr>
        <w:pStyle w:val="MDPI42tablebody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B0E23">
        <w:rPr>
          <w:rFonts w:ascii="Arial" w:hAnsi="Arial" w:cs="Arial"/>
          <w:b/>
          <w:bCs/>
          <w:sz w:val="24"/>
          <w:szCs w:val="24"/>
        </w:rPr>
        <w:lastRenderedPageBreak/>
        <w:t xml:space="preserve">Additional Table S1. </w:t>
      </w:r>
      <w:r w:rsidRPr="006B0E23">
        <w:rPr>
          <w:rFonts w:ascii="Arial" w:eastAsia="PMingLiU" w:hAnsi="Arial" w:cs="Arial"/>
          <w:sz w:val="24"/>
          <w:szCs w:val="24"/>
          <w:lang w:eastAsia="zh-TW"/>
        </w:rPr>
        <w:t>Cox proportional-hazards model to predict progression</w:t>
      </w:r>
      <w:r>
        <w:rPr>
          <w:rFonts w:ascii="Arial" w:eastAsia="PMingLiU" w:hAnsi="Arial" w:cs="Arial"/>
          <w:sz w:val="24"/>
          <w:szCs w:val="24"/>
          <w:lang w:eastAsia="zh-TW"/>
        </w:rPr>
        <w:t xml:space="preserve"> </w:t>
      </w:r>
      <w:r w:rsidRPr="006B0E23">
        <w:rPr>
          <w:rFonts w:ascii="Arial" w:eastAsia="PMingLiU" w:hAnsi="Arial" w:cs="Arial"/>
          <w:sz w:val="24"/>
          <w:szCs w:val="24"/>
          <w:lang w:eastAsia="zh-TW"/>
        </w:rPr>
        <w:t>free survival (n=59).</w:t>
      </w:r>
    </w:p>
    <w:tbl>
      <w:tblPr>
        <w:tblW w:w="13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418"/>
        <w:gridCol w:w="1984"/>
        <w:gridCol w:w="1276"/>
        <w:gridCol w:w="1559"/>
        <w:gridCol w:w="2126"/>
        <w:gridCol w:w="1134"/>
      </w:tblGrid>
      <w:tr w:rsidR="00BF1974" w:rsidRPr="006B0E23" w14:paraId="10F4EE65" w14:textId="77777777" w:rsidTr="00AB2565">
        <w:tc>
          <w:tcPr>
            <w:tcW w:w="3652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7D54775A" w14:textId="77777777" w:rsidR="00BF1974" w:rsidRPr="006B0E23" w:rsidRDefault="00BF1974" w:rsidP="00AB2565">
            <w:pPr>
              <w:rPr>
                <w:rFonts w:ascii="Arial" w:hAnsi="Arial" w:cs="Arial"/>
                <w:b/>
                <w:bCs/>
                <w:szCs w:val="24"/>
              </w:rPr>
            </w:pPr>
            <w:bookmarkStart w:id="0" w:name="_Hlk125403505"/>
          </w:p>
        </w:tc>
        <w:tc>
          <w:tcPr>
            <w:tcW w:w="1418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2C73AA4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14:paraId="6C579BD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  <w:u w:val="single"/>
              </w:rPr>
              <w:t>Univariate</w:t>
            </w:r>
          </w:p>
        </w:tc>
        <w:tc>
          <w:tcPr>
            <w:tcW w:w="1276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7802563A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0CB2E815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14:paraId="467E2E97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  <w:u w:val="single"/>
              </w:rPr>
              <w:t>Multivariable</w:t>
            </w:r>
          </w:p>
        </w:tc>
        <w:tc>
          <w:tcPr>
            <w:tcW w:w="1134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71CE433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F1974" w:rsidRPr="006B0E23" w14:paraId="56966258" w14:textId="77777777" w:rsidTr="00AB2565">
        <w:tc>
          <w:tcPr>
            <w:tcW w:w="3652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1F6A5DB4" w14:textId="77777777" w:rsidR="00BF1974" w:rsidRPr="006B0E23" w:rsidRDefault="00BF1974" w:rsidP="00AB2565">
            <w:pPr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Variable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4E99810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Hazard ratio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71F7E40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95% CI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4DF49FE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*p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3CA6A74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Hazard ratio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606CF4A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95% CI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24" w:space="0" w:color="000000"/>
              <w:right w:val="nil"/>
            </w:tcBorders>
            <w:hideMark/>
          </w:tcPr>
          <w:p w14:paraId="4EF2E05E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†p</w:t>
            </w:r>
          </w:p>
        </w:tc>
      </w:tr>
      <w:tr w:rsidR="00BF1974" w:rsidRPr="006B0E23" w14:paraId="11618E99" w14:textId="77777777" w:rsidTr="00AB2565">
        <w:tc>
          <w:tcPr>
            <w:tcW w:w="3652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6247AEE5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Regimen</w:t>
            </w:r>
          </w:p>
          <w:p w14:paraId="730D7ABA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(Intraperitoneal=1 vs. triweekly + bevacizumab=0)</w:t>
            </w:r>
          </w:p>
        </w:tc>
        <w:tc>
          <w:tcPr>
            <w:tcW w:w="1418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672A353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0.53</w:t>
            </w:r>
          </w:p>
        </w:tc>
        <w:tc>
          <w:tcPr>
            <w:tcW w:w="1984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594884BA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0.23 to 1.23</w:t>
            </w:r>
          </w:p>
        </w:tc>
        <w:tc>
          <w:tcPr>
            <w:tcW w:w="1276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4E18B62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0.14</w:t>
            </w:r>
          </w:p>
        </w:tc>
        <w:tc>
          <w:tcPr>
            <w:tcW w:w="1559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2511B7B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0.71</w:t>
            </w:r>
          </w:p>
        </w:tc>
        <w:tc>
          <w:tcPr>
            <w:tcW w:w="2126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33C09E8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0.28 to 1.79</w:t>
            </w:r>
          </w:p>
        </w:tc>
        <w:tc>
          <w:tcPr>
            <w:tcW w:w="1134" w:type="dxa"/>
            <w:tcBorders>
              <w:top w:val="single" w:sz="24" w:space="0" w:color="000000"/>
              <w:left w:val="nil"/>
              <w:bottom w:val="nil"/>
              <w:right w:val="nil"/>
            </w:tcBorders>
            <w:hideMark/>
          </w:tcPr>
          <w:p w14:paraId="7F8E4E5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0.46</w:t>
            </w:r>
          </w:p>
        </w:tc>
      </w:tr>
      <w:tr w:rsidR="00BF1974" w:rsidRPr="006B0E23" w14:paraId="2093DED9" w14:textId="77777777" w:rsidTr="00AB2565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A82F43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Age (years)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A199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23D60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0.98 to 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D671C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8CC9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CC39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0.96 to 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59941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0.75</w:t>
            </w:r>
          </w:p>
        </w:tc>
      </w:tr>
      <w:tr w:rsidR="00BF1974" w:rsidRPr="006B0E23" w14:paraId="73778734" w14:textId="77777777" w:rsidTr="00AB2565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8FB3A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FIGO stage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2ADC74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55815B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45396A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DB852A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346AA07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F5A995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BF1974" w:rsidRPr="006B0E23" w14:paraId="77201811" w14:textId="77777777" w:rsidTr="00AB2565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14:paraId="4B8ABA12" w14:textId="77777777" w:rsidR="00BF1974" w:rsidRPr="006B0E23" w:rsidRDefault="00BF1974" w:rsidP="00AB2565">
            <w:pPr>
              <w:ind w:firstLineChars="50" w:firstLine="120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2 (control)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1118D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EF28A7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B7681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226C7E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FA8E1B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E8B97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</w:tr>
      <w:tr w:rsidR="00BF1974" w:rsidRPr="006B0E23" w14:paraId="45A43B4F" w14:textId="77777777" w:rsidTr="00AB2565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14:paraId="25483E76" w14:textId="77777777" w:rsidR="00BF1974" w:rsidRPr="006B0E23" w:rsidRDefault="00BF1974" w:rsidP="00AB2565">
            <w:pPr>
              <w:ind w:firstLineChars="50" w:firstLine="120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90F92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1.47X10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B22CA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6.77X10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8</w:t>
            </w:r>
            <w:r w:rsidRPr="006B0E23">
              <w:rPr>
                <w:rFonts w:ascii="Arial" w:hAnsi="Arial" w:cs="Arial"/>
                <w:szCs w:val="24"/>
              </w:rPr>
              <w:t xml:space="preserve"> to 3.21X10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68997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CD4B2B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4.75X10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6D9D93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2.09X10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8</w:t>
            </w:r>
            <w:r w:rsidRPr="006B0E23">
              <w:rPr>
                <w:rFonts w:ascii="Arial" w:hAnsi="Arial" w:cs="Arial"/>
                <w:szCs w:val="24"/>
              </w:rPr>
              <w:t xml:space="preserve"> to 1.08X10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6E3997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&lt;0.001</w:t>
            </w:r>
          </w:p>
        </w:tc>
      </w:tr>
      <w:tr w:rsidR="00BF1974" w:rsidRPr="006B0E23" w14:paraId="25AC1609" w14:textId="77777777" w:rsidTr="00AB2565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14:paraId="48841D4A" w14:textId="77777777" w:rsidR="00BF1974" w:rsidRPr="006B0E23" w:rsidRDefault="00BF1974" w:rsidP="00AB2565">
            <w:pPr>
              <w:ind w:firstLineChars="50" w:firstLine="120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6486B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3.02X10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8FC98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324337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C49574A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1.34X10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4A6A89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9DB81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</w:tr>
      <w:tr w:rsidR="00BF1974" w:rsidRPr="006B0E23" w14:paraId="04A41BB3" w14:textId="77777777" w:rsidTr="00AB2565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61C47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Suboptimal debulking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7B4C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2.61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AFCA41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1.24 to 5.53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EF8C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AC9F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353E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0.75 to 4.03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A7E90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0.20</w:t>
            </w:r>
          </w:p>
        </w:tc>
      </w:tr>
      <w:tr w:rsidR="00BF1974" w:rsidRPr="006B0E23" w14:paraId="77C74BE0" w14:textId="77777777" w:rsidTr="00AB2565">
        <w:tc>
          <w:tcPr>
            <w:tcW w:w="3652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26C74732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Number of chemotherapy cycles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4603003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7C2CEB0A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0.76 to 1.33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6241D864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1317549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0115CE2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0.71 to 1.17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14:paraId="3C933E3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0.48</w:t>
            </w:r>
          </w:p>
        </w:tc>
      </w:tr>
    </w:tbl>
    <w:bookmarkEnd w:id="0"/>
    <w:p w14:paraId="33B6D201" w14:textId="77777777" w:rsidR="00BF1974" w:rsidRPr="006B0E23" w:rsidRDefault="00BF1974" w:rsidP="00BF1974">
      <w:pPr>
        <w:pStyle w:val="MDPI43tablefooter"/>
        <w:ind w:left="0"/>
        <w:rPr>
          <w:rFonts w:ascii="Arial" w:eastAsia="PMingLiU" w:hAnsi="Arial" w:cs="Arial"/>
          <w:sz w:val="24"/>
          <w:szCs w:val="24"/>
          <w:lang w:eastAsia="zh-TW"/>
        </w:rPr>
      </w:pPr>
      <w:r w:rsidRPr="006B0E23">
        <w:rPr>
          <w:rFonts w:ascii="Arial" w:eastAsia="PMingLiU" w:hAnsi="Arial" w:cs="Arial"/>
          <w:sz w:val="24"/>
          <w:szCs w:val="24"/>
          <w:lang w:eastAsia="zh-TW"/>
        </w:rPr>
        <w:t>CI=confidence interval, FIGO=The International Federation of Gynecology and Obstetrics.</w:t>
      </w:r>
    </w:p>
    <w:p w14:paraId="07A32D22" w14:textId="77777777" w:rsidR="00BF1974" w:rsidRPr="006B0E23" w:rsidRDefault="00BF1974" w:rsidP="00BF1974">
      <w:pPr>
        <w:pStyle w:val="MDPI43tablefooter"/>
        <w:ind w:left="0"/>
        <w:rPr>
          <w:rFonts w:ascii="Arial" w:eastAsia="PMingLiU" w:hAnsi="Arial" w:cs="Arial"/>
          <w:sz w:val="24"/>
          <w:szCs w:val="24"/>
          <w:lang w:eastAsia="zh-TW"/>
        </w:rPr>
      </w:pPr>
      <w:r w:rsidRPr="006B0E23">
        <w:rPr>
          <w:rFonts w:ascii="Arial" w:eastAsia="PMingLiU" w:hAnsi="Arial" w:cs="Arial"/>
          <w:sz w:val="24"/>
          <w:szCs w:val="24"/>
          <w:lang w:eastAsia="zh-TW"/>
        </w:rPr>
        <w:t>*Univariate Cox proportional-hazards modeling.</w:t>
      </w:r>
    </w:p>
    <w:p w14:paraId="1A0730BE" w14:textId="77777777" w:rsidR="00BF1974" w:rsidRPr="006B0E23" w:rsidRDefault="00BF1974" w:rsidP="00BF1974">
      <w:pPr>
        <w:pStyle w:val="MDPI43tablefooter"/>
        <w:spacing w:after="120"/>
        <w:ind w:left="0"/>
        <w:rPr>
          <w:rFonts w:ascii="Arial" w:hAnsi="Arial" w:cs="Arial"/>
          <w:sz w:val="24"/>
          <w:szCs w:val="24"/>
        </w:rPr>
      </w:pPr>
      <w:r w:rsidRPr="006B0E23">
        <w:rPr>
          <w:rFonts w:ascii="Arial" w:eastAsia="PMingLiU" w:hAnsi="Arial" w:cs="Arial"/>
          <w:sz w:val="24"/>
          <w:szCs w:val="24"/>
          <w:lang w:eastAsia="zh-TW"/>
        </w:rPr>
        <w:t>†Multivariable Cox proportional-hazards modeling was performed using all variables in the univariate analysis.</w:t>
      </w:r>
    </w:p>
    <w:p w14:paraId="20E5B620" w14:textId="77777777" w:rsidR="00BF1974" w:rsidRPr="006B0E23" w:rsidRDefault="00BF1974" w:rsidP="00BF1974">
      <w:pPr>
        <w:pStyle w:val="MDPI41tablecaption"/>
        <w:ind w:left="0"/>
        <w:jc w:val="left"/>
        <w:rPr>
          <w:rFonts w:ascii="Arial" w:hAnsi="Arial" w:cs="Arial"/>
          <w:snapToGrid w:val="0"/>
          <w:sz w:val="24"/>
          <w:szCs w:val="24"/>
        </w:rPr>
      </w:pPr>
      <w:r>
        <w:rPr>
          <w:rFonts w:ascii="Arial" w:hAnsi="Arial" w:cs="Arial"/>
          <w:b/>
          <w:bCs/>
          <w:snapToGrid w:val="0"/>
          <w:sz w:val="24"/>
          <w:szCs w:val="24"/>
        </w:rPr>
        <w:br w:type="page"/>
      </w:r>
      <w:r>
        <w:rPr>
          <w:rFonts w:ascii="Arial" w:hAnsi="Arial" w:cs="Arial"/>
          <w:b/>
          <w:bCs/>
          <w:snapToGrid w:val="0"/>
          <w:sz w:val="24"/>
          <w:szCs w:val="24"/>
        </w:rPr>
        <w:lastRenderedPageBreak/>
        <w:t xml:space="preserve">Additional </w:t>
      </w:r>
      <w:r w:rsidRPr="006B0E23">
        <w:rPr>
          <w:rFonts w:ascii="Arial" w:hAnsi="Arial" w:cs="Arial"/>
          <w:b/>
          <w:bCs/>
          <w:snapToGrid w:val="0"/>
          <w:sz w:val="24"/>
          <w:szCs w:val="24"/>
        </w:rPr>
        <w:t xml:space="preserve">Table S2. </w:t>
      </w:r>
      <w:r w:rsidRPr="006B0E23">
        <w:rPr>
          <w:rFonts w:ascii="Arial" w:hAnsi="Arial" w:cs="Arial"/>
          <w:snapToGrid w:val="0"/>
          <w:sz w:val="24"/>
          <w:szCs w:val="24"/>
        </w:rPr>
        <w:t>Cox proportional-hazards model to predict progression</w:t>
      </w:r>
      <w:r>
        <w:rPr>
          <w:rFonts w:ascii="Arial" w:hAnsi="Arial" w:cs="Arial"/>
          <w:snapToGrid w:val="0"/>
          <w:sz w:val="24"/>
          <w:szCs w:val="24"/>
        </w:rPr>
        <w:t xml:space="preserve"> </w:t>
      </w:r>
      <w:r w:rsidRPr="006B0E23">
        <w:rPr>
          <w:rFonts w:ascii="Arial" w:hAnsi="Arial" w:cs="Arial"/>
          <w:snapToGrid w:val="0"/>
          <w:sz w:val="24"/>
          <w:szCs w:val="24"/>
        </w:rPr>
        <w:t>free survival in women who received intraperitoneal chemotherapy with cisplatin 100 mg/m</w:t>
      </w:r>
      <w:r w:rsidRPr="00645014">
        <w:rPr>
          <w:rFonts w:ascii="Arial" w:hAnsi="Arial" w:cs="Arial"/>
          <w:snapToGrid w:val="0"/>
          <w:sz w:val="24"/>
          <w:szCs w:val="24"/>
          <w:vertAlign w:val="superscript"/>
        </w:rPr>
        <w:t>2</w:t>
      </w:r>
      <w:r w:rsidRPr="006B0E23">
        <w:rPr>
          <w:rFonts w:ascii="Arial" w:hAnsi="Arial" w:cs="Arial"/>
          <w:snapToGrid w:val="0"/>
          <w:sz w:val="24"/>
          <w:szCs w:val="24"/>
        </w:rPr>
        <w:t xml:space="preserve"> (n=38) or other intraperitoneal regimen (n=6)</w:t>
      </w:r>
    </w:p>
    <w:tbl>
      <w:tblPr>
        <w:tblW w:w="13154" w:type="dxa"/>
        <w:tblInd w:w="-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7"/>
        <w:gridCol w:w="1134"/>
        <w:gridCol w:w="2410"/>
        <w:gridCol w:w="1276"/>
        <w:gridCol w:w="1559"/>
        <w:gridCol w:w="1984"/>
        <w:gridCol w:w="1134"/>
      </w:tblGrid>
      <w:tr w:rsidR="00BF1974" w:rsidRPr="006B0E23" w14:paraId="4F192FC8" w14:textId="77777777" w:rsidTr="00AB2565">
        <w:tc>
          <w:tcPr>
            <w:tcW w:w="3657" w:type="dxa"/>
            <w:tcBorders>
              <w:top w:val="single" w:sz="18" w:space="0" w:color="auto"/>
            </w:tcBorders>
          </w:tcPr>
          <w:p w14:paraId="2788BFF2" w14:textId="77777777" w:rsidR="00BF1974" w:rsidRPr="006B0E23" w:rsidRDefault="00BF1974" w:rsidP="00AB256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</w:tcPr>
          <w:p w14:paraId="443863F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  <w:hideMark/>
          </w:tcPr>
          <w:p w14:paraId="42606F7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  <w:u w:val="single"/>
              </w:rPr>
              <w:t>Univariate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14:paraId="08A04B6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0879398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</w:tc>
        <w:tc>
          <w:tcPr>
            <w:tcW w:w="1984" w:type="dxa"/>
            <w:tcBorders>
              <w:top w:val="single" w:sz="18" w:space="0" w:color="auto"/>
            </w:tcBorders>
            <w:hideMark/>
          </w:tcPr>
          <w:p w14:paraId="2DA0059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  <w:u w:val="single"/>
              </w:rPr>
              <w:t>Multivariable</w:t>
            </w:r>
          </w:p>
        </w:tc>
        <w:tc>
          <w:tcPr>
            <w:tcW w:w="1134" w:type="dxa"/>
            <w:tcBorders>
              <w:top w:val="single" w:sz="18" w:space="0" w:color="auto"/>
            </w:tcBorders>
          </w:tcPr>
          <w:p w14:paraId="6F02879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F1974" w:rsidRPr="006B0E23" w14:paraId="38F45F5D" w14:textId="77777777" w:rsidTr="00AB2565">
        <w:tc>
          <w:tcPr>
            <w:tcW w:w="3657" w:type="dxa"/>
            <w:tcBorders>
              <w:top w:val="nil"/>
              <w:bottom w:val="single" w:sz="18" w:space="0" w:color="auto"/>
            </w:tcBorders>
            <w:hideMark/>
          </w:tcPr>
          <w:p w14:paraId="144AE9D8" w14:textId="77777777" w:rsidR="00BF1974" w:rsidRPr="006B0E23" w:rsidRDefault="00BF1974" w:rsidP="00AB2565">
            <w:pPr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Variable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hideMark/>
          </w:tcPr>
          <w:p w14:paraId="18F9C34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Hazard ratio</w:t>
            </w:r>
          </w:p>
        </w:tc>
        <w:tc>
          <w:tcPr>
            <w:tcW w:w="2410" w:type="dxa"/>
            <w:tcBorders>
              <w:top w:val="nil"/>
              <w:bottom w:val="single" w:sz="18" w:space="0" w:color="auto"/>
            </w:tcBorders>
            <w:hideMark/>
          </w:tcPr>
          <w:p w14:paraId="40C67E3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95% CI</w:t>
            </w:r>
          </w:p>
        </w:tc>
        <w:tc>
          <w:tcPr>
            <w:tcW w:w="1276" w:type="dxa"/>
            <w:tcBorders>
              <w:top w:val="nil"/>
              <w:bottom w:val="single" w:sz="18" w:space="0" w:color="auto"/>
            </w:tcBorders>
            <w:hideMark/>
          </w:tcPr>
          <w:p w14:paraId="19E61AD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*p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hideMark/>
          </w:tcPr>
          <w:p w14:paraId="2BA08FC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Hazard ratio</w:t>
            </w:r>
          </w:p>
        </w:tc>
        <w:tc>
          <w:tcPr>
            <w:tcW w:w="1984" w:type="dxa"/>
            <w:tcBorders>
              <w:top w:val="nil"/>
              <w:bottom w:val="single" w:sz="18" w:space="0" w:color="auto"/>
            </w:tcBorders>
            <w:hideMark/>
          </w:tcPr>
          <w:p w14:paraId="49B8D827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95% CI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hideMark/>
          </w:tcPr>
          <w:p w14:paraId="53492A9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B0E23">
              <w:rPr>
                <w:rFonts w:ascii="Arial" w:hAnsi="Arial" w:cs="Arial"/>
                <w:b/>
                <w:bCs/>
                <w:szCs w:val="24"/>
              </w:rPr>
              <w:t>†p</w:t>
            </w:r>
          </w:p>
        </w:tc>
      </w:tr>
      <w:tr w:rsidR="00BF1974" w:rsidRPr="006B0E23" w14:paraId="59B6769C" w14:textId="77777777" w:rsidTr="00AB2565">
        <w:tc>
          <w:tcPr>
            <w:tcW w:w="3657" w:type="dxa"/>
            <w:tcBorders>
              <w:top w:val="single" w:sz="18" w:space="0" w:color="auto"/>
            </w:tcBorders>
            <w:hideMark/>
          </w:tcPr>
          <w:p w14:paraId="11FB5193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Regimen</w:t>
            </w:r>
          </w:p>
          <w:p w14:paraId="71751F42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(IP cisplatin 100mg/m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2</w:t>
            </w:r>
            <w:r w:rsidRPr="006B0E23">
              <w:rPr>
                <w:rFonts w:ascii="Arial" w:hAnsi="Arial" w:cs="Arial"/>
                <w:szCs w:val="24"/>
              </w:rPr>
              <w:t>=1 vs. other IP regimen=0)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hideMark/>
          </w:tcPr>
          <w:p w14:paraId="353D234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0.65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hideMark/>
          </w:tcPr>
          <w:p w14:paraId="057F683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0.21 to 2.02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14:paraId="03CCA38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0.46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hideMark/>
          </w:tcPr>
          <w:p w14:paraId="5CAB0ED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0.36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hideMark/>
          </w:tcPr>
          <w:p w14:paraId="29655E45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0.10 to 1.28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hideMark/>
          </w:tcPr>
          <w:p w14:paraId="30DE42D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0.12</w:t>
            </w:r>
          </w:p>
        </w:tc>
      </w:tr>
      <w:tr w:rsidR="00BF1974" w:rsidRPr="006B0E23" w14:paraId="1626748D" w14:textId="77777777" w:rsidTr="00AB2565">
        <w:tc>
          <w:tcPr>
            <w:tcW w:w="3657" w:type="dxa"/>
            <w:hideMark/>
          </w:tcPr>
          <w:p w14:paraId="47F13655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Age (years)</w:t>
            </w:r>
          </w:p>
        </w:tc>
        <w:tc>
          <w:tcPr>
            <w:tcW w:w="1134" w:type="dxa"/>
            <w:hideMark/>
          </w:tcPr>
          <w:p w14:paraId="0BBE37C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1.02</w:t>
            </w:r>
          </w:p>
        </w:tc>
        <w:tc>
          <w:tcPr>
            <w:tcW w:w="2410" w:type="dxa"/>
            <w:hideMark/>
          </w:tcPr>
          <w:p w14:paraId="1B6F2337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0.97 to 1.08</w:t>
            </w:r>
          </w:p>
        </w:tc>
        <w:tc>
          <w:tcPr>
            <w:tcW w:w="1276" w:type="dxa"/>
            <w:hideMark/>
          </w:tcPr>
          <w:p w14:paraId="11A6BED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0.45</w:t>
            </w:r>
          </w:p>
        </w:tc>
        <w:tc>
          <w:tcPr>
            <w:tcW w:w="1559" w:type="dxa"/>
            <w:hideMark/>
          </w:tcPr>
          <w:p w14:paraId="44F4DB8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1.12</w:t>
            </w:r>
          </w:p>
        </w:tc>
        <w:tc>
          <w:tcPr>
            <w:tcW w:w="1984" w:type="dxa"/>
            <w:hideMark/>
          </w:tcPr>
          <w:p w14:paraId="0095DF0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 xml:space="preserve">0.95 to 1.08 </w:t>
            </w:r>
          </w:p>
        </w:tc>
        <w:tc>
          <w:tcPr>
            <w:tcW w:w="1134" w:type="dxa"/>
            <w:hideMark/>
          </w:tcPr>
          <w:p w14:paraId="109A9A84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0.62</w:t>
            </w:r>
          </w:p>
        </w:tc>
      </w:tr>
      <w:tr w:rsidR="00BF1974" w:rsidRPr="006B0E23" w14:paraId="51410BD8" w14:textId="77777777" w:rsidTr="00AB2565">
        <w:tc>
          <w:tcPr>
            <w:tcW w:w="3657" w:type="dxa"/>
            <w:hideMark/>
          </w:tcPr>
          <w:p w14:paraId="5C5205D9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FIGO stage</w:t>
            </w:r>
          </w:p>
        </w:tc>
        <w:tc>
          <w:tcPr>
            <w:tcW w:w="1134" w:type="dxa"/>
          </w:tcPr>
          <w:p w14:paraId="51B7360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410" w:type="dxa"/>
          </w:tcPr>
          <w:p w14:paraId="7C9F903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</w:tcPr>
          <w:p w14:paraId="106B7AC0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559" w:type="dxa"/>
          </w:tcPr>
          <w:p w14:paraId="0650CE3A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984" w:type="dxa"/>
          </w:tcPr>
          <w:p w14:paraId="65043C91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6E947B0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BF1974" w:rsidRPr="006B0E23" w14:paraId="36C2FF51" w14:textId="77777777" w:rsidTr="00AB2565">
        <w:tc>
          <w:tcPr>
            <w:tcW w:w="3657" w:type="dxa"/>
            <w:hideMark/>
          </w:tcPr>
          <w:p w14:paraId="477035CF" w14:textId="77777777" w:rsidR="00BF1974" w:rsidRPr="006B0E23" w:rsidRDefault="00BF1974" w:rsidP="00AB2565">
            <w:pPr>
              <w:ind w:firstLineChars="50" w:firstLine="120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2 (reference)</w:t>
            </w:r>
          </w:p>
        </w:tc>
        <w:tc>
          <w:tcPr>
            <w:tcW w:w="1134" w:type="dxa"/>
            <w:hideMark/>
          </w:tcPr>
          <w:p w14:paraId="36CD25F5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1.00</w:t>
            </w:r>
          </w:p>
        </w:tc>
        <w:tc>
          <w:tcPr>
            <w:tcW w:w="2410" w:type="dxa"/>
            <w:hideMark/>
          </w:tcPr>
          <w:p w14:paraId="7736071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276" w:type="dxa"/>
            <w:hideMark/>
          </w:tcPr>
          <w:p w14:paraId="6EBAC41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0E016BD1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1.00</w:t>
            </w:r>
          </w:p>
        </w:tc>
        <w:tc>
          <w:tcPr>
            <w:tcW w:w="1984" w:type="dxa"/>
            <w:hideMark/>
          </w:tcPr>
          <w:p w14:paraId="6791F31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65277BB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</w:tr>
      <w:tr w:rsidR="00BF1974" w:rsidRPr="006B0E23" w14:paraId="5D262631" w14:textId="77777777" w:rsidTr="00AB2565">
        <w:tc>
          <w:tcPr>
            <w:tcW w:w="3657" w:type="dxa"/>
            <w:hideMark/>
          </w:tcPr>
          <w:p w14:paraId="71C9915A" w14:textId="77777777" w:rsidR="00BF1974" w:rsidRPr="006B0E23" w:rsidRDefault="00BF1974" w:rsidP="00AB2565">
            <w:pPr>
              <w:ind w:firstLineChars="50" w:firstLine="120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1134" w:type="dxa"/>
            <w:hideMark/>
          </w:tcPr>
          <w:p w14:paraId="5CDA1C1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1.54X10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2410" w:type="dxa"/>
            <w:hideMark/>
          </w:tcPr>
          <w:p w14:paraId="3675461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5.95X10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8</w:t>
            </w:r>
            <w:r w:rsidRPr="006B0E23">
              <w:rPr>
                <w:rFonts w:ascii="Arial" w:hAnsi="Arial" w:cs="Arial"/>
                <w:szCs w:val="24"/>
              </w:rPr>
              <w:t xml:space="preserve"> to 3.99X10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276" w:type="dxa"/>
            <w:hideMark/>
          </w:tcPr>
          <w:p w14:paraId="4C0F047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&lt;0.001</w:t>
            </w:r>
          </w:p>
        </w:tc>
        <w:tc>
          <w:tcPr>
            <w:tcW w:w="1559" w:type="dxa"/>
            <w:hideMark/>
          </w:tcPr>
          <w:p w14:paraId="772A81A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1.68X10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984" w:type="dxa"/>
            <w:hideMark/>
          </w:tcPr>
          <w:p w14:paraId="34BD91C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6.09X10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8</w:t>
            </w:r>
            <w:r w:rsidRPr="006B0E23">
              <w:rPr>
                <w:rFonts w:ascii="Arial" w:hAnsi="Arial" w:cs="Arial"/>
                <w:szCs w:val="24"/>
              </w:rPr>
              <w:t xml:space="preserve"> to 4.64X10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134" w:type="dxa"/>
            <w:hideMark/>
          </w:tcPr>
          <w:p w14:paraId="678E6784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&lt;0.001</w:t>
            </w:r>
          </w:p>
        </w:tc>
      </w:tr>
      <w:tr w:rsidR="00BF1974" w:rsidRPr="006B0E23" w14:paraId="685B658E" w14:textId="77777777" w:rsidTr="00AB2565">
        <w:tc>
          <w:tcPr>
            <w:tcW w:w="3657" w:type="dxa"/>
            <w:hideMark/>
          </w:tcPr>
          <w:p w14:paraId="1B940D94" w14:textId="77777777" w:rsidR="00BF1974" w:rsidRPr="006B0E23" w:rsidRDefault="00BF1974" w:rsidP="00AB2565">
            <w:pPr>
              <w:ind w:firstLineChars="50" w:firstLine="120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1134" w:type="dxa"/>
            <w:hideMark/>
          </w:tcPr>
          <w:p w14:paraId="19D9B033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3.54X10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2410" w:type="dxa"/>
            <w:hideMark/>
          </w:tcPr>
          <w:p w14:paraId="4F49484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276" w:type="dxa"/>
            <w:hideMark/>
          </w:tcPr>
          <w:p w14:paraId="49679F84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275F7A39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2.76X10</w:t>
            </w:r>
            <w:r w:rsidRPr="006B0E23">
              <w:rPr>
                <w:rFonts w:ascii="Arial" w:hAnsi="Arial" w:cs="Arial"/>
                <w:szCs w:val="24"/>
                <w:vertAlign w:val="superscript"/>
              </w:rPr>
              <w:t>9</w:t>
            </w:r>
          </w:p>
        </w:tc>
        <w:tc>
          <w:tcPr>
            <w:tcW w:w="1984" w:type="dxa"/>
            <w:hideMark/>
          </w:tcPr>
          <w:p w14:paraId="14E0AC6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0A43DBFE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-</w:t>
            </w:r>
          </w:p>
        </w:tc>
      </w:tr>
      <w:tr w:rsidR="00BF1974" w:rsidRPr="006B0E23" w14:paraId="05211E6F" w14:textId="77777777" w:rsidTr="00AB2565">
        <w:tc>
          <w:tcPr>
            <w:tcW w:w="3657" w:type="dxa"/>
            <w:tcBorders>
              <w:bottom w:val="nil"/>
            </w:tcBorders>
            <w:hideMark/>
          </w:tcPr>
          <w:p w14:paraId="1553E0F7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Suboptimal debulking</w:t>
            </w:r>
          </w:p>
        </w:tc>
        <w:tc>
          <w:tcPr>
            <w:tcW w:w="1134" w:type="dxa"/>
            <w:tcBorders>
              <w:bottom w:val="nil"/>
            </w:tcBorders>
            <w:hideMark/>
          </w:tcPr>
          <w:p w14:paraId="4DEA182E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3.17</w:t>
            </w:r>
          </w:p>
        </w:tc>
        <w:tc>
          <w:tcPr>
            <w:tcW w:w="2410" w:type="dxa"/>
            <w:tcBorders>
              <w:bottom w:val="nil"/>
            </w:tcBorders>
            <w:hideMark/>
          </w:tcPr>
          <w:p w14:paraId="28AE7C3F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1.28 to 7.81</w:t>
            </w:r>
          </w:p>
        </w:tc>
        <w:tc>
          <w:tcPr>
            <w:tcW w:w="1276" w:type="dxa"/>
            <w:tcBorders>
              <w:bottom w:val="nil"/>
            </w:tcBorders>
            <w:hideMark/>
          </w:tcPr>
          <w:p w14:paraId="48E14711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0.01</w:t>
            </w:r>
          </w:p>
        </w:tc>
        <w:tc>
          <w:tcPr>
            <w:tcW w:w="1559" w:type="dxa"/>
            <w:tcBorders>
              <w:bottom w:val="nil"/>
            </w:tcBorders>
            <w:hideMark/>
          </w:tcPr>
          <w:p w14:paraId="05702A46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2.88</w:t>
            </w:r>
          </w:p>
        </w:tc>
        <w:tc>
          <w:tcPr>
            <w:tcW w:w="1984" w:type="dxa"/>
            <w:tcBorders>
              <w:bottom w:val="nil"/>
            </w:tcBorders>
            <w:hideMark/>
          </w:tcPr>
          <w:p w14:paraId="3B1283C4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0.99 to 8.36</w:t>
            </w:r>
          </w:p>
        </w:tc>
        <w:tc>
          <w:tcPr>
            <w:tcW w:w="1134" w:type="dxa"/>
            <w:tcBorders>
              <w:bottom w:val="nil"/>
            </w:tcBorders>
            <w:hideMark/>
          </w:tcPr>
          <w:p w14:paraId="5055C2DB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0.052</w:t>
            </w:r>
          </w:p>
        </w:tc>
      </w:tr>
      <w:tr w:rsidR="00BF1974" w:rsidRPr="006B0E23" w14:paraId="2027DE60" w14:textId="77777777" w:rsidTr="00AB2565">
        <w:tc>
          <w:tcPr>
            <w:tcW w:w="3657" w:type="dxa"/>
            <w:tcBorders>
              <w:top w:val="nil"/>
              <w:bottom w:val="single" w:sz="18" w:space="0" w:color="auto"/>
            </w:tcBorders>
            <w:hideMark/>
          </w:tcPr>
          <w:p w14:paraId="629937C1" w14:textId="77777777" w:rsidR="00BF1974" w:rsidRPr="006B0E23" w:rsidRDefault="00BF1974" w:rsidP="00AB2565">
            <w:pPr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Number of chemotherapy cycles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hideMark/>
          </w:tcPr>
          <w:p w14:paraId="2AFCC021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0.98</w:t>
            </w:r>
          </w:p>
        </w:tc>
        <w:tc>
          <w:tcPr>
            <w:tcW w:w="2410" w:type="dxa"/>
            <w:tcBorders>
              <w:top w:val="nil"/>
              <w:bottom w:val="single" w:sz="18" w:space="0" w:color="auto"/>
            </w:tcBorders>
            <w:hideMark/>
          </w:tcPr>
          <w:p w14:paraId="3D6383BC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0.70 to 1.39</w:t>
            </w:r>
          </w:p>
        </w:tc>
        <w:tc>
          <w:tcPr>
            <w:tcW w:w="1276" w:type="dxa"/>
            <w:tcBorders>
              <w:top w:val="nil"/>
              <w:bottom w:val="single" w:sz="18" w:space="0" w:color="auto"/>
            </w:tcBorders>
            <w:hideMark/>
          </w:tcPr>
          <w:p w14:paraId="2DC1A3A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0.92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hideMark/>
          </w:tcPr>
          <w:p w14:paraId="78B02E22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 xml:space="preserve">0.94 </w:t>
            </w:r>
          </w:p>
        </w:tc>
        <w:tc>
          <w:tcPr>
            <w:tcW w:w="1984" w:type="dxa"/>
            <w:tcBorders>
              <w:top w:val="nil"/>
              <w:bottom w:val="single" w:sz="18" w:space="0" w:color="auto"/>
            </w:tcBorders>
            <w:hideMark/>
          </w:tcPr>
          <w:p w14:paraId="19E6C0D8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0.67 to 1.33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hideMark/>
          </w:tcPr>
          <w:p w14:paraId="4480E6ED" w14:textId="77777777" w:rsidR="00BF1974" w:rsidRPr="006B0E23" w:rsidRDefault="00BF1974" w:rsidP="00AB2565">
            <w:pPr>
              <w:jc w:val="center"/>
              <w:rPr>
                <w:rFonts w:ascii="Arial" w:hAnsi="Arial" w:cs="Arial"/>
                <w:szCs w:val="24"/>
              </w:rPr>
            </w:pPr>
            <w:r w:rsidRPr="006B0E23">
              <w:rPr>
                <w:rFonts w:ascii="Arial" w:hAnsi="Arial" w:cs="Arial"/>
                <w:szCs w:val="24"/>
              </w:rPr>
              <w:t>0.73</w:t>
            </w:r>
          </w:p>
        </w:tc>
      </w:tr>
    </w:tbl>
    <w:p w14:paraId="348ADF45" w14:textId="77777777" w:rsidR="00BF1974" w:rsidRPr="006B0E23" w:rsidRDefault="00BF1974" w:rsidP="00BF1974">
      <w:pPr>
        <w:pStyle w:val="MDPI43tablefooter"/>
        <w:ind w:left="0"/>
        <w:rPr>
          <w:rFonts w:ascii="Arial" w:eastAsia="PMingLiU" w:hAnsi="Arial" w:cs="Arial"/>
          <w:sz w:val="24"/>
          <w:szCs w:val="24"/>
          <w:lang w:eastAsia="zh-TW"/>
        </w:rPr>
      </w:pPr>
      <w:r w:rsidRPr="006B0E23">
        <w:rPr>
          <w:rFonts w:ascii="Arial" w:eastAsia="PMingLiU" w:hAnsi="Arial" w:cs="Arial"/>
          <w:sz w:val="24"/>
          <w:szCs w:val="24"/>
          <w:lang w:eastAsia="zh-TW"/>
        </w:rPr>
        <w:t xml:space="preserve">CI=confidence interval, FIGO=The International Federation of Gynecology and Obstetrics, IP=intraperitoneal </w:t>
      </w:r>
    </w:p>
    <w:p w14:paraId="4EA41E1A" w14:textId="77777777" w:rsidR="00BF1974" w:rsidRPr="006B0E23" w:rsidRDefault="00BF1974" w:rsidP="00BF1974">
      <w:pPr>
        <w:pStyle w:val="MDPI43tablefooter"/>
        <w:ind w:left="0"/>
        <w:rPr>
          <w:rFonts w:ascii="Arial" w:eastAsia="PMingLiU" w:hAnsi="Arial" w:cs="Arial"/>
          <w:sz w:val="24"/>
          <w:szCs w:val="24"/>
          <w:lang w:eastAsia="zh-TW"/>
        </w:rPr>
      </w:pPr>
      <w:r w:rsidRPr="006B0E23">
        <w:rPr>
          <w:rFonts w:ascii="Arial" w:eastAsia="PMingLiU" w:hAnsi="Arial" w:cs="Arial"/>
          <w:sz w:val="24"/>
          <w:szCs w:val="24"/>
          <w:lang w:eastAsia="zh-TW"/>
        </w:rPr>
        <w:t>*Univariate Cox proportional-hazards modeling.</w:t>
      </w:r>
    </w:p>
    <w:p w14:paraId="0923A297" w14:textId="77777777" w:rsidR="00BF1974" w:rsidRPr="006B0E23" w:rsidRDefault="00BF1974" w:rsidP="00BF1974">
      <w:pPr>
        <w:pStyle w:val="MDPI43tablefooter"/>
        <w:spacing w:after="120"/>
        <w:ind w:left="0"/>
        <w:rPr>
          <w:rFonts w:ascii="Arial" w:eastAsia="PMingLiU" w:hAnsi="Arial" w:cs="Arial" w:hint="eastAsia"/>
          <w:sz w:val="24"/>
          <w:szCs w:val="24"/>
          <w:lang w:eastAsia="zh-TW"/>
        </w:rPr>
      </w:pPr>
      <w:r w:rsidRPr="006B0E23">
        <w:rPr>
          <w:rFonts w:ascii="Arial" w:eastAsia="PMingLiU" w:hAnsi="Arial" w:cs="Arial"/>
          <w:sz w:val="24"/>
          <w:szCs w:val="24"/>
          <w:lang w:eastAsia="zh-TW"/>
        </w:rPr>
        <w:t>†Multivariable Cox proportional-hazards modeling was performed using all variables in the univariate analysis.</w:t>
      </w:r>
    </w:p>
    <w:p w14:paraId="28392CB7" w14:textId="77777777" w:rsidR="00755780" w:rsidRDefault="00755780"/>
    <w:sectPr w:rsidR="00755780" w:rsidSect="006B0E23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974"/>
    <w:rsid w:val="00755780"/>
    <w:rsid w:val="00BF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5507E"/>
  <w15:chartTrackingRefBased/>
  <w15:docId w15:val="{0A89C5E5-EB98-4A58-A43A-2F379EF1E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974"/>
    <w:pPr>
      <w:widowControl w:val="0"/>
      <w:spacing w:after="0" w:line="240" w:lineRule="auto"/>
    </w:pPr>
    <w:rPr>
      <w:rFonts w:ascii="Calibri" w:eastAsia="PMingLiU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2tablebody">
    <w:name w:val="MDPI_4.2_table_body"/>
    <w:qFormat/>
    <w:rsid w:val="00BF1974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next w:val="Normal"/>
    <w:qFormat/>
    <w:rsid w:val="00BF1974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1tablecaption">
    <w:name w:val="MDPI_4.1_table_caption"/>
    <w:qFormat/>
    <w:rsid w:val="00BF1974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BF1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342</Words>
  <Characters>1951</Characters>
  <Application>Microsoft Office Word</Application>
  <DocSecurity>0</DocSecurity>
  <Lines>16</Lines>
  <Paragraphs>4</Paragraphs>
  <ScaleCrop>false</ScaleCrop>
  <Company>Springer Nature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2023-03-23T13:59:00Z</dcterms:created>
  <dcterms:modified xsi:type="dcterms:W3CDTF">2023-03-23T13:59:00Z</dcterms:modified>
</cp:coreProperties>
</file>