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6237"/>
          <w:tab w:val="left" w:pos="6300"/>
          <w:tab w:val="left" w:pos="6379"/>
        </w:tabs>
        <w:spacing w:before="0" w:after="0" w:line="360" w:lineRule="auto"/>
        <w:jc w:val="left"/>
        <w:rPr>
          <w:rFonts w:ascii="Times New Roman" w:hAnsi="Times New Roman" w:cs="Times New Roman"/>
          <w:sz w:val="24"/>
          <w:szCs w:val="24"/>
        </w:rPr>
      </w:pPr>
      <w:bookmarkStart w:id="49" w:name="_GoBack"/>
      <w:bookmarkEnd w:id="49"/>
      <w:bookmarkStart w:id="0" w:name="_Hlk105421907"/>
      <w:bookmarkStart w:id="1" w:name="_Hlk105421981"/>
      <w:bookmarkStart w:id="2" w:name="_Hlk105421934"/>
      <w:r>
        <w:rPr>
          <w:rFonts w:ascii="Times New Roman" w:hAnsi="Times New Roman" w:cs="Times New Roman"/>
          <w:sz w:val="24"/>
          <w:szCs w:val="24"/>
        </w:rPr>
        <w:t xml:space="preserve">Metal(loid) pollution of agricultural soils </w:t>
      </w:r>
      <w:bookmarkStart w:id="3" w:name="_Hlk90726097"/>
      <w:r>
        <w:rPr>
          <w:rFonts w:ascii="Times New Roman" w:hAnsi="Times New Roman" w:cs="Times New Roman"/>
          <w:sz w:val="24"/>
          <w:szCs w:val="24"/>
        </w:rPr>
        <w:t xml:space="preserve">downstream of a lead-zinc mine </w:t>
      </w:r>
      <w:bookmarkEnd w:id="3"/>
      <w:r>
        <w:rPr>
          <w:rFonts w:ascii="Times New Roman" w:hAnsi="Times New Roman" w:cs="Times New Roman"/>
          <w:sz w:val="24"/>
          <w:szCs w:val="24"/>
        </w:rPr>
        <w:t>in southwest China</w:t>
      </w:r>
      <w:bookmarkEnd w:id="0"/>
      <w:r>
        <w:rPr>
          <w:rFonts w:ascii="Times New Roman" w:hAnsi="Times New Roman" w:cs="Times New Roman"/>
          <w:sz w:val="24"/>
          <w:szCs w:val="24"/>
        </w:rPr>
        <w:t>: comprehensive evaluation of risks to food production and human health</w:t>
      </w:r>
    </w:p>
    <w:p>
      <w:pPr>
        <w:spacing w:line="360" w:lineRule="auto"/>
        <w:jc w:val="center"/>
        <w:rPr>
          <w:rFonts w:ascii="Times New Roman" w:hAnsi="Times New Roman" w:eastAsia="宋体" w:cs="Times New Roman"/>
          <w:bCs/>
          <w:sz w:val="24"/>
          <w:szCs w:val="24"/>
          <w:shd w:val="clear" w:color="auto" w:fill="FFFFFF"/>
        </w:rPr>
      </w:pPr>
    </w:p>
    <w:p>
      <w:pPr>
        <w:spacing w:line="360" w:lineRule="auto"/>
        <w:jc w:val="left"/>
        <w:rPr>
          <w:rFonts w:ascii="Times New Roman" w:hAnsi="Times New Roman" w:eastAsia="宋体" w:cs="Times New Roman"/>
          <w:bCs/>
          <w:sz w:val="24"/>
          <w:szCs w:val="24"/>
          <w:shd w:val="clear" w:color="auto" w:fill="FFFFFF"/>
          <w:vertAlign w:val="superscript"/>
          <w:lang w:val="en-US"/>
        </w:rPr>
      </w:pPr>
      <w:r>
        <w:rPr>
          <w:rFonts w:ascii="Times New Roman" w:hAnsi="Times New Roman" w:eastAsia="宋体" w:cs="Times New Roman"/>
          <w:bCs/>
          <w:sz w:val="24"/>
          <w:szCs w:val="24"/>
          <w:shd w:val="clear" w:color="auto" w:fill="FFFFFF"/>
        </w:rPr>
        <w:t>Peiyu Zhang</w:t>
      </w:r>
      <w:bookmarkEnd w:id="1"/>
      <w:r>
        <w:rPr>
          <w:rFonts w:ascii="Times New Roman" w:hAnsi="Times New Roman" w:eastAsia="宋体" w:cs="Times New Roman"/>
          <w:bCs/>
          <w:sz w:val="24"/>
          <w:szCs w:val="24"/>
          <w:shd w:val="clear" w:color="auto" w:fill="FFFFFF"/>
        </w:rPr>
        <w:t xml:space="preserve"> </w:t>
      </w:r>
      <w:r>
        <w:rPr>
          <w:rFonts w:ascii="Times New Roman" w:hAnsi="Times New Roman" w:eastAsia="宋体" w:cs="Times New Roman"/>
          <w:bCs/>
          <w:sz w:val="24"/>
          <w:szCs w:val="24"/>
          <w:shd w:val="clear" w:color="auto" w:fill="FFFFFF"/>
          <w:vertAlign w:val="superscript"/>
        </w:rPr>
        <w:t>a, b</w:t>
      </w:r>
      <w:r>
        <w:rPr>
          <w:rFonts w:ascii="Times New Roman" w:hAnsi="Times New Roman" w:eastAsia="宋体" w:cs="Times New Roman"/>
          <w:bCs/>
          <w:sz w:val="24"/>
          <w:szCs w:val="24"/>
          <w:shd w:val="clear" w:color="auto" w:fill="FFFFFF"/>
        </w:rPr>
        <w:t xml:space="preserve">, </w:t>
      </w:r>
      <w:bookmarkStart w:id="4" w:name="_Hlk105422063"/>
      <w:r>
        <w:rPr>
          <w:rFonts w:ascii="Times New Roman" w:hAnsi="Times New Roman" w:eastAsia="宋体" w:cs="Times New Roman"/>
          <w:bCs/>
          <w:sz w:val="24"/>
          <w:szCs w:val="24"/>
          <w:shd w:val="clear" w:color="auto" w:fill="FFFFFF"/>
        </w:rPr>
        <w:t>Wenyong Wang</w:t>
      </w:r>
      <w:bookmarkEnd w:id="4"/>
      <w:r>
        <w:rPr>
          <w:rFonts w:ascii="Times New Roman" w:hAnsi="Times New Roman" w:eastAsia="宋体" w:cs="Times New Roman"/>
          <w:bCs/>
          <w:sz w:val="24"/>
          <w:szCs w:val="24"/>
          <w:shd w:val="clear" w:color="auto" w:fill="FFFFFF"/>
        </w:rPr>
        <w:t xml:space="preserve"> </w:t>
      </w:r>
      <w:r>
        <w:rPr>
          <w:rFonts w:ascii="Times New Roman" w:hAnsi="Times New Roman" w:eastAsia="宋体" w:cs="Times New Roman"/>
          <w:bCs/>
          <w:sz w:val="24"/>
          <w:szCs w:val="24"/>
          <w:shd w:val="clear" w:color="auto" w:fill="FFFFFF"/>
          <w:vertAlign w:val="superscript"/>
        </w:rPr>
        <w:t>b</w:t>
      </w:r>
      <w:r>
        <w:rPr>
          <w:rFonts w:ascii="Times New Roman" w:hAnsi="Times New Roman" w:eastAsia="宋体" w:cs="Times New Roman"/>
          <w:bCs/>
          <w:sz w:val="24"/>
          <w:szCs w:val="24"/>
          <w:shd w:val="clear" w:color="auto" w:fill="FFFFFF"/>
        </w:rPr>
        <w:t>,</w:t>
      </w:r>
      <w:r>
        <w:rPr>
          <w:bCs/>
          <w:sz w:val="24"/>
          <w:szCs w:val="24"/>
        </w:rPr>
        <w:t xml:space="preserve"> </w:t>
      </w:r>
      <w:bookmarkStart w:id="5" w:name="_Hlk105422082"/>
      <w:r>
        <w:rPr>
          <w:rFonts w:hint="eastAsia" w:ascii="Times New Roman" w:hAnsi="Times New Roman" w:eastAsia="宋体" w:cs="Times New Roman"/>
          <w:bCs/>
          <w:sz w:val="24"/>
          <w:szCs w:val="24"/>
          <w:shd w:val="clear" w:color="auto" w:fill="FFFFFF"/>
        </w:rPr>
        <w:t>Xingyang</w:t>
      </w:r>
      <w:r>
        <w:rPr>
          <w:rFonts w:ascii="Times New Roman" w:hAnsi="Times New Roman" w:eastAsia="宋体" w:cs="Times New Roman"/>
          <w:bCs/>
          <w:sz w:val="24"/>
          <w:szCs w:val="24"/>
          <w:shd w:val="clear" w:color="auto" w:fill="FFFFFF"/>
        </w:rPr>
        <w:t xml:space="preserve"> Li</w:t>
      </w:r>
      <w:r>
        <w:rPr>
          <w:rFonts w:ascii="Times New Roman" w:hAnsi="Times New Roman" w:eastAsia="宋体" w:cs="Times New Roman"/>
          <w:bCs/>
          <w:sz w:val="24"/>
          <w:szCs w:val="24"/>
          <w:shd w:val="clear" w:color="auto" w:fill="FFFFFF"/>
          <w:vertAlign w:val="superscript"/>
        </w:rPr>
        <w:t xml:space="preserve"> b</w:t>
      </w:r>
      <w:r>
        <w:rPr>
          <w:rFonts w:ascii="Times New Roman" w:hAnsi="Times New Roman" w:eastAsia="宋体" w:cs="Times New Roman"/>
          <w:bCs/>
          <w:sz w:val="24"/>
          <w:szCs w:val="24"/>
          <w:shd w:val="clear" w:color="auto" w:fill="FFFFFF"/>
        </w:rPr>
        <w:t>, Ting Gao</w:t>
      </w:r>
      <w:bookmarkEnd w:id="5"/>
      <w:r>
        <w:rPr>
          <w:rFonts w:ascii="Times New Roman" w:hAnsi="Times New Roman" w:eastAsia="宋体" w:cs="Times New Roman"/>
          <w:bCs/>
          <w:sz w:val="24"/>
          <w:szCs w:val="24"/>
          <w:shd w:val="clear" w:color="auto" w:fill="FFFFFF"/>
        </w:rPr>
        <w:t xml:space="preserve"> </w:t>
      </w:r>
      <w:r>
        <w:rPr>
          <w:rFonts w:ascii="Times New Roman" w:hAnsi="Times New Roman" w:eastAsia="宋体" w:cs="Times New Roman"/>
          <w:bCs/>
          <w:sz w:val="24"/>
          <w:szCs w:val="24"/>
          <w:shd w:val="clear" w:color="auto" w:fill="FFFFFF"/>
          <w:vertAlign w:val="superscript"/>
        </w:rPr>
        <w:t>b</w:t>
      </w:r>
      <w:r>
        <w:rPr>
          <w:rFonts w:ascii="Times New Roman" w:hAnsi="Times New Roman" w:eastAsia="宋体" w:cs="Times New Roman"/>
          <w:bCs/>
          <w:sz w:val="24"/>
          <w:szCs w:val="24"/>
          <w:shd w:val="clear" w:color="auto" w:fill="FFFFFF"/>
        </w:rPr>
        <w:t xml:space="preserve">, </w:t>
      </w:r>
      <w:bookmarkStart w:id="6" w:name="_Hlk105422103"/>
      <w:r>
        <w:rPr>
          <w:rFonts w:ascii="Times New Roman" w:hAnsi="Times New Roman" w:eastAsia="宋体" w:cs="Times New Roman"/>
          <w:bCs/>
          <w:sz w:val="24"/>
          <w:szCs w:val="24"/>
          <w:shd w:val="clear" w:color="auto" w:fill="FFFFFF"/>
        </w:rPr>
        <w:t xml:space="preserve">Benle Liu </w:t>
      </w:r>
      <w:r>
        <w:rPr>
          <w:rFonts w:hint="eastAsia" w:ascii="Times New Roman" w:hAnsi="Times New Roman" w:eastAsia="宋体" w:cs="Times New Roman"/>
          <w:bCs/>
          <w:sz w:val="24"/>
          <w:szCs w:val="24"/>
          <w:shd w:val="clear" w:color="auto" w:fill="FFFFFF"/>
          <w:vertAlign w:val="superscript"/>
        </w:rPr>
        <w:t>b</w:t>
      </w:r>
      <w:r>
        <w:rPr>
          <w:rFonts w:ascii="Times New Roman" w:hAnsi="Times New Roman" w:eastAsia="宋体" w:cs="Times New Roman"/>
          <w:bCs/>
          <w:sz w:val="24"/>
          <w:szCs w:val="24"/>
          <w:shd w:val="clear" w:color="auto" w:fill="FFFFFF"/>
        </w:rPr>
        <w:t>, LonghuaWu</w:t>
      </w:r>
      <w:bookmarkEnd w:id="6"/>
      <w:r>
        <w:rPr>
          <w:rFonts w:ascii="Times New Roman" w:hAnsi="Times New Roman" w:eastAsia="宋体" w:cs="Times New Roman"/>
          <w:bCs/>
          <w:sz w:val="24"/>
          <w:szCs w:val="24"/>
          <w:shd w:val="clear" w:color="auto" w:fill="FFFFFF"/>
        </w:rPr>
        <w:t xml:space="preserve"> </w:t>
      </w:r>
      <w:r>
        <w:rPr>
          <w:rFonts w:ascii="Times New Roman" w:hAnsi="Times New Roman" w:eastAsia="宋体" w:cs="Times New Roman"/>
          <w:bCs/>
          <w:sz w:val="24"/>
          <w:szCs w:val="24"/>
          <w:shd w:val="clear" w:color="auto" w:fill="FFFFFF"/>
          <w:vertAlign w:val="superscript"/>
        </w:rPr>
        <w:t>b</w:t>
      </w:r>
      <w:r>
        <w:rPr>
          <w:rFonts w:ascii="Times New Roman" w:hAnsi="Times New Roman" w:eastAsia="宋体" w:cs="Times New Roman"/>
          <w:bCs/>
          <w:sz w:val="24"/>
          <w:szCs w:val="24"/>
          <w:shd w:val="clear" w:color="auto" w:fill="FFFFFF"/>
        </w:rPr>
        <w:t>,</w:t>
      </w:r>
      <w:bookmarkStart w:id="7" w:name="_Hlk105422143"/>
      <w:r>
        <w:rPr>
          <w:rFonts w:ascii="Times New Roman" w:hAnsi="Times New Roman" w:eastAsia="宋体" w:cs="Times New Roman"/>
          <w:bCs/>
          <w:sz w:val="24"/>
          <w:szCs w:val="24"/>
          <w:shd w:val="clear" w:color="auto" w:fill="FFFFFF"/>
        </w:rPr>
        <w:t xml:space="preserve"> Changyin Tan</w:t>
      </w:r>
      <w:bookmarkEnd w:id="7"/>
      <w:r>
        <w:rPr>
          <w:rFonts w:ascii="Times New Roman" w:hAnsi="Times New Roman" w:eastAsia="宋体" w:cs="Times New Roman"/>
          <w:bCs/>
          <w:sz w:val="24"/>
          <w:szCs w:val="24"/>
          <w:shd w:val="clear" w:color="auto" w:fill="FFFFFF"/>
        </w:rPr>
        <w:t xml:space="preserve"> </w:t>
      </w:r>
      <w:r>
        <w:rPr>
          <w:rFonts w:ascii="Times New Roman" w:hAnsi="Times New Roman" w:eastAsia="宋体" w:cs="Times New Roman"/>
          <w:bCs/>
          <w:sz w:val="24"/>
          <w:szCs w:val="24"/>
          <w:shd w:val="clear" w:color="auto" w:fill="FFFFFF"/>
          <w:vertAlign w:val="superscript"/>
        </w:rPr>
        <w:t>a,</w:t>
      </w:r>
      <w:r>
        <w:rPr>
          <w:rFonts w:ascii="Times New Roman" w:hAnsi="Times New Roman" w:eastAsia="宋体" w:cs="Times New Roman"/>
          <w:bCs/>
          <w:sz w:val="24"/>
          <w:szCs w:val="24"/>
          <w:shd w:val="clear" w:color="auto" w:fill="FFFFFF"/>
          <w:vertAlign w:val="superscript"/>
        </w:rPr>
        <w:sym w:font="Symbol" w:char="F02A"/>
      </w:r>
      <w:r>
        <w:rPr>
          <w:rFonts w:hint="eastAsia" w:ascii="Times New Roman" w:hAnsi="Times New Roman" w:eastAsia="宋体" w:cs="Times New Roman"/>
          <w:bCs/>
          <w:sz w:val="24"/>
          <w:szCs w:val="24"/>
          <w:shd w:val="clear" w:color="auto" w:fill="FFFFFF"/>
          <w:lang w:val="en-US"/>
        </w:rPr>
        <w:t>,</w:t>
      </w:r>
      <w:r>
        <w:rPr>
          <w:rFonts w:ascii="Times New Roman" w:hAnsi="Times New Roman" w:eastAsia="宋体" w:cs="Times New Roman"/>
          <w:bCs/>
          <w:sz w:val="24"/>
          <w:szCs w:val="24"/>
          <w:shd w:val="clear" w:color="auto" w:fill="FFFFFF"/>
          <w:lang w:val="en-US"/>
        </w:rPr>
        <w:t xml:space="preserve"> </w:t>
      </w:r>
      <w:r>
        <w:rPr>
          <w:rFonts w:hint="eastAsia" w:ascii="Times New Roman" w:hAnsi="Times New Roman" w:eastAsia="宋体" w:cs="Times New Roman"/>
          <w:bCs/>
          <w:sz w:val="24"/>
          <w:szCs w:val="24"/>
          <w:shd w:val="clear" w:color="auto" w:fill="FFFFFF"/>
          <w:lang w:val="en-US"/>
        </w:rPr>
        <w:t>Peter Christie</w:t>
      </w:r>
      <w:r>
        <w:rPr>
          <w:rFonts w:ascii="Times New Roman" w:hAnsi="Times New Roman" w:eastAsia="宋体" w:cs="Times New Roman"/>
          <w:bCs/>
          <w:sz w:val="24"/>
          <w:szCs w:val="24"/>
          <w:shd w:val="clear" w:color="auto" w:fill="FFFFFF"/>
          <w:lang w:val="en-US"/>
        </w:rPr>
        <w:t xml:space="preserve"> </w:t>
      </w:r>
      <w:r>
        <w:rPr>
          <w:rFonts w:hint="eastAsia" w:ascii="Times New Roman" w:hAnsi="Times New Roman" w:eastAsia="宋体" w:cs="Times New Roman"/>
          <w:bCs/>
          <w:sz w:val="24"/>
          <w:szCs w:val="24"/>
          <w:shd w:val="clear" w:color="auto" w:fill="FFFFFF"/>
          <w:vertAlign w:val="superscript"/>
          <w:lang w:val="en-US"/>
        </w:rPr>
        <w:t>a</w:t>
      </w:r>
    </w:p>
    <w:p>
      <w:pPr>
        <w:spacing w:line="360" w:lineRule="auto"/>
        <w:jc w:val="center"/>
        <w:rPr>
          <w:b/>
          <w:bCs/>
          <w:sz w:val="24"/>
          <w:szCs w:val="24"/>
          <w:vertAlign w:val="superscript"/>
          <w:lang w:val="en-US"/>
        </w:rPr>
      </w:pPr>
    </w:p>
    <w:p>
      <w:pPr>
        <w:ind w:left="151" w:hanging="151" w:hangingChars="63"/>
        <w:rPr>
          <w:rFonts w:ascii="Times New Roman" w:hAnsi="Times New Roman" w:cs="Times New Roman"/>
          <w:bCs/>
          <w:sz w:val="24"/>
          <w:szCs w:val="24"/>
        </w:rPr>
      </w:pPr>
      <w:bookmarkStart w:id="8" w:name="_Hlk91253281"/>
      <w:r>
        <w:rPr>
          <w:rFonts w:ascii="Times New Roman" w:hAnsi="Times New Roman" w:cs="Times New Roman"/>
          <w:bCs/>
          <w:sz w:val="24"/>
          <w:szCs w:val="24"/>
          <w:vertAlign w:val="superscript"/>
        </w:rPr>
        <w:t>a</w:t>
      </w:r>
      <w:bookmarkStart w:id="9" w:name="_Hlk105422164"/>
      <w:r>
        <w:rPr>
          <w:rFonts w:ascii="Times New Roman" w:hAnsi="Times New Roman" w:cs="Times New Roman"/>
          <w:bCs/>
          <w:sz w:val="24"/>
          <w:szCs w:val="24"/>
        </w:rPr>
        <w:t xml:space="preserve"> College of Geographical Sciences, Hunan Normal University, Changsha 410081, China</w:t>
      </w:r>
      <w:bookmarkEnd w:id="8"/>
      <w:bookmarkEnd w:id="9"/>
    </w:p>
    <w:p>
      <w:pPr>
        <w:ind w:left="151" w:hanging="151" w:hangingChars="63"/>
        <w:rPr>
          <w:rFonts w:ascii="Times New Roman" w:hAnsi="Times New Roman" w:cs="Times New Roman"/>
          <w:bCs/>
          <w:sz w:val="24"/>
          <w:szCs w:val="24"/>
        </w:rPr>
      </w:pPr>
      <w:r>
        <w:rPr>
          <w:rFonts w:ascii="Times New Roman" w:hAnsi="Times New Roman" w:cs="Times New Roman"/>
          <w:bCs/>
          <w:sz w:val="24"/>
          <w:szCs w:val="24"/>
          <w:vertAlign w:val="superscript"/>
        </w:rPr>
        <w:t>b</w:t>
      </w:r>
      <w:r>
        <w:rPr>
          <w:rFonts w:ascii="Times New Roman" w:hAnsi="Times New Roman" w:cs="Times New Roman"/>
          <w:bCs/>
          <w:sz w:val="24"/>
          <w:szCs w:val="24"/>
        </w:rPr>
        <w:t xml:space="preserve"> </w:t>
      </w:r>
      <w:bookmarkStart w:id="10" w:name="_Hlk105422176"/>
      <w:r>
        <w:rPr>
          <w:rFonts w:hint="eastAsia" w:ascii="Times New Roman" w:hAnsi="Times New Roman" w:cs="Times New Roman"/>
          <w:bCs/>
          <w:sz w:val="24"/>
          <w:szCs w:val="24"/>
        </w:rPr>
        <w:t>CAS</w:t>
      </w:r>
      <w:r>
        <w:rPr>
          <w:rFonts w:ascii="Times New Roman" w:hAnsi="Times New Roman" w:cs="Times New Roman"/>
          <w:bCs/>
          <w:sz w:val="24"/>
          <w:szCs w:val="24"/>
        </w:rPr>
        <w:t xml:space="preserve"> Key Laboratory of Soil Environment and Pollution Remediation, Institute of Soil Science, Chinese Academy of Sciences, Nanjing 210008, China</w:t>
      </w:r>
      <w:bookmarkEnd w:id="10"/>
    </w:p>
    <w:p>
      <w:pPr>
        <w:ind w:left="151" w:hanging="151" w:hangingChars="63"/>
        <w:rPr>
          <w:rFonts w:ascii="Times New Roman" w:hAnsi="Times New Roman" w:cs="Times New Roman"/>
          <w:bCs/>
          <w:sz w:val="24"/>
          <w:szCs w:val="24"/>
        </w:rPr>
      </w:pPr>
      <w:r>
        <w:rPr>
          <w:rFonts w:ascii="Times New Roman" w:hAnsi="Times New Roman" w:cs="Times New Roman"/>
          <w:bCs/>
          <w:sz w:val="24"/>
          <w:szCs w:val="24"/>
          <w:vertAlign w:val="superscript"/>
        </w:rPr>
        <w:t>*</w:t>
      </w:r>
      <w:r>
        <w:rPr>
          <w:rFonts w:ascii="Times New Roman" w:hAnsi="Times New Roman" w:cs="Times New Roman"/>
          <w:bCs/>
          <w:sz w:val="24"/>
          <w:szCs w:val="24"/>
        </w:rPr>
        <w:t xml:space="preserve"> Corresponding author.</w:t>
      </w:r>
    </w:p>
    <w:p>
      <w:pPr>
        <w:ind w:left="151" w:hanging="151" w:hangingChars="63"/>
        <w:rPr>
          <w:rFonts w:ascii="Times New Roman" w:hAnsi="Times New Roman" w:cs="Times New Roman"/>
          <w:bCs/>
          <w:sz w:val="24"/>
          <w:szCs w:val="24"/>
        </w:rPr>
      </w:pPr>
      <w:r>
        <w:rPr>
          <w:rFonts w:ascii="Times New Roman" w:hAnsi="Times New Roman" w:cs="Times New Roman"/>
          <w:bCs/>
          <w:sz w:val="24"/>
          <w:szCs w:val="24"/>
        </w:rPr>
        <w:t xml:space="preserve">E-mail address: </w:t>
      </w:r>
      <w:bookmarkStart w:id="11" w:name="_Hlk105422224"/>
      <w:r>
        <w:rPr>
          <w:rFonts w:ascii="Times New Roman" w:hAnsi="Times New Roman" w:cs="Times New Roman"/>
          <w:bCs/>
          <w:sz w:val="24"/>
          <w:szCs w:val="24"/>
        </w:rPr>
        <w:t>chytan@hunnu.edu.cn (Changyin Tan)</w:t>
      </w:r>
      <w:bookmarkEnd w:id="11"/>
    </w:p>
    <w:bookmarkEnd w:id="2"/>
    <w:p>
      <w:pPr>
        <w:rPr>
          <w:rFonts w:ascii="Times New Roman" w:hAnsi="Times New Roman" w:cs="Times New Roman"/>
          <w:b/>
          <w:bCs/>
          <w:sz w:val="24"/>
          <w:szCs w:val="24"/>
        </w:rPr>
      </w:pPr>
    </w:p>
    <w:p>
      <w:pPr>
        <w:pStyle w:val="5"/>
        <w:rPr>
          <w:sz w:val="24"/>
          <w:szCs w:val="24"/>
        </w:rPr>
      </w:pPr>
      <w:bookmarkStart w:id="12" w:name="_Hlk106534378"/>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 xml:space="preserve">. </w:t>
      </w:r>
      <w:bookmarkStart w:id="13" w:name="_Hlk106637763"/>
      <w:r>
        <w:rPr>
          <w:rFonts w:ascii="Times New Roman" w:hAnsi="Times New Roman" w:eastAsia="黑体" w:cs="Times New Roman"/>
          <w:sz w:val="24"/>
          <w:szCs w:val="24"/>
        </w:rPr>
        <w:t>Evaluation Index</w:t>
      </w:r>
      <w:bookmarkEnd w:id="13"/>
      <w:r>
        <w:rPr>
          <w:rFonts w:ascii="Times New Roman" w:hAnsi="Times New Roman" w:eastAsia="黑体" w:cs="Times New Roman"/>
          <w:sz w:val="24"/>
          <w:szCs w:val="24"/>
        </w:rPr>
        <w:t xml:space="preserve"> </w:t>
      </w:r>
    </w:p>
    <w:bookmarkEnd w:id="12"/>
    <w:p>
      <w:pPr>
        <w:pStyle w:val="6"/>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1</w:t>
      </w:r>
      <w:r>
        <w:rPr>
          <w:rFonts w:ascii="Times New Roman" w:hAnsi="Times New Roman" w:eastAsia="黑体" w:cs="Times New Roman"/>
          <w:color w:val="000000" w:themeColor="text1"/>
          <w:sz w:val="24"/>
          <w:szCs w:val="24"/>
          <w14:textFill>
            <w14:solidFill>
              <w14:schemeClr w14:val="tx1"/>
            </w14:solidFill>
          </w14:textFill>
        </w:rPr>
        <w:t xml:space="preserve"> Contamination factor</w:t>
      </w:r>
    </w:p>
    <w:p>
      <w:pPr>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Contamination factor (CF) was proposed by Hakanson </w:t>
      </w:r>
      <w:r>
        <w:rPr>
          <w:rFonts w:ascii="Times New Roman" w:hAnsi="Times New Roman" w:cs="Times New Roman"/>
          <w:color w:val="0000FF"/>
          <w:sz w:val="24"/>
          <w:szCs w:val="24"/>
        </w:rPr>
        <w:fldChar w:fldCharType="begin">
          <w:fldData xml:space="preserve">PEVuZE5vdGU+PENpdGU+PEF1dGhvcj5SZWhtYW48L0F1dGhvcj48WWVhcj4yMDE4PC9ZZWFyPjxS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</w:fldData>
        </w:fldChar>
      </w:r>
      <w:r>
        <w:rPr>
          <w:rFonts w:ascii="Times New Roman" w:hAnsi="Times New Roman" w:cs="Times New Roman"/>
          <w:color w:val="0000FF"/>
          <w:sz w:val="24"/>
          <w:szCs w:val="24"/>
        </w:rPr>
        <w:instrText xml:space="preserve"> ADDIN EN.CITE </w:instrText>
      </w:r>
      <w:r>
        <w:rPr>
          <w:rFonts w:ascii="Times New Roman" w:hAnsi="Times New Roman" w:cs="Times New Roman"/>
          <w:color w:val="0000FF"/>
          <w:sz w:val="24"/>
          <w:szCs w:val="24"/>
        </w:rPr>
        <w:fldChar w:fldCharType="begin">
          <w:fldData xml:space="preserve">PEVuZE5vdGU+PENpdGU+PEF1dGhvcj5SZWhtYW48L0F1dGhvcj48WWVhcj4yMDE4PC9ZZWFyPjxS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</w:fldData>
        </w:fldChar>
      </w:r>
      <w:r>
        <w:rPr>
          <w:rFonts w:ascii="Times New Roman" w:hAnsi="Times New Roman" w:cs="Times New Roman"/>
          <w:color w:val="0000FF"/>
          <w:sz w:val="24"/>
          <w:szCs w:val="24"/>
        </w:rPr>
        <w:instrText xml:space="preserve"> ADDIN EN.CITE.DATA </w:instrText>
      </w:r>
      <w:r>
        <w:rPr>
          <w:rFonts w:ascii="Times New Roman" w:hAnsi="Times New Roman" w:cs="Times New Roman"/>
          <w:color w:val="0000FF"/>
          <w:sz w:val="24"/>
          <w:szCs w:val="24"/>
        </w:rPr>
        <w:fldChar w:fldCharType="end"/>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t>(Hakanson, 1980; Rehman, et al., 2018)</w:t>
      </w:r>
      <w:r>
        <w:rPr>
          <w:rFonts w:ascii="Times New Roman" w:hAnsi="Times New Roman" w:cs="Times New Roman"/>
          <w:color w:val="0000FF"/>
          <w:sz w:val="24"/>
          <w:szCs w:val="24"/>
        </w:rPr>
        <w:fldChar w:fldCharType="end"/>
      </w:r>
      <w:r>
        <w:rPr>
          <w:rFonts w:ascii="Times New Roman" w:hAnsi="Times New Roman" w:cs="Times New Roman"/>
          <w:color w:val="000000" w:themeColor="text1"/>
          <w:sz w:val="24"/>
          <w:szCs w:val="24"/>
          <w14:textFill>
            <w14:solidFill>
              <w14:schemeClr w14:val="tx1"/>
            </w14:solidFill>
          </w14:textFill>
        </w:rPr>
        <w:t>. This is the ratio of the concentration of a specific metal(loid) in the soil to its background value. According to the value of the pollution index, the pollution types are classified into: CF &lt; 1 (low contamination), 1 &lt; CF &lt; 3 (moderate contamination), 3 &lt; CF &lt; 6 (considerable contamination) and CF &gt; 6 (very high contamination). The calculation formula is as follows:</w:t>
      </w:r>
    </w:p>
    <w:p>
      <w:pPr>
        <w:tabs>
          <w:tab w:val="left" w:pos="6804"/>
        </w:tabs>
        <w:ind w:right="-44" w:rightChars="-21" w:firstLine="480" w:firstLineChars="200"/>
        <w:jc w:val="center"/>
        <w:rPr>
          <w:rFonts w:ascii="Times New Roman" w:hAnsi="Times New Roman" w:cs="Times New Roman"/>
          <w:sz w:val="24"/>
          <w:szCs w:val="24"/>
        </w:rPr>
      </w:pPr>
      <m:oMath>
        <m:r>
          <m:rPr>
            <m:sty m:val="p"/>
          </m:rPr>
          <w:rPr>
            <w:rFonts w:ascii="Cambria Math" w:hAnsi="Cambria Math" w:cs="Times New Roman"/>
            <w:sz w:val="24"/>
            <w:szCs w:val="24"/>
          </w:rPr>
          <m:t>CF=</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m:rPr/>
                  <w:rPr>
                    <w:rFonts w:ascii="Cambria Math" w:hAnsi="Cambria Math" w:cs="Times New Roman"/>
                    <w:sz w:val="24"/>
                    <w:szCs w:val="24"/>
                  </w:rPr>
                  <m:t>C</m:t>
                </m:r>
                <m:ctrlPr>
                  <w:rPr>
                    <w:rFonts w:ascii="Cambria Math" w:hAnsi="Cambria Math" w:cs="Times New Roman"/>
                    <w:i/>
                    <w:sz w:val="24"/>
                    <w:szCs w:val="24"/>
                  </w:rPr>
                </m:ctrlPr>
              </m:e>
              <m:sub>
                <m:r>
                  <m:rPr/>
                  <w:rPr>
                    <w:rFonts w:ascii="Cambria Math" w:hAnsi="Cambria Math" w:cs="Times New Roman"/>
                    <w:sz w:val="24"/>
                    <w:szCs w:val="24"/>
                  </w:rPr>
                  <m:t>(metal(loid))</m:t>
                </m:r>
                <m:ctrlPr>
                  <w:rPr>
                    <w:rFonts w:ascii="Cambria Math" w:hAnsi="Cambria Math" w:cs="Times New Roman"/>
                    <w:i/>
                    <w:sz w:val="24"/>
                    <w:szCs w:val="24"/>
                  </w:rPr>
                </m:ctrlPr>
              </m:sub>
            </m:sSub>
            <m:ctrlPr>
              <w:rPr>
                <w:rFonts w:ascii="Cambria Math" w:hAnsi="Cambria Math" w:cs="Times New Roman"/>
                <w:sz w:val="24"/>
                <w:szCs w:val="24"/>
              </w:rPr>
            </m:ctrlPr>
          </m:num>
          <m:den>
            <m:sSub>
              <m:sSubPr>
                <m:ctrlPr>
                  <w:rPr>
                    <w:rFonts w:ascii="Cambria Math" w:hAnsi="Cambria Math" w:cs="Times New Roman"/>
                    <w:i/>
                    <w:sz w:val="24"/>
                    <w:szCs w:val="24"/>
                  </w:rPr>
                </m:ctrlPr>
              </m:sSubPr>
              <m:e>
                <m:r>
                  <m:rPr/>
                  <w:rPr>
                    <w:rFonts w:ascii="Cambria Math" w:hAnsi="Cambria Math" w:cs="Times New Roman"/>
                    <w:sz w:val="24"/>
                    <w:szCs w:val="24"/>
                  </w:rPr>
                  <m:t>C</m:t>
                </m:r>
                <m:ctrlPr>
                  <w:rPr>
                    <w:rFonts w:ascii="Cambria Math" w:hAnsi="Cambria Math" w:cs="Times New Roman"/>
                    <w:i/>
                    <w:sz w:val="24"/>
                    <w:szCs w:val="24"/>
                  </w:rPr>
                </m:ctrlPr>
              </m:e>
              <m:sub>
                <m:r>
                  <m:rPr/>
                  <w:rPr>
                    <w:rFonts w:ascii="Cambria Math" w:hAnsi="Cambria Math" w:cs="Times New Roman"/>
                    <w:sz w:val="24"/>
                    <w:szCs w:val="24"/>
                  </w:rPr>
                  <m:t>(bacground)</m:t>
                </m:r>
                <m:ctrlPr>
                  <w:rPr>
                    <w:rFonts w:ascii="Cambria Math" w:hAnsi="Cambria Math" w:cs="Times New Roman"/>
                    <w:i/>
                    <w:sz w:val="24"/>
                    <w:szCs w:val="24"/>
                  </w:rPr>
                </m:ctrlPr>
              </m:sub>
            </m:sSub>
            <m:ctrlPr>
              <w:rPr>
                <w:rFonts w:ascii="Cambria Math" w:hAnsi="Cambria Math" w:cs="Times New Roman"/>
                <w:sz w:val="24"/>
                <w:szCs w:val="24"/>
              </w:rPr>
            </m:ctrlPr>
          </m:den>
        </m:f>
      </m:oMath>
      <w:r>
        <w:rPr>
          <w:rFonts w:ascii="Times New Roman" w:hAnsi="Times New Roman" w:cs="Times New Roman"/>
          <w:sz w:val="24"/>
          <w:szCs w:val="24"/>
        </w:rPr>
        <w:t xml:space="preserve">                                              </w:t>
      </w:r>
      <w:r>
        <w:rPr>
          <w:rFonts w:ascii="Times New Roman" w:hAnsi="Times New Roman" w:cs="Times New Roman"/>
          <w:color w:val="0000FF"/>
          <w:sz w:val="24"/>
          <w:szCs w:val="24"/>
        </w:rPr>
        <w:t>（1）</w:t>
      </w:r>
    </w:p>
    <w:p>
      <w:pPr>
        <w:pStyle w:val="6"/>
        <w:rPr>
          <w:rFonts w:ascii="Times New Roman" w:hAnsi="Times New Roman" w:eastAsia="黑体" w:cs="Times New Roman"/>
          <w:sz w:val="24"/>
          <w:szCs w:val="24"/>
        </w:rPr>
      </w:pPr>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.2 Geo-accumulation index</w:t>
      </w:r>
    </w:p>
    <w:p>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According to Muller </w:t>
      </w:r>
      <w:r>
        <w:rPr>
          <w:rFonts w:ascii="Times New Roman" w:hAnsi="Times New Roman" w:eastAsia="宋体" w:cs="Times New Roman"/>
          <w:color w:val="0000FF"/>
          <w:sz w:val="24"/>
          <w:szCs w:val="24"/>
        </w:rPr>
        <w:fldChar w:fldCharType="begin">
          <w:fldData xml:space="preserve">PEVuZE5vdGU+PENpdGU+PEF1dGhvcj5SZWhtYW48L0F1dGhvcj48WWVhcj4yMDE4PC9ZZWFyPjxS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PEVuZE5vdGU+PENpdGU+PEF1dGhvcj5SZWhtYW48L0F1dGhvcj48WWVhcj4yMDE4PC9ZZWFyPjxS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(Rehman, et al., 2018)</w:t>
      </w:r>
      <w:r>
        <w:rPr>
          <w:rFonts w:ascii="Times New Roman" w:hAnsi="Times New Roman" w:eastAsia="宋体" w:cs="Times New Roman"/>
          <w:color w:val="0000FF"/>
          <w:sz w:val="24"/>
          <w:szCs w:val="24"/>
        </w:rPr>
        <w:fldChar w:fldCharType="end"/>
      </w:r>
      <w:r>
        <w:rPr>
          <w:rFonts w:ascii="Times New Roman" w:hAnsi="Times New Roman" w:eastAsia="宋体" w:cs="Times New Roman"/>
          <w:sz w:val="24"/>
          <w:szCs w:val="24"/>
        </w:rPr>
        <w:t xml:space="preserve"> </w:t>
      </w:r>
      <w:bookmarkStart w:id="14" w:name="_Hlk91516280"/>
      <w:r>
        <w:rPr>
          <w:rFonts w:ascii="Times New Roman" w:hAnsi="Times New Roman" w:eastAsia="宋体" w:cs="Times New Roman"/>
          <w:sz w:val="24"/>
          <w:szCs w:val="24"/>
        </w:rPr>
        <w:t>the index of geo-accumulation (Igeo)</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can be calculated by the following E</w:t>
      </w:r>
      <w:r>
        <w:rPr>
          <w:rFonts w:hint="eastAsia" w:ascii="Times New Roman" w:hAnsi="Times New Roman" w:eastAsia="宋体" w:cs="Times New Roman"/>
          <w:sz w:val="24"/>
          <w:szCs w:val="24"/>
        </w:rPr>
        <w:t>q</w:t>
      </w:r>
      <w:r>
        <w:rPr>
          <w:rFonts w:ascii="Times New Roman" w:hAnsi="Times New Roman" w:eastAsia="宋体" w:cs="Times New Roman"/>
          <w:sz w:val="24"/>
          <w:szCs w:val="24"/>
        </w:rPr>
        <w:t>：</w:t>
      </w:r>
    </w:p>
    <w:bookmarkEnd w:id="14"/>
    <w:p>
      <w:pPr>
        <w:ind w:firstLine="480" w:firstLineChars="200"/>
        <w:jc w:val="center"/>
        <w:rPr>
          <w:rFonts w:ascii="Times New Roman" w:hAnsi="Times New Roman" w:eastAsia="宋体" w:cs="Times New Roman"/>
          <w:sz w:val="24"/>
          <w:szCs w:val="24"/>
        </w:rPr>
      </w:pPr>
      <m:oMath>
        <m:r>
          <m:rPr>
            <m:sty m:val="p"/>
          </m:rPr>
          <w:rPr>
            <w:rFonts w:ascii="Cambria Math" w:hAnsi="Cambria Math" w:eastAsia="宋体" w:cs="Times New Roman"/>
            <w:sz w:val="24"/>
            <w:szCs w:val="24"/>
          </w:rPr>
          <m:t>Igeo=</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log</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2</m:t>
            </m:r>
            <m:ctrlPr>
              <w:rPr>
                <w:rFonts w:ascii="Cambria Math" w:hAnsi="Cambria Math" w:eastAsia="宋体" w:cs="Times New Roman"/>
                <w:sz w:val="24"/>
                <w:szCs w:val="24"/>
              </w:rPr>
            </m:ctrlPr>
          </m:sub>
        </m:sSub>
        <m:r>
          <m:rPr>
            <m:sty m:val="p"/>
          </m:rPr>
          <w:rPr>
            <w:rFonts w:ascii="Cambria Math" w:hAnsi="Cambria Math"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C</m:t>
                </m:r>
                <m:ctrlPr>
                  <w:rPr>
                    <w:rFonts w:ascii="Cambria Math" w:hAnsi="Cambria Math" w:eastAsia="宋体" w:cs="Times New Roman"/>
                    <w:sz w:val="24"/>
                    <w:szCs w:val="24"/>
                  </w:rPr>
                </m:ctrlPr>
              </m:e>
              <m:sub>
                <m:r>
                  <m:rPr/>
                  <w:rPr>
                    <w:rFonts w:ascii="Cambria Math" w:hAnsi="Cambria Math" w:eastAsia="宋体" w:cs="Times New Roman"/>
                    <w:sz w:val="24"/>
                    <w:szCs w:val="24"/>
                  </w:rPr>
                  <m:t>n</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Fe</m:t>
                </m:r>
                <m:ctrlPr>
                  <w:rPr>
                    <w:rFonts w:ascii="Cambria Math" w:hAnsi="Cambria Math" w:eastAsia="宋体" w:cs="Times New Roman"/>
                    <w:i/>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m:sty m:val="p"/>
                  </m:rPr>
                  <w:rPr>
                    <w:rFonts w:ascii="Cambria Math" w:hAnsi="Cambria Math" w:eastAsia="宋体" w:cs="Times New Roman"/>
                    <w:sz w:val="24"/>
                    <w:szCs w:val="24"/>
                  </w:rPr>
                  <m:t>1.5∗</m:t>
                </m:r>
                <m:r>
                  <m:rPr/>
                  <w:rPr>
                    <w:rFonts w:ascii="Cambria Math" w:hAnsi="Cambria Math" w:eastAsia="宋体" w:cs="Times New Roman"/>
                    <w:sz w:val="24"/>
                    <w:szCs w:val="24"/>
                  </w:rPr>
                  <m:t>B</m:t>
                </m:r>
                <m:ctrlPr>
                  <w:rPr>
                    <w:rFonts w:ascii="Cambria Math" w:hAnsi="Cambria Math" w:eastAsia="宋体" w:cs="Times New Roman"/>
                    <w:sz w:val="24"/>
                    <w:szCs w:val="24"/>
                  </w:rPr>
                </m:ctrlPr>
              </m:e>
              <m:sub>
                <m:r>
                  <m:rPr/>
                  <w:rPr>
                    <w:rFonts w:ascii="Cambria Math" w:hAnsi="Cambria Math" w:eastAsia="宋体" w:cs="Times New Roman"/>
                    <w:sz w:val="24"/>
                    <w:szCs w:val="24"/>
                  </w:rPr>
                  <m:t>n</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Fe</m:t>
                </m:r>
                <m:ctrlPr>
                  <w:rPr>
                    <w:rFonts w:ascii="Cambria Math" w:hAnsi="Cambria Math" w:eastAsia="宋体" w:cs="Times New Roman"/>
                    <w:i/>
                    <w:sz w:val="24"/>
                    <w:szCs w:val="24"/>
                  </w:rPr>
                </m:ctrlPr>
              </m:sub>
            </m:sSub>
            <m:ctrlPr>
              <w:rPr>
                <w:rFonts w:ascii="Cambria Math" w:hAnsi="Cambria Math" w:eastAsia="宋体" w:cs="Times New Roman"/>
                <w:sz w:val="24"/>
                <w:szCs w:val="24"/>
              </w:rPr>
            </m:ctrlPr>
          </m:den>
        </m:f>
        <m:r>
          <m:rPr>
            <m:sty m:val="p"/>
          </m:rPr>
          <w:rPr>
            <w:rFonts w:ascii="Cambria Math" w:hAnsi="Cambria Math" w:eastAsia="宋体" w:cs="Times New Roman"/>
            <w:sz w:val="24"/>
            <w:szCs w:val="24"/>
          </w:rPr>
          <m:t>)</m:t>
        </m:r>
      </m:oMath>
      <w:r>
        <w:rPr>
          <w:rFonts w:ascii="Times New Roman" w:hAnsi="Times New Roman" w:eastAsia="宋体" w:cs="Times New Roman"/>
          <w:sz w:val="24"/>
          <w:szCs w:val="24"/>
        </w:rPr>
        <w:t xml:space="preserve">                                     </w:t>
      </w:r>
      <w:r>
        <w:rPr>
          <w:rFonts w:ascii="Times New Roman" w:hAnsi="Times New Roman" w:eastAsia="宋体" w:cs="Times New Roman"/>
          <w:color w:val="0000FF"/>
          <w:sz w:val="24"/>
          <w:szCs w:val="24"/>
        </w:rPr>
        <w:t>（2）</w:t>
      </w:r>
    </w:p>
    <w:p>
      <w:pPr>
        <w:rPr>
          <w:rFonts w:ascii="Times New Roman" w:hAnsi="Times New Roman" w:eastAsia="等线" w:cs="Times New Roman"/>
          <w:sz w:val="24"/>
          <w:szCs w:val="24"/>
          <w:lang w:val="en-US"/>
        </w:rPr>
      </w:pPr>
      <w:r>
        <w:rPr>
          <w:rFonts w:ascii="Times New Roman" w:hAnsi="Times New Roman" w:eastAsia="宋体" w:cs="Times New Roman"/>
          <w:sz w:val="24"/>
          <w:szCs w:val="24"/>
        </w:rPr>
        <w:t xml:space="preserve">where, </w:t>
      </w:r>
      <m:oMath>
        <m:sSub>
          <m:sSubPr>
            <m:ctrlPr>
              <w:rPr>
                <w:rFonts w:ascii="Cambria Math" w:hAnsi="Cambria Math" w:eastAsia="宋体" w:cs="Times New Roman"/>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sz w:val="24"/>
                <w:szCs w:val="24"/>
              </w:rPr>
            </m:ctrlPr>
          </m:e>
          <m:sub>
            <m:r>
              <m:rPr/>
              <w:rPr>
                <w:rFonts w:ascii="Cambria Math" w:hAnsi="Cambria Math" w:eastAsia="宋体" w:cs="Times New Roman"/>
                <w:sz w:val="24"/>
                <w:szCs w:val="24"/>
              </w:rPr>
              <m:t>n</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and </w:t>
      </w:r>
      <m:oMath>
        <m:sSub>
          <m:sSubPr>
            <m:ctrlPr>
              <w:rPr>
                <w:rFonts w:ascii="Cambria Math" w:hAnsi="Cambria Math" w:eastAsia="宋体" w:cs="Times New Roman"/>
                <w:sz w:val="24"/>
                <w:szCs w:val="24"/>
              </w:rPr>
            </m:ctrlPr>
          </m:sSubPr>
          <m:e>
            <m:r>
              <m:rPr>
                <m:sty m:val="p"/>
              </m:rPr>
              <w:rPr>
                <w:rFonts w:ascii="Cambria Math" w:hAnsi="Cambria Math" w:eastAsia="宋体" w:cs="Times New Roman"/>
                <w:sz w:val="24"/>
                <w:szCs w:val="24"/>
              </w:rPr>
              <m:t>B</m:t>
            </m:r>
            <m:ctrlPr>
              <w:rPr>
                <w:rFonts w:ascii="Cambria Math" w:hAnsi="Cambria Math" w:eastAsia="宋体" w:cs="Times New Roman"/>
                <w:sz w:val="24"/>
                <w:szCs w:val="24"/>
              </w:rPr>
            </m:ctrlPr>
          </m:e>
          <m:sub>
            <m:r>
              <m:rPr/>
              <w:rPr>
                <w:rFonts w:ascii="Cambria Math" w:hAnsi="Cambria Math" w:eastAsia="宋体" w:cs="Times New Roman"/>
                <w:sz w:val="24"/>
                <w:szCs w:val="24"/>
              </w:rPr>
              <m:t>n</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respectively represent the calculated concentration of the element and the geochemical background concentration of the</w:t>
      </w:r>
      <w:r>
        <w:rPr>
          <w:sz w:val="24"/>
          <w:szCs w:val="24"/>
        </w:rPr>
        <w:t xml:space="preserve"> </w:t>
      </w:r>
      <w:r>
        <w:rPr>
          <w:rFonts w:ascii="Times New Roman" w:hAnsi="Times New Roman" w:eastAsia="宋体" w:cs="Times New Roman"/>
          <w:sz w:val="24"/>
          <w:szCs w:val="24"/>
        </w:rPr>
        <w:t xml:space="preserve">corresponding element. Different researchers have used various conservative elements such as aluminum (Al), silicon (Si), and iron(Fe) </w:t>
      </w:r>
      <w:r>
        <w:rPr>
          <w:rFonts w:ascii="Times New Roman" w:hAnsi="Times New Roman" w:eastAsia="宋体" w:cs="Times New Roman"/>
          <w:color w:val="0000FF"/>
          <w:sz w:val="24"/>
          <w:szCs w:val="24"/>
        </w:rPr>
        <w:fldChar w:fldCharType="begin"/>
      </w:r>
      <w:r>
        <w:rPr>
          <w:rFonts w:ascii="Times New Roman" w:hAnsi="Times New Roman" w:eastAsia="宋体" w:cs="Times New Roman"/>
          <w:color w:val="0000FF"/>
          <w:sz w:val="24"/>
          <w:szCs w:val="24"/>
        </w:rPr>
        <w:instrText xml:space="preserve"> ADDIN EN.CITE &lt;EndNote&gt;&lt;Cite&gt;&lt;Author&gt;Nazeer&lt;/Author&gt;&lt;Year&gt;2014&lt;/Year&gt;&lt;RecNum&gt;551&lt;/RecNum&gt;&lt;DisplayText&gt;(Nazeer, Hashmi, &amp;amp; Malik, 2014)&lt;/DisplayText&gt;&lt;record&gt;&lt;rec-number&gt;551&lt;/rec-number&gt;&lt;foreign-keys&gt;&lt;key app="EN" db-id="r29rsf9t4052rsezxelvsv2z5efxzzf5r95r" timestamp="1640926188"&gt;551&lt;/key&gt;&lt;key app="ENWeb" db-id=""&gt;0&lt;/key&gt;&lt;/foreign-keys&gt;&lt;ref-type name="Journal Article"&gt;17&lt;/ref-type&gt;&lt;contributors&gt;&lt;authors&gt;&lt;author&gt;Nazeer, Summiya&lt;/author&gt;&lt;author&gt;Hashmi, Muhammad Zaffar&lt;/author&gt;&lt;author&gt;Malik, Riffat Naseem&lt;/author&gt;&lt;/authors&gt;&lt;/contributors&gt;&lt;titles&gt;&lt;title&gt;Heavy metals distribution, risk assessment and water quality characterization by water quality index of the River Soan, Pakistan&lt;/title&gt;&lt;secondary-title&gt;Ecological Indicators&lt;/secondary-title&gt;&lt;/titles&gt;&lt;periodical&gt;&lt;full-title&gt;Ecological Indicators&lt;/full-title&gt;&lt;/periodical&gt;&lt;pages&gt;262-270&lt;/pages&gt;&lt;volume&gt;43&lt;/volume&gt;&lt;section&gt;262&lt;/section&gt;&lt;dates&gt;&lt;year&gt;2014&lt;/year&gt;&lt;/dates&gt;&lt;isbn&gt;1470160X&lt;/isbn&gt;&lt;urls&gt;&lt;/urls&gt;&lt;electronic-resource-num&gt;10.1016/j.ecolind.2014.03.010&lt;/electronic-resource-num&gt;&lt;/record&gt;&lt;/Cite&gt;&lt;/EndNote&gt;</w:instrText>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(Nazeer, Hashmi, &amp; Malik, 2014)</w:t>
      </w:r>
      <w:r>
        <w:rPr>
          <w:rFonts w:ascii="Times New Roman" w:hAnsi="Times New Roman" w:eastAsia="宋体" w:cs="Times New Roman"/>
          <w:color w:val="0000FF"/>
          <w:sz w:val="24"/>
          <w:szCs w:val="24"/>
        </w:rPr>
        <w:fldChar w:fldCharType="end"/>
      </w:r>
      <w:r>
        <w:rPr>
          <w:rFonts w:ascii="Times New Roman" w:hAnsi="Times New Roman" w:eastAsia="宋体" w:cs="Times New Roman"/>
          <w:sz w:val="24"/>
          <w:szCs w:val="24"/>
        </w:rPr>
        <w:t xml:space="preserve">. However, here, in order to normalize the metal(loid)s, Fe was used as a reference element. </w:t>
      </w:r>
      <w:r>
        <w:rPr>
          <w:rFonts w:ascii="Times New Roman" w:hAnsi="Times New Roman" w:eastAsia="宋体" w:cs="Times New Roman"/>
          <w:color w:val="000000"/>
          <w:sz w:val="24"/>
          <w:szCs w:val="24"/>
          <w:lang w:val="en-US"/>
        </w:rPr>
        <w:t xml:space="preserve">According to the index the pollution levels were divided into seven </w:t>
      </w:r>
      <w:r>
        <w:rPr>
          <w:rFonts w:hint="eastAsia" w:ascii="Times New Roman" w:hAnsi="Times New Roman" w:eastAsia="宋体" w:cs="Times New Roman"/>
          <w:color w:val="000000"/>
          <w:sz w:val="24"/>
          <w:szCs w:val="24"/>
          <w:lang w:val="en-US"/>
        </w:rPr>
        <w:t xml:space="preserve">grades: </w:t>
      </w:r>
      <w:r>
        <w:rPr>
          <w:rFonts w:ascii="Times New Roman" w:hAnsi="Times New Roman" w:eastAsia="宋体" w:cs="Times New Roman"/>
          <w:sz w:val="24"/>
          <w:szCs w:val="24"/>
          <w:lang w:val="en-US"/>
        </w:rPr>
        <w:t>Igeo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0</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color w:val="000000"/>
          <w:sz w:val="24"/>
          <w:szCs w:val="24"/>
          <w:lang w:val="en-US"/>
        </w:rPr>
        <w:t>Unpolluted</w:t>
      </w:r>
      <w:r>
        <w:rPr>
          <w:rFonts w:hint="eastAsia" w:ascii="Times New Roman" w:hAnsi="Times New Roman" w:eastAsia="宋体" w:cs="Times New Roman"/>
          <w:sz w:val="24"/>
          <w:szCs w:val="24"/>
          <w:lang w:val="en-US"/>
        </w:rPr>
        <w:t>)</w:t>
      </w:r>
      <w:r>
        <w:rPr>
          <w:rFonts w:hint="eastAsia" w:ascii="Times New Roman" w:hAnsi="Times New Roman" w:eastAsia="宋体" w:cs="Times New Roman"/>
          <w:color w:val="000000"/>
          <w:sz w:val="24"/>
          <w:szCs w:val="24"/>
          <w:lang w:val="en-US"/>
        </w:rPr>
        <w:t xml:space="preserve">, </w:t>
      </w:r>
      <w:r>
        <w:rPr>
          <w:rFonts w:ascii="Times New Roman" w:hAnsi="Times New Roman" w:eastAsia="宋体" w:cs="Times New Roman"/>
          <w:sz w:val="24"/>
          <w:szCs w:val="24"/>
          <w:lang w:val="en-US"/>
        </w:rPr>
        <w:t xml:space="preserve">0 </w:t>
      </w:r>
      <w:r>
        <w:rPr>
          <w:rFonts w:hint="eastAsia" w:ascii="Times New Roman" w:hAnsi="Times New Roman" w:eastAsia="宋体" w:cs="Times New Roman"/>
          <w:sz w:val="24"/>
          <w:szCs w:val="24"/>
          <w:lang w:val="en-US"/>
        </w:rPr>
        <w:t>&lt;</w:t>
      </w:r>
      <w:r>
        <w:rPr>
          <w:rFonts w:ascii="Times New Roman" w:hAnsi="Times New Roman" w:eastAsia="宋体" w:cs="Times New Roman"/>
          <w:sz w:val="24"/>
          <w:szCs w:val="24"/>
          <w:lang w:val="en-US"/>
        </w:rPr>
        <w:t xml:space="preserve"> Igeo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1</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Unpolluted to moderately polluted</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 xml:space="preserve">1 </w:t>
      </w:r>
      <w:r>
        <w:rPr>
          <w:rFonts w:hint="eastAsia" w:ascii="Times New Roman" w:hAnsi="Times New Roman" w:eastAsia="宋体" w:cs="Times New Roman"/>
          <w:sz w:val="24"/>
          <w:szCs w:val="24"/>
          <w:lang w:val="en-US"/>
        </w:rPr>
        <w:t>&lt;</w:t>
      </w:r>
      <w:r>
        <w:rPr>
          <w:rFonts w:ascii="Times New Roman" w:hAnsi="Times New Roman" w:eastAsia="宋体" w:cs="Times New Roman"/>
          <w:sz w:val="24"/>
          <w:szCs w:val="24"/>
          <w:lang w:val="en-US"/>
        </w:rPr>
        <w:t xml:space="preserve"> Igeo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 xml:space="preserve">2 </w:t>
      </w:r>
      <w:r>
        <w:rPr>
          <w:rFonts w:hint="eastAsia" w:ascii="Times New Roman" w:hAnsi="Times New Roman" w:eastAsia="宋体" w:cs="Times New Roman"/>
          <w:sz w:val="24"/>
          <w:szCs w:val="24"/>
          <w:lang w:val="en-US"/>
        </w:rPr>
        <w:t>(</w:t>
      </w:r>
      <w:r>
        <w:rPr>
          <w:rFonts w:ascii="Times New Roman" w:hAnsi="Times New Roman" w:eastAsia="宋体" w:cs="Times New Roman"/>
          <w:sz w:val="24"/>
          <w:szCs w:val="24"/>
          <w:lang w:val="en-US"/>
        </w:rPr>
        <w:t>Moderately polluted</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2 &lt; Igeo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 xml:space="preserve">3 </w:t>
      </w:r>
      <w:r>
        <w:rPr>
          <w:rFonts w:hint="eastAsia" w:ascii="Times New Roman" w:hAnsi="Times New Roman" w:eastAsia="宋体" w:cs="Times New Roman"/>
          <w:sz w:val="24"/>
          <w:szCs w:val="24"/>
          <w:lang w:val="en-US"/>
        </w:rPr>
        <w:t>(</w:t>
      </w:r>
      <w:r>
        <w:rPr>
          <w:rFonts w:ascii="Times New Roman" w:hAnsi="Times New Roman" w:eastAsia="宋体" w:cs="Times New Roman"/>
          <w:sz w:val="24"/>
          <w:szCs w:val="24"/>
          <w:lang w:val="en-US"/>
        </w:rPr>
        <w:t>Moderately to heavily polluted</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 xml:space="preserve">3 &lt; Igeo ≤ 4 </w:t>
      </w:r>
      <w:r>
        <w:rPr>
          <w:rFonts w:hint="eastAsia" w:ascii="Times New Roman" w:hAnsi="Times New Roman" w:eastAsia="宋体" w:cs="Times New Roman"/>
          <w:sz w:val="24"/>
          <w:szCs w:val="24"/>
          <w:lang w:val="en-US"/>
        </w:rPr>
        <w:t>(</w:t>
      </w:r>
      <w:r>
        <w:rPr>
          <w:rFonts w:ascii="Times New Roman" w:hAnsi="Times New Roman" w:eastAsia="宋体" w:cs="Times New Roman"/>
          <w:sz w:val="24"/>
          <w:szCs w:val="24"/>
          <w:lang w:val="en-US"/>
        </w:rPr>
        <w:t>Heavily polluted</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4 &lt; Igeo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 xml:space="preserve">5 </w:t>
      </w:r>
      <w:r>
        <w:rPr>
          <w:rFonts w:hint="eastAsia" w:ascii="Times New Roman" w:hAnsi="Times New Roman" w:eastAsia="宋体" w:cs="Times New Roman"/>
          <w:sz w:val="24"/>
          <w:szCs w:val="24"/>
          <w:lang w:val="en-US"/>
        </w:rPr>
        <w:t>(</w:t>
      </w:r>
      <w:r>
        <w:rPr>
          <w:rFonts w:ascii="Times New Roman" w:hAnsi="Times New Roman" w:eastAsia="宋体" w:cs="Times New Roman"/>
          <w:sz w:val="24"/>
          <w:szCs w:val="24"/>
          <w:lang w:val="en-US"/>
        </w:rPr>
        <w:t>Heavily to extremely polluted</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Igeo &gt; 5</w:t>
      </w:r>
      <w:r>
        <w:rPr>
          <w:rFonts w:hint="eastAsia" w:ascii="Times New Roman" w:hAnsi="Times New Roman" w:eastAsia="宋体" w:cs="Times New Roman"/>
          <w:sz w:val="24"/>
          <w:szCs w:val="24"/>
          <w:lang w:val="en-US"/>
        </w:rPr>
        <w:t xml:space="preserve"> (</w:t>
      </w:r>
      <w:r>
        <w:rPr>
          <w:rFonts w:ascii="Times New Roman" w:hAnsi="Times New Roman" w:eastAsia="宋体" w:cs="Times New Roman"/>
          <w:sz w:val="24"/>
          <w:szCs w:val="24"/>
          <w:lang w:val="en-US"/>
        </w:rPr>
        <w:t>Extremely polluted</w:t>
      </w:r>
      <w:r>
        <w:rPr>
          <w:rFonts w:hint="eastAsia" w:ascii="Times New Roman" w:hAnsi="Times New Roman" w:eastAsia="宋体" w:cs="Times New Roman"/>
          <w:sz w:val="24"/>
          <w:szCs w:val="24"/>
          <w:lang w:val="en-US"/>
        </w:rPr>
        <w:t>)</w:t>
      </w:r>
      <w:r>
        <w:rPr>
          <w:rFonts w:ascii="Times New Roman" w:hAnsi="Times New Roman" w:eastAsia="宋体" w:cs="Times New Roman"/>
          <w:sz w:val="24"/>
          <w:szCs w:val="24"/>
        </w:rPr>
        <w:t>.</w:t>
      </w:r>
    </w:p>
    <w:p>
      <w:pPr>
        <w:pStyle w:val="6"/>
        <w:rPr>
          <w:rFonts w:ascii="Times New Roman" w:hAnsi="Times New Roman" w:eastAsia="黑体" w:cs="Times New Roman"/>
          <w:sz w:val="24"/>
          <w:szCs w:val="24"/>
        </w:rPr>
      </w:pPr>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 xml:space="preserve">.3 </w:t>
      </w:r>
      <w:bookmarkStart w:id="15" w:name="_Hlk91580582"/>
      <w:bookmarkStart w:id="16" w:name="_Hlk91591873"/>
      <w:r>
        <w:rPr>
          <w:rFonts w:ascii="Times New Roman" w:hAnsi="Times New Roman" w:eastAsia="黑体" w:cs="Times New Roman"/>
          <w:sz w:val="24"/>
          <w:szCs w:val="24"/>
        </w:rPr>
        <w:t>Agricultural Product Safety</w:t>
      </w:r>
      <w:bookmarkEnd w:id="15"/>
      <w:r>
        <w:rPr>
          <w:rFonts w:ascii="Times New Roman" w:hAnsi="Times New Roman" w:eastAsia="黑体" w:cs="Times New Roman"/>
          <w:sz w:val="24"/>
          <w:szCs w:val="24"/>
        </w:rPr>
        <w:t xml:space="preserve"> Index </w:t>
      </w:r>
      <w:bookmarkEnd w:id="16"/>
      <w:r>
        <w:rPr>
          <w:rFonts w:ascii="Times New Roman" w:hAnsi="Times New Roman" w:eastAsia="黑体" w:cs="Times New Roman"/>
          <w:sz w:val="24"/>
          <w:szCs w:val="24"/>
        </w:rPr>
        <w:t>(APSI)</w:t>
      </w:r>
    </w:p>
    <w:p>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Here, the agricultural product index (APSI) - hereinafter referred to as Index (I) - was used to evaluate the safety of regional agricultural production.</w:t>
      </w:r>
      <w:r>
        <w:rPr>
          <w:sz w:val="24"/>
          <w:szCs w:val="24"/>
        </w:rPr>
        <w:t xml:space="preserve"> </w:t>
      </w:r>
      <w:r>
        <w:rPr>
          <w:rFonts w:ascii="Times New Roman" w:hAnsi="Times New Roman" w:eastAsia="宋体" w:cs="Times New Roman"/>
          <w:sz w:val="24"/>
          <w:szCs w:val="24"/>
        </w:rPr>
        <w:t>The index can be calculated as follows Eq</w:t>
      </w:r>
      <w:r>
        <w:rPr>
          <w:rFonts w:hint="eastAsia" w:ascii="Times New Roman" w:hAnsi="Times New Roman" w:eastAsia="宋体" w:cs="Times New Roman"/>
          <w:sz w:val="24"/>
          <w:szCs w:val="24"/>
        </w:rPr>
        <w:t>:</w:t>
      </w:r>
    </w:p>
    <w:p>
      <w:pPr>
        <w:ind w:firstLine="480" w:firstLineChars="200"/>
        <w:jc w:val="center"/>
        <w:rPr>
          <w:rFonts w:ascii="Times New Roman" w:hAnsi="Times New Roman" w:eastAsia="宋体" w:cs="Times New Roman"/>
          <w:color w:val="0000FF"/>
          <w:sz w:val="24"/>
          <w:szCs w:val="24"/>
        </w:rPr>
      </w:pPr>
      <m:oMath>
        <m:r>
          <m:rPr/>
          <w:rPr>
            <w:rFonts w:ascii="Cambria Math" w:hAnsi="Cambria Math" w:eastAsia="宋体" w:cs="Times New Roman"/>
            <w:sz w:val="24"/>
            <w:szCs w:val="24"/>
          </w:rPr>
          <m:t>APS</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I</m:t>
            </m:r>
            <m:ctrlPr>
              <w:rPr>
                <w:rFonts w:ascii="Cambria Math" w:hAnsi="Cambria Math" w:eastAsia="宋体" w:cs="Times New Roman"/>
                <w:i/>
                <w:sz w:val="24"/>
                <w:szCs w:val="24"/>
              </w:rPr>
            </m:ctrlPr>
          </m:e>
          <m:sub>
            <m:r>
              <m:rPr/>
              <w:rPr>
                <w:rFonts w:ascii="Cambria Math" w:hAnsi="Cambria Math" w:eastAsia="宋体" w:cs="Times New Roman"/>
                <w:sz w:val="24"/>
                <w:szCs w:val="24"/>
              </w:rPr>
              <m:t>ij</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i</m:t>
            </m:r>
            <m:r>
              <m:rPr/>
              <w:rPr>
                <w:rFonts w:hint="eastAsia" w:ascii="Cambria Math" w:hAnsi="Cambria Math" w:eastAsia="宋体" w:cs="Times New Roman"/>
                <w:sz w:val="24"/>
                <w:szCs w:val="24"/>
              </w:rPr>
              <m:t>j</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Bij</m:t>
            </m:r>
            <m:ctrlPr>
              <w:rPr>
                <w:rFonts w:ascii="Cambria Math" w:hAnsi="Cambria Math" w:eastAsia="宋体" w:cs="Times New Roman"/>
                <w:i/>
                <w:sz w:val="24"/>
                <w:szCs w:val="24"/>
              </w:rPr>
            </m:ctrlPr>
          </m:sub>
        </m:sSub>
      </m:oMath>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color w:val="0000FF"/>
          <w:sz w:val="24"/>
          <w:szCs w:val="24"/>
        </w:rPr>
        <w:t xml:space="preserve">        </w:t>
      </w:r>
      <w:r>
        <w:rPr>
          <w:rFonts w:hint="eastAsia" w:ascii="Times New Roman" w:hAnsi="Times New Roman" w:eastAsia="宋体" w:cs="Times New Roman"/>
          <w:color w:val="0000FF"/>
          <w:sz w:val="24"/>
          <w:szCs w:val="24"/>
        </w:rPr>
        <w:t xml:space="preserve"> </w:t>
      </w:r>
      <w:r>
        <w:rPr>
          <w:rFonts w:ascii="Times New Roman" w:hAnsi="Times New Roman" w:eastAsia="宋体" w:cs="Times New Roman"/>
          <w:color w:val="0000FF"/>
          <w:sz w:val="24"/>
          <w:szCs w:val="24"/>
        </w:rPr>
        <w:t xml:space="preserve">            (3)</w:t>
      </w:r>
    </w:p>
    <w:p>
      <w:pPr>
        <w:ind w:firstLine="480" w:firstLineChars="200"/>
        <w:rPr>
          <w:rFonts w:ascii="Times New Roman" w:hAnsi="Times New Roman" w:eastAsia="宋体" w:cs="Times New Roman"/>
          <w:sz w:val="24"/>
          <w:szCs w:val="24"/>
          <w:lang w:val="en-US"/>
        </w:rPr>
      </w:pPr>
      <w:r>
        <w:rPr>
          <w:rFonts w:ascii="Times New Roman" w:hAnsi="Times New Roman" w:eastAsia="宋体" w:cs="Times New Roman"/>
          <w:sz w:val="24"/>
          <w:szCs w:val="24"/>
        </w:rPr>
        <w:t xml:space="preserve">Where </w:t>
      </w:r>
      <w:r>
        <w:rPr>
          <w:rFonts w:ascii="Times New Roman" w:hAnsi="Times New Roman" w:eastAsia="宋体" w:cs="Times New Roman"/>
          <w:i/>
          <w:iCs/>
          <w:sz w:val="24"/>
          <w:szCs w:val="24"/>
        </w:rPr>
        <w:t>j</w:t>
      </w:r>
      <w:r>
        <w:rPr>
          <w:rFonts w:ascii="Times New Roman" w:hAnsi="Times New Roman" w:eastAsia="宋体" w:cs="Times New Roman"/>
          <w:sz w:val="24"/>
          <w:szCs w:val="24"/>
        </w:rPr>
        <w:t xml:space="preserve"> is the metal(loid), </w:t>
      </w:r>
      <w:r>
        <w:rPr>
          <w:rFonts w:ascii="Times New Roman" w:hAnsi="Times New Roman" w:eastAsia="宋体" w:cs="Times New Roman"/>
          <w:i/>
          <w:iCs/>
          <w:sz w:val="24"/>
          <w:szCs w:val="24"/>
        </w:rPr>
        <w:t>i</w:t>
      </w:r>
      <w:r>
        <w:rPr>
          <w:rFonts w:ascii="Times New Roman" w:hAnsi="Times New Roman" w:eastAsia="宋体" w:cs="Times New Roman"/>
          <w:sz w:val="24"/>
          <w:szCs w:val="24"/>
        </w:rPr>
        <w:t xml:space="preserve"> represents the type of plant (</w:t>
      </w:r>
      <w:bookmarkStart w:id="17" w:name="_Hlk91517977"/>
      <w:r>
        <w:rPr>
          <w:rFonts w:ascii="Times New Roman" w:hAnsi="Times New Roman" w:eastAsia="黑体" w:cs="Times New Roman"/>
          <w:sz w:val="24"/>
          <w:szCs w:val="24"/>
        </w:rPr>
        <w:t>agricultural production</w:t>
      </w:r>
      <w:bookmarkEnd w:id="17"/>
      <w:r>
        <w:rPr>
          <w:rFonts w:ascii="Times New Roman" w:hAnsi="Times New Roman" w:eastAsia="黑体" w:cs="Times New Roman"/>
          <w:sz w:val="24"/>
          <w:szCs w:val="24"/>
        </w:rPr>
        <w:t xml:space="preserve">), </w:t>
      </w:r>
      <m:oMath>
        <m:r>
          <m:rPr/>
          <w:rPr>
            <w:rFonts w:ascii="Cambria Math" w:hAnsi="Cambria Math" w:eastAsia="宋体" w:cs="Times New Roman"/>
            <w:sz w:val="24"/>
            <w:szCs w:val="24"/>
          </w:rPr>
          <m:t>APS</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I</m:t>
            </m:r>
            <m:ctrlPr>
              <w:rPr>
                <w:rFonts w:ascii="Cambria Math" w:hAnsi="Cambria Math" w:eastAsia="宋体" w:cs="Times New Roman"/>
                <w:i/>
                <w:sz w:val="24"/>
                <w:szCs w:val="24"/>
              </w:rPr>
            </m:ctrlPr>
          </m:e>
          <m:sub>
            <m:r>
              <m:rPr/>
              <w:rPr>
                <w:rFonts w:ascii="Cambria Math" w:hAnsi="Cambria Math" w:eastAsia="宋体" w:cs="Times New Roman"/>
                <w:sz w:val="24"/>
                <w:szCs w:val="24"/>
              </w:rPr>
              <m:t>ij</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 xml:space="preserve"> represent the agricultural product safety index of the metal(loid) element </w:t>
      </w:r>
      <w:r>
        <w:rPr>
          <w:rFonts w:ascii="Times New Roman" w:hAnsi="Times New Roman" w:eastAsia="宋体" w:cs="Times New Roman"/>
          <w:i/>
          <w:iCs/>
          <w:sz w:val="24"/>
          <w:szCs w:val="24"/>
        </w:rPr>
        <w:t xml:space="preserve">j </w:t>
      </w:r>
      <w:r>
        <w:rPr>
          <w:rFonts w:ascii="Times New Roman" w:hAnsi="Times New Roman" w:eastAsia="宋体" w:cs="Times New Roman"/>
          <w:sz w:val="24"/>
          <w:szCs w:val="24"/>
        </w:rPr>
        <w:t>for plant</w:t>
      </w:r>
      <w:r>
        <w:rPr>
          <w:rFonts w:ascii="Times New Roman" w:hAnsi="Times New Roman" w:eastAsia="宋体" w:cs="Times New Roman"/>
          <w:i/>
          <w:iCs/>
          <w:sz w:val="24"/>
          <w:szCs w:val="24"/>
        </w:rPr>
        <w:t xml:space="preserve"> i</w:t>
      </w:r>
      <w:r>
        <w:rPr>
          <w:rFonts w:ascii="Times New Roman" w:hAnsi="Times New Roman" w:eastAsia="宋体" w:cs="Times New Roman"/>
          <w:sz w:val="24"/>
          <w:szCs w:val="24"/>
        </w:rPr>
        <w:t xml:space="preserve">,  </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ij</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 xml:space="preserve"> is the content value</w:t>
      </w:r>
      <w:bookmarkStart w:id="18" w:name="_Hlk91517690"/>
      <w:r>
        <w:rPr>
          <w:rFonts w:ascii="Times New Roman" w:hAnsi="Times New Roman" w:eastAsia="宋体" w:cs="Times New Roman"/>
          <w:sz w:val="24"/>
          <w:szCs w:val="24"/>
        </w:rPr>
        <w:t xml:space="preserve"> (mg kg</w:t>
      </w:r>
      <w:r>
        <w:rPr>
          <w:rFonts w:ascii="Times New Roman" w:hAnsi="Times New Roman" w:eastAsia="宋体" w:cs="Times New Roman"/>
          <w:sz w:val="24"/>
          <w:szCs w:val="24"/>
          <w:vertAlign w:val="superscript"/>
        </w:rPr>
        <w:t>-1</w:t>
      </w:r>
      <w:r>
        <w:rPr>
          <w:rFonts w:ascii="Times New Roman" w:hAnsi="Times New Roman" w:eastAsia="宋体" w:cs="Times New Roman"/>
          <w:sz w:val="24"/>
          <w:szCs w:val="24"/>
        </w:rPr>
        <w:t>)</w:t>
      </w:r>
      <w:r>
        <w:rPr>
          <w:sz w:val="24"/>
          <w:szCs w:val="24"/>
        </w:rPr>
        <w:t xml:space="preserve"> </w:t>
      </w:r>
      <w:r>
        <w:rPr>
          <w:rFonts w:ascii="Times New Roman" w:hAnsi="Times New Roman" w:eastAsia="宋体" w:cs="Times New Roman"/>
          <w:sz w:val="24"/>
          <w:szCs w:val="24"/>
        </w:rPr>
        <w:t xml:space="preserve">of the metal(loid) element </w:t>
      </w:r>
      <w:r>
        <w:rPr>
          <w:rFonts w:ascii="Times New Roman" w:hAnsi="Times New Roman" w:eastAsia="宋体" w:cs="Times New Roman"/>
          <w:i/>
          <w:iCs/>
          <w:sz w:val="24"/>
          <w:szCs w:val="24"/>
        </w:rPr>
        <w:t>j</w:t>
      </w:r>
      <w:r>
        <w:rPr>
          <w:rFonts w:ascii="Times New Roman" w:hAnsi="Times New Roman" w:eastAsia="宋体" w:cs="Times New Roman"/>
          <w:sz w:val="24"/>
          <w:szCs w:val="24"/>
        </w:rPr>
        <w:t xml:space="preserve"> in the plant </w:t>
      </w:r>
      <w:r>
        <w:rPr>
          <w:rFonts w:ascii="Times New Roman" w:hAnsi="Times New Roman" w:eastAsia="宋体" w:cs="Times New Roman"/>
          <w:i/>
          <w:iCs/>
          <w:sz w:val="24"/>
          <w:szCs w:val="24"/>
        </w:rPr>
        <w:t>i</w:t>
      </w:r>
      <w:bookmarkEnd w:id="18"/>
      <w:r>
        <w:rPr>
          <w:rFonts w:ascii="Times New Roman" w:hAnsi="Times New Roman" w:eastAsia="宋体" w:cs="Times New Roman"/>
          <w:sz w:val="24"/>
          <w:szCs w:val="24"/>
        </w:rPr>
        <w:t xml:space="preserve"> and </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bij</m:t>
            </m:r>
            <m:ctrlPr>
              <w:rPr>
                <w:rFonts w:ascii="Cambria Math" w:hAnsi="Cambria Math" w:eastAsia="宋体" w:cs="Times New Roman"/>
                <w:i/>
                <w:sz w:val="24"/>
                <w:szCs w:val="24"/>
              </w:rPr>
            </m:ctrlPr>
          </m:sub>
        </m:sSub>
      </m:oMath>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is the</w:t>
      </w:r>
      <w:r>
        <w:rPr>
          <w:sz w:val="24"/>
          <w:szCs w:val="24"/>
        </w:rPr>
        <w:t xml:space="preserve"> </w:t>
      </w:r>
      <w:r>
        <w:rPr>
          <w:rFonts w:ascii="Times New Roman" w:hAnsi="Times New Roman" w:eastAsia="宋体" w:cs="Times New Roman"/>
          <w:sz w:val="24"/>
          <w:szCs w:val="24"/>
        </w:rPr>
        <w:t>contaminant</w:t>
      </w:r>
      <w:r>
        <w:rPr>
          <w:sz w:val="24"/>
          <w:szCs w:val="24"/>
        </w:rPr>
        <w:t xml:space="preserve"> </w:t>
      </w:r>
      <w:r>
        <w:rPr>
          <w:rFonts w:ascii="Times New Roman" w:hAnsi="Times New Roman" w:eastAsia="宋体" w:cs="Times New Roman"/>
          <w:sz w:val="24"/>
          <w:szCs w:val="24"/>
        </w:rPr>
        <w:t>limit value (mg kg</w:t>
      </w:r>
      <w:r>
        <w:rPr>
          <w:rFonts w:ascii="Times New Roman" w:hAnsi="Times New Roman" w:eastAsia="宋体" w:cs="Times New Roman"/>
          <w:sz w:val="24"/>
          <w:szCs w:val="24"/>
          <w:vertAlign w:val="superscript"/>
        </w:rPr>
        <w:t>-1</w:t>
      </w:r>
      <w:r>
        <w:rPr>
          <w:rFonts w:ascii="Times New Roman" w:hAnsi="Times New Roman" w:eastAsia="宋体" w:cs="Times New Roman"/>
          <w:sz w:val="24"/>
          <w:szCs w:val="24"/>
        </w:rPr>
        <w:t>)</w:t>
      </w:r>
      <w:r>
        <w:rPr>
          <w:sz w:val="24"/>
          <w:szCs w:val="24"/>
        </w:rPr>
        <w:t xml:space="preserve"> </w:t>
      </w:r>
      <w:r>
        <w:rPr>
          <w:rFonts w:ascii="Times New Roman" w:hAnsi="Times New Roman" w:eastAsia="宋体" w:cs="Times New Roman"/>
          <w:sz w:val="24"/>
          <w:szCs w:val="24"/>
        </w:rPr>
        <w:t xml:space="preserve">of the metal(loid) element </w:t>
      </w:r>
      <w:r>
        <w:rPr>
          <w:rFonts w:ascii="Times New Roman" w:hAnsi="Times New Roman" w:eastAsia="宋体" w:cs="Times New Roman"/>
          <w:i/>
          <w:iCs/>
          <w:sz w:val="24"/>
          <w:szCs w:val="24"/>
        </w:rPr>
        <w:t>j</w:t>
      </w:r>
      <w:r>
        <w:rPr>
          <w:rFonts w:ascii="Times New Roman" w:hAnsi="Times New Roman" w:eastAsia="宋体" w:cs="Times New Roman"/>
          <w:sz w:val="24"/>
          <w:szCs w:val="24"/>
        </w:rPr>
        <w:t xml:space="preserve"> in </w:t>
      </w:r>
      <w:r>
        <w:rPr>
          <w:rFonts w:ascii="Times New Roman" w:hAnsi="Times New Roman" w:eastAsia="黑体" w:cs="Times New Roman"/>
          <w:sz w:val="24"/>
          <w:szCs w:val="24"/>
        </w:rPr>
        <w:t>agricultural production</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i</w:t>
      </w:r>
      <w:r>
        <w:rPr>
          <w:rFonts w:ascii="Times New Roman" w:hAnsi="Times New Roman" w:eastAsia="宋体" w:cs="Times New Roman"/>
          <w:sz w:val="24"/>
          <w:szCs w:val="24"/>
        </w:rPr>
        <w:t xml:space="preserve">. </w:t>
      </w:r>
      <w:bookmarkStart w:id="19" w:name="_Hlk91600513"/>
      <w:bookmarkStart w:id="20" w:name="_Hlk105422509"/>
      <w:r>
        <w:rPr>
          <w:rFonts w:ascii="Times New Roman" w:hAnsi="Times New Roman" w:eastAsia="宋体" w:cs="Times New Roman"/>
          <w:sz w:val="24"/>
          <w:szCs w:val="24"/>
        </w:rPr>
        <w:t>The</w:t>
      </w:r>
      <w:r>
        <w:rPr>
          <w:sz w:val="24"/>
          <w:szCs w:val="24"/>
        </w:rPr>
        <w:t xml:space="preserve"> </w:t>
      </w:r>
      <w:r>
        <w:rPr>
          <w:rFonts w:ascii="Times New Roman" w:hAnsi="Times New Roman" w:eastAsia="宋体" w:cs="Times New Roman"/>
          <w:sz w:val="24"/>
          <w:szCs w:val="24"/>
        </w:rPr>
        <w:t>contaminant</w:t>
      </w:r>
      <w:bookmarkStart w:id="21" w:name="_Hlk91518530"/>
      <w:r>
        <w:rPr>
          <w:rFonts w:ascii="Times New Roman" w:hAnsi="Times New Roman" w:eastAsia="宋体" w:cs="Times New Roman"/>
          <w:sz w:val="24"/>
          <w:szCs w:val="24"/>
        </w:rPr>
        <w:t xml:space="preserve"> limit value</w:t>
      </w:r>
      <w:bookmarkEnd w:id="21"/>
      <w:r>
        <w:rPr>
          <w:rFonts w:ascii="Times New Roman" w:hAnsi="Times New Roman" w:eastAsia="宋体" w:cs="Times New Roman"/>
          <w:sz w:val="24"/>
          <w:szCs w:val="24"/>
        </w:rPr>
        <w:t>s are from the Chinese National Food Safety Standards</w:t>
      </w:r>
      <w:r>
        <w:rPr>
          <w:rFonts w:ascii="Times New Roman" w:hAnsi="Times New Roman" w:eastAsia="宋体" w:cs="Times New Roman"/>
          <w:color w:val="0D0D0D" w:themeColor="text1" w:themeTint="F2"/>
          <w:sz w:val="24"/>
          <w:szCs w:val="24"/>
          <w14:textFill>
            <w14:solidFill>
              <w14:schemeClr w14:val="tx1">
                <w14:lumMod w14:val="95000"/>
                <w14:lumOff w14:val="5000"/>
              </w14:schemeClr>
            </w14:solidFill>
          </w14:textFill>
        </w:rPr>
        <w:t xml:space="preserve"> </w:t>
      </w:r>
      <w:bookmarkEnd w:id="19"/>
      <w:r>
        <w:rPr>
          <w:rFonts w:ascii="Times New Roman" w:hAnsi="Times New Roman" w:eastAsia="宋体" w:cs="Times New Roman"/>
          <w:color w:val="0D0D0D" w:themeColor="text1" w:themeTint="F2"/>
          <w:sz w:val="24"/>
          <w:szCs w:val="24"/>
          <w14:textFill>
            <w14:solidFill>
              <w14:schemeClr w14:val="tx1">
                <w14:lumMod w14:val="95000"/>
                <w14:lumOff w14:val="5000"/>
              </w14:schemeClr>
            </w14:solidFill>
          </w14:textFill>
        </w:rPr>
        <w:t>(GB2762-2017)</w:t>
      </w:r>
      <w:bookmarkEnd w:id="20"/>
      <w:r>
        <w:rPr>
          <w:rFonts w:ascii="Times New Roman" w:hAnsi="Times New Roman" w:eastAsia="宋体" w:cs="Times New Roman"/>
          <w:color w:val="0D0D0D" w:themeColor="text1" w:themeTint="F2"/>
          <w:sz w:val="24"/>
          <w:szCs w:val="24"/>
          <w:lang w:val="en-US"/>
          <w14:textFill>
            <w14:solidFill>
              <w14:schemeClr w14:val="tx1">
                <w14:lumMod w14:val="95000"/>
                <w14:lumOff w14:val="5000"/>
              </w14:schemeClr>
            </w14:solidFill>
          </w14:textFill>
        </w:rPr>
        <w:t xml:space="preserve">, the </w:t>
      </w:r>
      <w:r>
        <w:rPr>
          <w:rFonts w:ascii="Times New Roman" w:hAnsi="Times New Roman" w:eastAsia="宋体" w:cs="Times New Roman"/>
          <w:sz w:val="24"/>
          <w:szCs w:val="24"/>
          <w:lang w:val="en-US"/>
        </w:rPr>
        <w:t xml:space="preserve">values are shown in </w:t>
      </w:r>
      <w:r>
        <w:rPr>
          <w:rFonts w:ascii="Times New Roman" w:hAnsi="Times New Roman" w:eastAsia="宋体" w:cs="Times New Roman"/>
          <w:b/>
          <w:bCs/>
          <w:sz w:val="24"/>
          <w:szCs w:val="24"/>
          <w:lang w:val="en-US"/>
        </w:rPr>
        <w:t xml:space="preserve">Table </w:t>
      </w:r>
      <w:r>
        <w:rPr>
          <w:rFonts w:hint="eastAsia" w:ascii="Times New Roman" w:hAnsi="Times New Roman" w:eastAsia="宋体" w:cs="Times New Roman"/>
          <w:b/>
          <w:bCs/>
          <w:sz w:val="24"/>
          <w:szCs w:val="24"/>
          <w:lang w:val="en-US"/>
        </w:rPr>
        <w:t>1</w:t>
      </w:r>
      <w:r>
        <w:rPr>
          <w:rFonts w:ascii="Times New Roman" w:hAnsi="Times New Roman" w:eastAsia="宋体" w:cs="Times New Roman"/>
          <w:b/>
          <w:bCs/>
          <w:sz w:val="24"/>
          <w:szCs w:val="24"/>
          <w:lang w:val="en-US"/>
        </w:rPr>
        <w:t>.</w:t>
      </w:r>
      <w:r>
        <w:rPr>
          <w:sz w:val="24"/>
          <w:szCs w:val="24"/>
        </w:rPr>
        <w:t xml:space="preserve"> </w:t>
      </w:r>
      <w:r>
        <w:rPr>
          <w:rFonts w:ascii="Times New Roman" w:hAnsi="Times New Roman" w:eastAsia="宋体" w:cs="Times New Roman"/>
          <w:sz w:val="24"/>
          <w:szCs w:val="24"/>
          <w:lang w:val="en-US"/>
        </w:rPr>
        <w:t xml:space="preserve">In this study the average metals Cd and Pb within agricultural production were used to calculate the corresponding APSI. If the index of </w:t>
      </w:r>
      <m:oMath>
        <m:sSub>
          <m:sSubPr>
            <m:ctrlPr>
              <w:rPr>
                <w:rFonts w:ascii="Cambria Math" w:hAnsi="Cambria Math" w:eastAsia="宋体" w:cs="Times New Roman"/>
                <w:i/>
                <w:sz w:val="24"/>
                <w:szCs w:val="24"/>
                <w:lang w:val="en-US"/>
              </w:rPr>
            </m:ctrlPr>
          </m:sSubPr>
          <m:e>
            <m:r>
              <m:rPr/>
              <w:rPr>
                <w:rFonts w:ascii="Cambria Math" w:hAnsi="Cambria Math" w:eastAsia="宋体" w:cs="Times New Roman"/>
                <w:sz w:val="24"/>
                <w:szCs w:val="24"/>
                <w:lang w:val="en-US"/>
              </w:rPr>
              <m:t>C</m:t>
            </m:r>
            <m:ctrlPr>
              <w:rPr>
                <w:rFonts w:ascii="Cambria Math" w:hAnsi="Cambria Math" w:eastAsia="宋体" w:cs="Times New Roman"/>
                <w:i/>
                <w:sz w:val="24"/>
                <w:szCs w:val="24"/>
                <w:lang w:val="en-US"/>
              </w:rPr>
            </m:ctrlPr>
          </m:e>
          <m:sub>
            <m:r>
              <m:rPr/>
              <w:rPr>
                <w:rFonts w:ascii="Cambria Math" w:hAnsi="Cambria Math" w:eastAsia="宋体" w:cs="Times New Roman"/>
                <w:sz w:val="24"/>
                <w:szCs w:val="24"/>
                <w:lang w:val="en-US"/>
              </w:rPr>
              <m:t>ij</m:t>
            </m:r>
            <m:ctrlPr>
              <w:rPr>
                <w:rFonts w:ascii="Cambria Math" w:hAnsi="Cambria Math" w:eastAsia="宋体" w:cs="Times New Roman"/>
                <w:i/>
                <w:sz w:val="24"/>
                <w:szCs w:val="24"/>
                <w:lang w:val="en-US"/>
              </w:rPr>
            </m:ctrlPr>
          </m:sub>
        </m:sSub>
      </m:oMath>
      <w:r>
        <w:rPr>
          <w:rFonts w:ascii="Times New Roman" w:hAnsi="Times New Roman" w:eastAsia="宋体" w:cs="Times New Roman"/>
          <w:sz w:val="24"/>
          <w:szCs w:val="24"/>
          <w:lang w:val="en-US"/>
        </w:rPr>
        <w:t xml:space="preserve"> &gt; 1, it means that the metal(loid) content exceeds the limit value</w:t>
      </w:r>
      <w:r>
        <w:rPr>
          <w:sz w:val="24"/>
          <w:szCs w:val="24"/>
        </w:rPr>
        <w:t xml:space="preserve"> </w:t>
      </w:r>
      <w:r>
        <w:rPr>
          <w:rFonts w:ascii="Times New Roman" w:hAnsi="Times New Roman" w:eastAsia="宋体" w:cs="Times New Roman"/>
          <w:sz w:val="24"/>
          <w:szCs w:val="24"/>
          <w:lang w:val="en-US"/>
        </w:rPr>
        <w:t>in food, and there is a food safety risk.</w:t>
      </w:r>
    </w:p>
    <w:p>
      <w:pPr>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Enrichment Factor (EF) is the ratio of the concentration of a pollutant in an organism to its living environment.</w:t>
      </w:r>
    </w:p>
    <w:p>
      <w:pPr>
        <w:ind w:firstLine="480" w:firstLineChars="200"/>
        <w:jc w:val="center"/>
        <w:rPr>
          <w:rFonts w:ascii="Times New Roman" w:hAnsi="Times New Roman" w:eastAsia="宋体" w:cs="Times New Roman"/>
          <w:color w:val="0000FF"/>
          <w:sz w:val="24"/>
          <w:szCs w:val="24"/>
        </w:rPr>
      </w:pP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EF</m:t>
            </m:r>
            <m:ctrlPr>
              <w:rPr>
                <w:rFonts w:ascii="Cambria Math" w:hAnsi="Cambria Math" w:eastAsia="宋体" w:cs="Times New Roman"/>
                <w:i/>
                <w:sz w:val="24"/>
                <w:szCs w:val="24"/>
              </w:rPr>
            </m:ctrlPr>
          </m:e>
          <m:sub>
            <m:r>
              <m:rPr/>
              <w:rPr>
                <w:rFonts w:ascii="Cambria Math" w:hAnsi="Cambria Math" w:eastAsia="宋体" w:cs="Times New Roman"/>
                <w:sz w:val="24"/>
                <w:szCs w:val="24"/>
              </w:rPr>
              <m:t>i</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P</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m:t>
            </m:r>
            <m:ctrlPr>
              <w:rPr>
                <w:rFonts w:ascii="Cambria Math" w:hAnsi="Cambria Math" w:eastAsia="宋体" w:cs="Times New Roman"/>
                <w:i/>
                <w:sz w:val="24"/>
                <w:szCs w:val="24"/>
              </w:rPr>
            </m:ctrlPr>
          </m:sub>
        </m:sSub>
        <m:r>
          <m:rPr/>
          <w:rPr>
            <w:rFonts w:ascii="Cambria Math" w:hAnsi="Cambria Math" w:eastAsia="宋体" w:cs="Times New Roman"/>
            <w:sz w:val="24"/>
            <w:szCs w:val="24"/>
          </w:rPr>
          <m:t xml:space="preserve"> </m:t>
        </m:r>
      </m:oMath>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color w:val="0000FF"/>
          <w:sz w:val="24"/>
          <w:szCs w:val="24"/>
        </w:rPr>
        <w:t xml:space="preserve">           </w:t>
      </w:r>
      <w:r>
        <w:rPr>
          <w:rFonts w:hint="eastAsia" w:ascii="Times New Roman" w:hAnsi="Times New Roman" w:eastAsia="宋体" w:cs="Times New Roman"/>
          <w:color w:val="0000FF"/>
          <w:sz w:val="24"/>
          <w:szCs w:val="24"/>
        </w:rPr>
        <w:t>(</w:t>
      </w:r>
      <w:r>
        <w:rPr>
          <w:rFonts w:ascii="Times New Roman" w:hAnsi="Times New Roman" w:eastAsia="宋体" w:cs="Times New Roman"/>
          <w:color w:val="0000FF"/>
          <w:sz w:val="24"/>
          <w:szCs w:val="24"/>
        </w:rPr>
        <w:t>4)</w:t>
      </w:r>
    </w:p>
    <w:p>
      <w:pPr>
        <w:ind w:firstLine="480" w:firstLineChars="200"/>
        <w:rPr>
          <w:rFonts w:ascii="Times New Roman" w:hAnsi="Times New Roman" w:eastAsia="宋体" w:cs="Times New Roman"/>
          <w:sz w:val="24"/>
          <w:szCs w:val="24"/>
        </w:rPr>
      </w:pPr>
      <w:bookmarkStart w:id="22" w:name="_Hlk106652659"/>
      <w:bookmarkStart w:id="23" w:name="_Hlk106652375"/>
      <w:r>
        <w:rPr>
          <w:rFonts w:ascii="Times New Roman" w:hAnsi="Times New Roman" w:eastAsia="宋体" w:cs="Times New Roman"/>
          <w:sz w:val="24"/>
          <w:szCs w:val="24"/>
        </w:rPr>
        <w:t xml:space="preserve">Where </w:t>
      </w:r>
      <w:r>
        <w:rPr>
          <w:rFonts w:ascii="Times New Roman" w:hAnsi="Times New Roman" w:eastAsia="宋体" w:cs="Times New Roman"/>
          <w:i/>
          <w:iCs/>
          <w:sz w:val="24"/>
          <w:szCs w:val="24"/>
        </w:rPr>
        <w:t>i</w:t>
      </w:r>
      <w:r>
        <w:rPr>
          <w:rFonts w:ascii="Times New Roman" w:hAnsi="Times New Roman" w:eastAsia="宋体" w:cs="Times New Roman"/>
          <w:sz w:val="24"/>
          <w:szCs w:val="24"/>
        </w:rPr>
        <w:t xml:space="preserve"> is the metal(loid) element,</w:t>
      </w:r>
      <w:bookmarkEnd w:id="22"/>
      <w:r>
        <w:rPr>
          <w:rFonts w:ascii="Times New Roman" w:hAnsi="Times New Roman" w:eastAsia="宋体" w:cs="Times New Roman"/>
          <w:sz w:val="24"/>
          <w:szCs w:val="24"/>
        </w:rPr>
        <w:t xml:space="preserve"> </w:t>
      </w:r>
      <m:oMath>
        <m:sSub>
          <m:sSubPr>
            <m:ctrlPr>
              <w:rPr>
                <w:rFonts w:ascii="Cambria Math" w:hAnsi="Cambria Math" w:eastAsia="宋体" w:cs="Times New Roman"/>
                <w:i/>
                <w:iCs/>
                <w:sz w:val="24"/>
                <w:szCs w:val="24"/>
              </w:rPr>
            </m:ctrlPr>
          </m:sSubPr>
          <m:e>
            <m:r>
              <m:rPr/>
              <w:rPr>
                <w:rFonts w:ascii="Cambria Math" w:hAnsi="Cambria Math" w:eastAsia="宋体" w:cs="Times New Roman"/>
                <w:sz w:val="24"/>
                <w:szCs w:val="24"/>
              </w:rPr>
              <m:t>C</m:t>
            </m:r>
            <m:ctrlPr>
              <w:rPr>
                <w:rFonts w:ascii="Cambria Math" w:hAnsi="Cambria Math" w:eastAsia="宋体" w:cs="Times New Roman"/>
                <w:i/>
                <w:iCs/>
                <w:sz w:val="24"/>
                <w:szCs w:val="24"/>
              </w:rPr>
            </m:ctrlPr>
          </m:e>
          <m:sub>
            <m:r>
              <m:rPr/>
              <w:rPr>
                <w:rFonts w:ascii="Cambria Math" w:hAnsi="Cambria Math" w:eastAsia="宋体" w:cs="Times New Roman"/>
                <w:sz w:val="24"/>
                <w:szCs w:val="24"/>
              </w:rPr>
              <m:t>p</m:t>
            </m:r>
            <m:ctrlPr>
              <w:rPr>
                <w:rFonts w:ascii="Cambria Math" w:hAnsi="Cambria Math" w:eastAsia="宋体" w:cs="Times New Roman"/>
                <w:i/>
                <w:iCs/>
                <w:sz w:val="24"/>
                <w:szCs w:val="24"/>
              </w:rPr>
            </m:ctrlPr>
          </m:sub>
        </m:sSub>
      </m:oMath>
      <w:r>
        <w:rPr>
          <w:rFonts w:ascii="Times New Roman" w:hAnsi="Times New Roman" w:eastAsia="宋体" w:cs="Times New Roman"/>
          <w:sz w:val="24"/>
          <w:szCs w:val="24"/>
        </w:rPr>
        <w:t xml:space="preserve"> represents the content of i in plant (</w:t>
      </w:r>
      <w:r>
        <w:rPr>
          <w:rFonts w:ascii="Times New Roman" w:hAnsi="Times New Roman" w:eastAsia="黑体" w:cs="Times New Roman"/>
          <w:sz w:val="24"/>
          <w:szCs w:val="24"/>
        </w:rPr>
        <w:t>agricultural production),</w:t>
      </w:r>
      <w:r>
        <w:rPr>
          <w:rFonts w:ascii="Times New Roman" w:hAnsi="Times New Roman" w:eastAsia="宋体" w:cs="Times New Roman"/>
          <w:sz w:val="24"/>
          <w:szCs w:val="24"/>
        </w:rPr>
        <w:t xml:space="preserve">  </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m:t>
            </m:r>
            <m:ctrlPr>
              <w:rPr>
                <w:rFonts w:ascii="Cambria Math" w:hAnsi="Cambria Math" w:eastAsia="宋体" w:cs="Times New Roman"/>
                <w:i/>
                <w:sz w:val="24"/>
                <w:szCs w:val="24"/>
              </w:rPr>
            </m:ctrlPr>
          </m:sub>
        </m:sSub>
      </m:oMath>
      <w:r>
        <w:rPr>
          <w:sz w:val="24"/>
          <w:szCs w:val="24"/>
        </w:rPr>
        <w:t xml:space="preserve"> </w:t>
      </w:r>
      <w:r>
        <w:rPr>
          <w:rFonts w:ascii="Times New Roman" w:hAnsi="Times New Roman" w:eastAsia="宋体" w:cs="Times New Roman"/>
          <w:sz w:val="24"/>
          <w:szCs w:val="24"/>
        </w:rPr>
        <w:t>represent the content of i in soil.</w:t>
      </w:r>
    </w:p>
    <w:bookmarkEnd w:id="23"/>
    <w:p>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Transport Coefficient (TC) refers to the ratio of the metal(loid) content in </w:t>
      </w:r>
      <w:bookmarkStart w:id="24" w:name="_Hlk106652417"/>
      <w:r>
        <w:rPr>
          <w:rFonts w:ascii="Times New Roman" w:hAnsi="Times New Roman" w:eastAsia="宋体" w:cs="Times New Roman"/>
          <w:sz w:val="24"/>
          <w:szCs w:val="24"/>
        </w:rPr>
        <w:t xml:space="preserve">the aboveground parts of </w:t>
      </w:r>
      <w:bookmarkEnd w:id="24"/>
      <w:r>
        <w:rPr>
          <w:rFonts w:ascii="Times New Roman" w:hAnsi="Times New Roman" w:eastAsia="宋体" w:cs="Times New Roman"/>
          <w:sz w:val="24"/>
          <w:szCs w:val="24"/>
        </w:rPr>
        <w:t>the plant to the underground parts.</w:t>
      </w:r>
    </w:p>
    <w:p>
      <w:pPr>
        <w:ind w:firstLine="480" w:firstLineChars="200"/>
        <w:jc w:val="center"/>
        <w:rPr>
          <w:rFonts w:ascii="Times New Roman" w:hAnsi="Times New Roman" w:eastAsia="宋体" w:cs="Times New Roman"/>
          <w:color w:val="0000FF"/>
          <w:sz w:val="24"/>
          <w:szCs w:val="24"/>
        </w:rPr>
      </w:pP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TC</m:t>
            </m:r>
            <m:ctrlPr>
              <w:rPr>
                <w:rFonts w:ascii="Cambria Math" w:hAnsi="Cambria Math" w:eastAsia="宋体" w:cs="Times New Roman"/>
                <w:i/>
                <w:sz w:val="24"/>
                <w:szCs w:val="24"/>
              </w:rPr>
            </m:ctrlPr>
          </m:e>
          <m:sub>
            <m:r>
              <m:rPr/>
              <w:rPr>
                <w:rFonts w:ascii="Cambria Math" w:hAnsi="Cambria Math" w:eastAsia="宋体" w:cs="Times New Roman"/>
                <w:sz w:val="24"/>
                <w:szCs w:val="24"/>
              </w:rPr>
              <m:t>i</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G</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m:t>
            </m:r>
            <m:ctrlPr>
              <w:rPr>
                <w:rFonts w:ascii="Cambria Math" w:hAnsi="Cambria Math" w:eastAsia="宋体" w:cs="Times New Roman"/>
                <w:i/>
                <w:sz w:val="24"/>
                <w:szCs w:val="24"/>
              </w:rPr>
            </m:ctrlPr>
          </m:sub>
        </m:sSub>
      </m:oMath>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color w:val="0000FF"/>
          <w:sz w:val="24"/>
          <w:szCs w:val="24"/>
        </w:rPr>
        <w:t xml:space="preserve">                  (5)</w:t>
      </w:r>
    </w:p>
    <w:p>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Where i is the metal(loid) element, </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G</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 xml:space="preserve"> represents the content of i in the aboveground parts of the plant,  </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C</m:t>
            </m:r>
            <m:ctrlPr>
              <w:rPr>
                <w:rFonts w:ascii="Cambria Math" w:hAnsi="Cambria Math" w:eastAsia="宋体" w:cs="Times New Roman"/>
                <w:i/>
                <w:sz w:val="24"/>
                <w:szCs w:val="24"/>
              </w:rPr>
            </m:ctrlPr>
          </m:e>
          <m:sub>
            <m:r>
              <m:rPr/>
              <w:rPr>
                <w:rFonts w:ascii="Cambria Math" w:hAnsi="Cambria Math" w:eastAsia="宋体" w:cs="Times New Roman"/>
                <w:sz w:val="24"/>
                <w:szCs w:val="24"/>
              </w:rPr>
              <m:t>B</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 xml:space="preserve"> represents the underground parts of the plant.</w:t>
      </w:r>
    </w:p>
    <w:p>
      <w:pPr>
        <w:pStyle w:val="6"/>
        <w:rPr>
          <w:rFonts w:ascii="Times New Roman" w:hAnsi="Times New Roman" w:eastAsia="黑体" w:cs="Times New Roman"/>
          <w:sz w:val="24"/>
          <w:szCs w:val="24"/>
        </w:rPr>
      </w:pPr>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 xml:space="preserve">.4 </w:t>
      </w:r>
      <w:bookmarkStart w:id="25" w:name="_Hlk91580674"/>
      <w:r>
        <w:rPr>
          <w:rFonts w:ascii="Times New Roman" w:hAnsi="Times New Roman" w:eastAsia="黑体" w:cs="Times New Roman"/>
          <w:sz w:val="24"/>
          <w:szCs w:val="24"/>
        </w:rPr>
        <w:t xml:space="preserve">Potential </w:t>
      </w:r>
      <w:bookmarkStart w:id="26" w:name="_Hlk91772326"/>
      <w:r>
        <w:rPr>
          <w:rFonts w:ascii="Times New Roman" w:hAnsi="Times New Roman" w:eastAsia="黑体" w:cs="Times New Roman"/>
          <w:sz w:val="24"/>
          <w:szCs w:val="24"/>
        </w:rPr>
        <w:t>ecological risk</w:t>
      </w:r>
      <w:bookmarkEnd w:id="25"/>
      <w:bookmarkEnd w:id="26"/>
      <w:r>
        <w:rPr>
          <w:rFonts w:ascii="Times New Roman" w:hAnsi="Times New Roman" w:eastAsia="黑体" w:cs="Times New Roman"/>
          <w:sz w:val="24"/>
          <w:szCs w:val="24"/>
        </w:rPr>
        <w:t xml:space="preserve"> index</w:t>
      </w:r>
    </w:p>
    <w:p>
      <w:pPr>
        <w:ind w:firstLine="480" w:firstLineChars="200"/>
        <w:rPr>
          <w:rFonts w:ascii="Times New Roman" w:hAnsi="Times New Roman" w:eastAsia="宋体" w:cs="Times New Roman"/>
          <w:color w:val="0000FF"/>
          <w:sz w:val="24"/>
          <w:szCs w:val="24"/>
        </w:rPr>
      </w:pPr>
      <w:r>
        <w:rPr>
          <w:rFonts w:ascii="Times New Roman" w:hAnsi="Times New Roman" w:eastAsia="宋体" w:cs="Times New Roman"/>
          <w:sz w:val="24"/>
          <w:szCs w:val="24"/>
        </w:rPr>
        <w:t xml:space="preserve">This ecological risk model was proposed by </w:t>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ADDIN EN.CITE &lt;EndNote&gt;&lt;Cite&gt;&lt;Author&gt;Wu&lt;/Author&gt;&lt;Year&gt;2015&lt;/Year&gt;&lt;RecNum&gt;554&lt;/RecNum&gt;&lt;DisplayText&gt;(Hakanson, 1980; Wu, et al., 2015)&lt;/DisplayText&gt;&lt;record&gt;&lt;rec-number&gt;554&lt;/rec-number&gt;&lt;foreign-keys&gt;&lt;key app="EN" db-id="r29rsf9t4052rsezxelvsv2z5efxzzf5r95r" timestamp="1640926714"&gt;554&lt;/key&gt;&lt;key app="ENWeb" db-id=""&gt;0&lt;/key&gt;&lt;/foreign-keys&gt;&lt;ref-type name="Journal Article"&gt;17&lt;/ref-type&gt;&lt;contributors&gt;&lt;authors&gt;&lt;author&gt;Wu, Shan&lt;/author&gt;&lt;author&gt;Peng, Siqing&lt;/author&gt;&lt;author&gt;Zhang, Xuexia&lt;/author&gt;&lt;author&gt;Wu, Duilin&lt;/author&gt;&lt;author&gt;Luo, Wei&lt;/author&gt;&lt;author&gt;Zhang, Tianbin&lt;/author&gt;&lt;author&gt;Zhou, Shungui&lt;/author&gt;&lt;author&gt;Yang, Guoyi&lt;/author&gt;&lt;author&gt;Wan, Hongfu&lt;/author&gt;&lt;author&gt;Wu, Leqin&lt;/author&gt;&lt;/authors&gt;&lt;/contributors&gt;&lt;titles&gt;&lt;title&gt;Levels and health risk assessments of heavy metals in urban soils in Dongguan, China&lt;/title&gt;&lt;secondary-title&gt;Journal of Geochemical Exploration&lt;/secondary-title&gt;&lt;/titles&gt;&lt;periodical&gt;&lt;full-title&gt;Journal of Geochemical Exploration&lt;/full-title&gt;&lt;/periodical&gt;&lt;pages&gt;71-78&lt;/pages&gt;&lt;volume&gt;148&lt;/volume&gt;&lt;section&gt;71&lt;/section&gt;&lt;dates&gt;&lt;year&gt;2015&lt;/year&gt;&lt;/dates&gt;&lt;isbn&gt;03756742&lt;/isbn&gt;&lt;urls&gt;&lt;/urls&gt;&lt;electronic-resource-num&gt;10.1016/j.gexplo.2014.08.009&lt;/electronic-resource-num&gt;&lt;/record&gt;&lt;/Cite&gt;&lt;Cite&gt;&lt;Author&gt;Hakanson&lt;/Author&gt;&lt;Year&gt;1980&lt;/Year&gt;&lt;RecNum&gt;550&lt;/RecNum&gt;&lt;record&gt;&lt;rec-number&gt;550&lt;/rec-number&gt;&lt;foreign-keys&gt;&lt;key app="EN" db-id="r29rsf9t4052rsezxelvsv2z5efxzzf5r95r" timestamp="1640925339"&gt;550&lt;/key&gt;&lt;key app="ENWeb" db-id=""&gt;0&lt;/key&gt;&lt;/foreign-keys&gt;&lt;ref-type name="Journal Article"&gt;17&lt;/ref-type&gt;&lt;contributors&gt;&lt;authors&gt;&lt;author&gt;Lars Hakanson&lt;/author&gt;&lt;/authors&gt;&lt;/contributors&gt;&lt;titles&gt;&lt;title&gt;An ecological risk index for aquatic pollution control.a sedimentological approach&lt;/title&gt;&lt;secondary-title&gt;Water Research&lt;/secondary-title&gt;&lt;/titles&gt;&lt;periodical&gt;&lt;full-title&gt;Water Research&lt;/full-title&gt;&lt;/periodical&gt;&lt;pages&gt;975-1001&lt;/pages&gt;&lt;volume&gt;14&lt;/volume&gt;&lt;number&gt;8&lt;/number&gt;&lt;dates&gt;&lt;year&gt;1980&lt;/year&gt;&lt;/dates&gt;&lt;urls&gt;&lt;/urls&gt;&lt;/record&gt;&lt;/Cite&gt;&lt;/EndNote&gt;</w:instrText>
      </w:r>
      <w:r>
        <w:rPr>
          <w:rFonts w:ascii="Times New Roman" w:hAnsi="Times New Roman" w:eastAsia="宋体" w:cs="Times New Roman"/>
          <w:sz w:val="24"/>
          <w:szCs w:val="24"/>
        </w:rPr>
        <w:fldChar w:fldCharType="separate"/>
      </w:r>
      <w:r>
        <w:rPr>
          <w:rFonts w:ascii="Times New Roman" w:hAnsi="Times New Roman" w:eastAsia="宋体" w:cs="Times New Roman"/>
          <w:color w:val="0000FF"/>
          <w:sz w:val="24"/>
          <w:szCs w:val="24"/>
        </w:rPr>
        <w:t>Hakanson (1980)</w:t>
      </w:r>
      <w:r>
        <w:rPr>
          <w:rFonts w:ascii="Times New Roman" w:hAnsi="Times New Roman" w:eastAsia="宋体" w:cs="Times New Roman"/>
          <w:sz w:val="24"/>
          <w:szCs w:val="24"/>
        </w:rPr>
        <w:t xml:space="preserve"> and </w:t>
      </w:r>
      <w:r>
        <w:rPr>
          <w:rFonts w:ascii="Times New Roman" w:hAnsi="Times New Roman" w:eastAsia="宋体" w:cs="Times New Roman"/>
          <w:color w:val="0000FF"/>
          <w:sz w:val="24"/>
          <w:szCs w:val="24"/>
        </w:rPr>
        <w:t>Wu et al. (2015)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t xml:space="preserve"> to assess pollution categories in soil based o</w:t>
      </w:r>
      <w:r>
        <w:rPr>
          <w:rFonts w:ascii="Times New Roman" w:hAnsi="Times New Roman" w:eastAsia="宋体" w:cs="Times New Roman"/>
          <w:color w:val="000000" w:themeColor="text1"/>
          <w:sz w:val="24"/>
          <w:szCs w:val="24"/>
          <w14:textFill>
            <w14:solidFill>
              <w14:schemeClr w14:val="tx1"/>
            </w14:solidFill>
          </w14:textFill>
        </w:rPr>
        <w:t xml:space="preserve">n metal(loid) toxicity and environmental response. Its main function </w:t>
      </w:r>
      <w:r>
        <w:rPr>
          <w:rFonts w:hint="eastAsia" w:ascii="Times New Roman" w:hAnsi="Times New Roman" w:eastAsia="宋体" w:cs="Times New Roman"/>
          <w:color w:val="000000" w:themeColor="text1"/>
          <w:sz w:val="24"/>
          <w:szCs w:val="24"/>
          <w14:textFill>
            <w14:solidFill>
              <w14:schemeClr w14:val="tx1"/>
            </w14:solidFill>
          </w14:textFill>
        </w:rPr>
        <w:t>was</w:t>
      </w:r>
      <w:r>
        <w:rPr>
          <w:rFonts w:ascii="Times New Roman" w:hAnsi="Times New Roman" w:eastAsia="宋体" w:cs="Times New Roman"/>
          <w:color w:val="000000" w:themeColor="text1"/>
          <w:sz w:val="24"/>
          <w:szCs w:val="24"/>
          <w14:textFill>
            <w14:solidFill>
              <w14:schemeClr w14:val="tx1"/>
            </w14:solidFill>
          </w14:textFill>
        </w:rPr>
        <w:t xml:space="preserve"> to identify the types of pollutants and prioritize research on pollution. In the current study, soil potential ecological risk index (PERI) has been assessed based on the total content of metal(loid)s that have been selected </w:t>
      </w:r>
      <w:r>
        <w:rPr>
          <w:rFonts w:ascii="Times New Roman" w:hAnsi="Times New Roman" w:eastAsia="宋体" w:cs="Times New Roman"/>
          <w:color w:val="0000FF"/>
          <w:sz w:val="24"/>
          <w:szCs w:val="24"/>
        </w:rPr>
        <w:fldChar w:fldCharType="begin">
          <w:fldData xml:space="preserve">PEVuZE5vdGU+PENpdGU+PEF1dGhvcj5TaGFyaWZpbmlhPC9BdXRob3I+PFllYXI+MjAxODwvWWVh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PEVuZE5vdGU+PENpdGU+PEF1dGhvcj5TaGFyaWZpbmlhPC9BdXRob3I+PFllYXI+MjAxODwvWWVh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(Huang, et al., 2018; Sharifinia, Taherizadeh, Namin, &amp; Kamrani, 2018)</w:t>
      </w:r>
      <w:r>
        <w:rPr>
          <w:rFonts w:ascii="Times New Roman" w:hAnsi="Times New Roman" w:eastAsia="宋体" w:cs="Times New Roman"/>
          <w:color w:val="0000FF"/>
          <w:sz w:val="24"/>
          <w:szCs w:val="24"/>
        </w:rPr>
        <w:fldChar w:fldCharType="end"/>
      </w:r>
      <w:r>
        <w:rPr>
          <w:rFonts w:hint="eastAsia" w:ascii="Times New Roman" w:hAnsi="Times New Roman" w:eastAsia="宋体" w:cs="Times New Roman"/>
          <w:color w:val="0000FF"/>
          <w:sz w:val="24"/>
          <w:szCs w:val="24"/>
        </w:rPr>
        <w:t>.</w:t>
      </w:r>
    </w:p>
    <w:p>
      <w:pPr>
        <w:ind w:firstLine="480" w:firstLineChars="200"/>
        <w:jc w:val="center"/>
        <w:rPr>
          <w:rFonts w:ascii="Times New Roman" w:hAnsi="Times New Roman" w:eastAsia="宋体" w:cs="Times New Roman"/>
          <w:color w:val="000000" w:themeColor="text1"/>
          <w:sz w:val="24"/>
          <w:szCs w:val="24"/>
          <w14:textFill>
            <w14:solidFill>
              <w14:schemeClr w14:val="tx1"/>
            </w14:solidFill>
          </w14:textFill>
        </w:rPr>
      </w:pPr>
      <m:oMath>
        <m:r>
          <m:rPr>
            <m:sty m:val="p"/>
          </m:rPr>
          <w:rPr>
            <w:rFonts w:ascii="Cambria Math" w:hAnsi="Cambria Math" w:eastAsia="宋体" w:cs="Times New Roman"/>
            <w:color w:val="000000" w:themeColor="text1"/>
            <w:sz w:val="24"/>
            <w:szCs w:val="24"/>
            <w14:textFill>
              <w14:solidFill>
                <w14:schemeClr w14:val="tx1"/>
              </w14:solidFill>
            </w14:textFill>
          </w:rPr>
          <m:t>PERI=</m:t>
        </m:r>
        <m:nary>
          <m:naryPr>
            <m:chr m:val="∑"/>
            <m:limLoc m:val="subSup"/>
            <m:ctrlPr>
              <w:rPr>
                <w:rFonts w:ascii="Cambria Math" w:hAnsi="Cambria Math" w:eastAsia="宋体" w:cs="Times New Roman"/>
                <w:color w:val="000000" w:themeColor="text1"/>
                <w:sz w:val="24"/>
                <w:szCs w:val="24"/>
                <w14:textFill>
                  <w14:solidFill>
                    <w14:schemeClr w14:val="tx1"/>
                  </w14:solidFill>
                </w14:textFill>
              </w:rPr>
            </m:ctrlPr>
          </m:naryPr>
          <m:sub>
            <m:r>
              <m:rPr/>
              <w:rPr>
                <w:rFonts w:ascii="Cambria Math" w:hAnsi="Cambria Math" w:eastAsia="宋体" w:cs="Times New Roman"/>
                <w:color w:val="000000" w:themeColor="text1"/>
                <w:sz w:val="24"/>
                <w:szCs w:val="24"/>
                <w14:textFill>
                  <w14:solidFill>
                    <w14:schemeClr w14:val="tx1"/>
                  </w14:solidFill>
                </w14:textFill>
              </w:rPr>
              <m:t>i=1</m:t>
            </m:r>
            <m:ctrlPr>
              <w:rPr>
                <w:rFonts w:ascii="Cambria Math" w:hAnsi="Cambria Math" w:eastAsia="宋体" w:cs="Times New Roman"/>
                <w:color w:val="000000" w:themeColor="text1"/>
                <w:sz w:val="24"/>
                <w:szCs w:val="24"/>
                <w14:textFill>
                  <w14:solidFill>
                    <w14:schemeClr w14:val="tx1"/>
                  </w14:solidFill>
                </w14:textFill>
              </w:rPr>
            </m:ctrlPr>
          </m:sub>
          <m:sup>
            <m:r>
              <m:rPr/>
              <w:rPr>
                <w:rFonts w:ascii="Cambria Math" w:hAnsi="Cambria Math" w:eastAsia="宋体" w:cs="Times New Roman"/>
                <w:color w:val="000000" w:themeColor="text1"/>
                <w:sz w:val="24"/>
                <w:szCs w:val="24"/>
                <w14:textFill>
                  <w14:solidFill>
                    <w14:schemeClr w14:val="tx1"/>
                  </w14:solidFill>
                </w14:textFill>
              </w:rPr>
              <m:t>n</m:t>
            </m:r>
            <m:ctrlPr>
              <w:rPr>
                <w:rFonts w:ascii="Cambria Math" w:hAnsi="Cambria Math" w:eastAsia="宋体" w:cs="Times New Roman"/>
                <w:color w:val="000000" w:themeColor="text1"/>
                <w:sz w:val="24"/>
                <w:szCs w:val="24"/>
                <w14:textFill>
                  <w14:solidFill>
                    <w14:schemeClr w14:val="tx1"/>
                  </w14:solidFill>
                </w14:textFill>
              </w:rPr>
            </m:ctrlPr>
          </m:sup>
          <m:e>
            <m:r>
              <m:rPr/>
              <w:rPr>
                <w:rFonts w:ascii="Cambria Math" w:hAnsi="Cambria Math" w:eastAsia="宋体" w:cs="Times New Roman"/>
                <w:color w:val="000000" w:themeColor="text1"/>
                <w:sz w:val="24"/>
                <w:szCs w:val="24"/>
                <w14:textFill>
                  <w14:solidFill>
                    <w14:schemeClr w14:val="tx1"/>
                  </w14:solidFill>
                </w14:textFill>
              </w:rPr>
              <m:t>Eri</m:t>
            </m:r>
            <m:ctrlPr>
              <w:rPr>
                <w:rFonts w:ascii="Cambria Math" w:hAnsi="Cambria Math" w:eastAsia="宋体" w:cs="Times New Roman"/>
                <w:color w:val="000000" w:themeColor="text1"/>
                <w:sz w:val="24"/>
                <w:szCs w:val="24"/>
                <w14:textFill>
                  <w14:solidFill>
                    <w14:schemeClr w14:val="tx1"/>
                  </w14:solidFill>
                </w14:textFill>
              </w:rPr>
            </m:ctrlPr>
          </m:e>
        </m:nary>
      </m:oMath>
      <w:r>
        <w:rPr>
          <w:rFonts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FF"/>
          <w:sz w:val="24"/>
          <w:szCs w:val="24"/>
        </w:rPr>
        <w:t>（6）</w:t>
      </w:r>
    </w:p>
    <w:p>
      <w:pPr>
        <w:ind w:firstLine="480" w:firstLineChars="200"/>
        <w:jc w:val="center"/>
        <w:rPr>
          <w:rFonts w:ascii="Times New Roman" w:hAnsi="Times New Roman" w:eastAsia="宋体" w:cs="Times New Roman"/>
          <w:color w:val="0000FF"/>
          <w:sz w:val="24"/>
          <w:szCs w:val="24"/>
        </w:rPr>
      </w:pPr>
      <m:oMath>
        <m:r>
          <m:rPr>
            <m:sty m:val="p"/>
          </m:rPr>
          <w:rPr>
            <w:rFonts w:ascii="Cambria Math" w:hAnsi="Cambria Math" w:eastAsia="宋体" w:cs="Times New Roman"/>
            <w:color w:val="000000" w:themeColor="text1"/>
            <w:sz w:val="24"/>
            <w:szCs w:val="24"/>
            <w14:textFill>
              <w14:solidFill>
                <w14:schemeClr w14:val="tx1"/>
              </w14:solidFill>
            </w14:textFill>
          </w:rPr>
          <m:t>Eri=Tr∗CF</m:t>
        </m:r>
      </m:oMath>
      <w:r>
        <w:rPr>
          <w:rFonts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FF"/>
          <w:sz w:val="24"/>
          <w:szCs w:val="24"/>
        </w:rPr>
        <w:t>（7）</w:t>
      </w:r>
    </w:p>
    <w:p>
      <w:pPr>
        <w:ind w:firstLine="480" w:firstLineChars="200"/>
        <w:rPr>
          <w:rFonts w:ascii="Times New Roman" w:hAnsi="Times New Roman" w:eastAsia="宋体" w:cs="Times New Roman"/>
          <w:color w:val="000000"/>
          <w:sz w:val="24"/>
          <w:szCs w:val="24"/>
          <w:lang w:val="en-US"/>
        </w:rPr>
      </w:pPr>
      <w:r>
        <w:rPr>
          <w:rFonts w:ascii="Times New Roman" w:hAnsi="Times New Roman" w:eastAsia="宋体" w:cs="Times New Roman"/>
          <w:color w:val="000000" w:themeColor="text1"/>
          <w:sz w:val="24"/>
          <w:szCs w:val="24"/>
          <w14:textFill>
            <w14:solidFill>
              <w14:schemeClr w14:val="tx1"/>
            </w14:solidFill>
          </w14:textFill>
        </w:rPr>
        <w:t xml:space="preserve">When PERI was determined as "the sum of all the risk values of all metal(loid)s in the soil and </w:t>
      </w:r>
      <m:oMath>
        <m:sSub>
          <m:sSubPr>
            <m:ctrlPr>
              <w:rPr>
                <w:rFonts w:ascii="Cambria Math" w:hAnsi="Cambria Math" w:eastAsia="宋体" w:cs="Times New Roman"/>
                <w:color w:val="000000" w:themeColor="text1"/>
                <w:sz w:val="24"/>
                <w:szCs w:val="24"/>
                <w14:textFill>
                  <w14:solidFill>
                    <w14:schemeClr w14:val="tx1"/>
                  </w14:solidFill>
                </w14:textFill>
              </w:rPr>
            </m:ctrlPr>
          </m:sSubPr>
          <m:e>
            <m:r>
              <m:rPr>
                <m:sty m:val="p"/>
              </m:rPr>
              <w:rPr>
                <w:rFonts w:ascii="Cambria Math" w:hAnsi="Cambria Math" w:eastAsia="宋体" w:cs="Times New Roman"/>
                <w:color w:val="000000" w:themeColor="text1"/>
                <w:sz w:val="24"/>
                <w:szCs w:val="24"/>
                <w14:textFill>
                  <w14:solidFill>
                    <w14:schemeClr w14:val="tx1"/>
                  </w14:solidFill>
                </w14:textFill>
              </w:rPr>
              <m:t>E</m:t>
            </m:r>
            <m:ctrlPr>
              <w:rPr>
                <w:rFonts w:ascii="Cambria Math" w:hAnsi="Cambria Math" w:eastAsia="宋体" w:cs="Times New Roman"/>
                <w:color w:val="000000" w:themeColor="text1"/>
                <w:sz w:val="24"/>
                <w:szCs w:val="24"/>
                <w14:textFill>
                  <w14:solidFill>
                    <w14:schemeClr w14:val="tx1"/>
                  </w14:solidFill>
                </w14:textFill>
              </w:rPr>
            </m:ctrlPr>
          </m:e>
          <m:sub>
            <m:r>
              <m:rPr/>
              <w:rPr>
                <w:rFonts w:ascii="Cambria Math" w:hAnsi="Cambria Math" w:eastAsia="宋体" w:cs="Times New Roman"/>
                <w:color w:val="000000" w:themeColor="text1"/>
                <w:sz w:val="24"/>
                <w:szCs w:val="24"/>
                <w14:textFill>
                  <w14:solidFill>
                    <w14:schemeClr w14:val="tx1"/>
                  </w14:solidFill>
                </w14:textFill>
              </w:rPr>
              <m:t>ri</m:t>
            </m:r>
            <m:ctrlPr>
              <w:rPr>
                <w:rFonts w:ascii="Cambria Math" w:hAnsi="Cambria Math" w:eastAsia="宋体" w:cs="Times New Roman"/>
                <w:color w:val="000000" w:themeColor="text1"/>
                <w:sz w:val="24"/>
                <w:szCs w:val="24"/>
                <w14:textFill>
                  <w14:solidFill>
                    <w14:schemeClr w14:val="tx1"/>
                  </w14:solidFill>
                </w14:textFill>
              </w:rPr>
            </m:ctrlPr>
          </m:sub>
        </m:sSub>
      </m:oMath>
      <w:r>
        <w:rPr>
          <w:rFonts w:ascii="Times New Roman" w:hAnsi="Times New Roman" w:eastAsia="宋体" w:cs="Times New Roman"/>
          <w:color w:val="000000" w:themeColor="text1"/>
          <w:sz w:val="24"/>
          <w:szCs w:val="24"/>
          <w14:textFill>
            <w14:solidFill>
              <w14:schemeClr w14:val="tx1"/>
            </w14:solidFill>
          </w14:textFill>
        </w:rPr>
        <w:t xml:space="preserve"> was regarded as the "single element ecological risk value, CF was regarded as a contamination factor, and </w:t>
      </w:r>
      <m:oMath>
        <m:sSub>
          <m:sSubPr>
            <m:ctrlPr>
              <w:rPr>
                <w:rFonts w:ascii="Cambria Math" w:hAnsi="Cambria Math" w:eastAsia="宋体" w:cs="Times New Roman"/>
                <w:color w:val="000000" w:themeColor="text1"/>
                <w:sz w:val="24"/>
                <w:szCs w:val="24"/>
                <w14:textFill>
                  <w14:solidFill>
                    <w14:schemeClr w14:val="tx1"/>
                  </w14:solidFill>
                </w14:textFill>
              </w:rPr>
            </m:ctrlPr>
          </m:sSubPr>
          <m:e>
            <m:r>
              <m:rPr>
                <m:sty m:val="p"/>
              </m:rPr>
              <w:rPr>
                <w:rFonts w:ascii="Cambria Math" w:hAnsi="Cambria Math" w:eastAsia="宋体" w:cs="Times New Roman"/>
                <w:color w:val="000000" w:themeColor="text1"/>
                <w:sz w:val="24"/>
                <w:szCs w:val="24"/>
                <w14:textFill>
                  <w14:solidFill>
                    <w14:schemeClr w14:val="tx1"/>
                  </w14:solidFill>
                </w14:textFill>
              </w:rPr>
              <m:t>T</m:t>
            </m:r>
            <m:ctrlPr>
              <w:rPr>
                <w:rFonts w:ascii="Cambria Math" w:hAnsi="Cambria Math" w:eastAsia="宋体" w:cs="Times New Roman"/>
                <w:color w:val="000000" w:themeColor="text1"/>
                <w:sz w:val="24"/>
                <w:szCs w:val="24"/>
                <w14:textFill>
                  <w14:solidFill>
                    <w14:schemeClr w14:val="tx1"/>
                  </w14:solidFill>
                </w14:textFill>
              </w:rPr>
            </m:ctrlPr>
          </m:e>
          <m:sub>
            <m:r>
              <m:rPr/>
              <w:rPr>
                <w:rFonts w:ascii="Cambria Math" w:hAnsi="Cambria Math" w:eastAsia="宋体" w:cs="Times New Roman"/>
                <w:color w:val="000000" w:themeColor="text1"/>
                <w:sz w:val="24"/>
                <w:szCs w:val="24"/>
                <w14:textFill>
                  <w14:solidFill>
                    <w14:schemeClr w14:val="tx1"/>
                  </w14:solidFill>
                </w14:textFill>
              </w:rPr>
              <m:t>r</m:t>
            </m:r>
            <m:ctrlPr>
              <w:rPr>
                <w:rFonts w:ascii="Cambria Math" w:hAnsi="Cambria Math" w:eastAsia="宋体" w:cs="Times New Roman"/>
                <w:color w:val="000000" w:themeColor="text1"/>
                <w:sz w:val="24"/>
                <w:szCs w:val="24"/>
                <w14:textFill>
                  <w14:solidFill>
                    <w14:schemeClr w14:val="tx1"/>
                  </w14:solidFill>
                </w14:textFill>
              </w:rPr>
            </m:ctrlPr>
          </m:sub>
        </m:sSub>
      </m:oMath>
      <w:r>
        <w:rPr>
          <w:rFonts w:ascii="Times New Roman" w:hAnsi="Times New Roman" w:eastAsia="宋体" w:cs="Times New Roman"/>
          <w:color w:val="000000" w:themeColor="text1"/>
          <w:sz w:val="24"/>
          <w:szCs w:val="24"/>
          <w14:textFill>
            <w14:solidFill>
              <w14:schemeClr w14:val="tx1"/>
            </w14:solidFill>
          </w14:textFill>
        </w:rPr>
        <w:t xml:space="preserve"> is called a</w:t>
      </w:r>
      <w:bookmarkStart w:id="27" w:name="_Hlk91509694"/>
      <w:r>
        <w:rPr>
          <w:rFonts w:ascii="Times New Roman" w:hAnsi="Times New Roman" w:eastAsia="宋体" w:cs="Times New Roman"/>
          <w:color w:val="000000" w:themeColor="text1"/>
          <w:sz w:val="24"/>
          <w:szCs w:val="24"/>
          <w14:textFill>
            <w14:solidFill>
              <w14:schemeClr w14:val="tx1"/>
            </w14:solidFill>
          </w14:textFill>
        </w:rPr>
        <w:t xml:space="preserve"> </w:t>
      </w:r>
      <w:bookmarkStart w:id="28" w:name="_Hlk91500741"/>
      <w:r>
        <w:rPr>
          <w:rFonts w:ascii="Times New Roman" w:hAnsi="Times New Roman" w:eastAsia="宋体" w:cs="Times New Roman"/>
          <w:color w:val="000000" w:themeColor="text1"/>
          <w:sz w:val="24"/>
          <w:szCs w:val="24"/>
          <w14:textFill>
            <w14:solidFill>
              <w14:schemeClr w14:val="tx1"/>
            </w14:solidFill>
          </w14:textFill>
        </w:rPr>
        <w:t>toxic/lethal response value</w:t>
      </w:r>
      <w:bookmarkEnd w:id="27"/>
      <w:bookmarkEnd w:id="28"/>
      <w:r>
        <w:rPr>
          <w:rFonts w:ascii="Times New Roman" w:hAnsi="Times New Roman" w:eastAsia="宋体" w:cs="Times New Roman"/>
          <w:color w:val="000000" w:themeColor="text1"/>
          <w:sz w:val="24"/>
          <w:szCs w:val="24"/>
          <w14:textFill>
            <w14:solidFill>
              <w14:schemeClr w14:val="tx1"/>
            </w14:solidFill>
          </w14:textFill>
        </w:rPr>
        <w:t xml:space="preserve">. It calculates the potential threats caused by metal(loid) pollution by expressing the deadline for specific metal(loid)s and the sensitivity of the environment to pollutants. According to Rehman </w:t>
      </w:r>
      <w:r>
        <w:rPr>
          <w:rFonts w:ascii="Times New Roman" w:hAnsi="Times New Roman" w:eastAsia="宋体" w:cs="Times New Roman"/>
          <w:color w:val="0000FF"/>
          <w:sz w:val="24"/>
          <w:szCs w:val="24"/>
        </w:rPr>
        <w:fldChar w:fldCharType="begin">
          <w:fldData xml:space="preserve">PEVuZE5vdGU+PENpdGU+PEF1dGhvcj5SZWhtYW48L0F1dGhvcj48WWVhcj4yMDE4PC9ZZWFyPjxS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PEVuZE5vdGU+PENpdGU+PEF1dGhvcj5SZWhtYW48L0F1dGhvcj48WWVhcj4yMDE4PC9ZZWFyPjxS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(Rehman, et al., 2018)</w: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t xml:space="preserve"> </w:t>
      </w:r>
      <w:r>
        <w:rPr>
          <w:rFonts w:ascii="Times New Roman" w:hAnsi="Times New Roman" w:eastAsia="宋体" w:cs="Times New Roman"/>
          <w:color w:val="000000" w:themeColor="text1"/>
          <w:sz w:val="24"/>
          <w:szCs w:val="24"/>
          <w14:textFill>
            <w14:solidFill>
              <w14:schemeClr w14:val="tx1"/>
            </w14:solidFill>
          </w14:textFill>
        </w:rPr>
        <w:t>and</w:t>
      </w:r>
      <w:r>
        <w:rPr>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Hakanson</w:t>
      </w:r>
      <w:r>
        <w:rPr>
          <w:rFonts w:ascii="Times New Roman" w:hAnsi="Times New Roman" w:eastAsia="宋体" w:cs="Times New Roman"/>
          <w:color w:val="0000FF"/>
          <w:sz w:val="24"/>
          <w:szCs w:val="24"/>
        </w:rPr>
        <w:t xml:space="preserve"> </w:t>
      </w:r>
      <w:r>
        <w:rPr>
          <w:rFonts w:ascii="Times New Roman" w:hAnsi="Times New Roman" w:eastAsia="宋体" w:cs="Times New Roman"/>
          <w:color w:val="0000FF"/>
          <w:sz w:val="24"/>
          <w:szCs w:val="24"/>
        </w:rPr>
        <w:fldChar w:fldCharType="begin"/>
      </w:r>
      <w:r>
        <w:rPr>
          <w:rFonts w:ascii="Times New Roman" w:hAnsi="Times New Roman" w:eastAsia="宋体" w:cs="Times New Roman"/>
          <w:color w:val="0000FF"/>
          <w:sz w:val="24"/>
          <w:szCs w:val="24"/>
        </w:rPr>
        <w:instrText xml:space="preserve"> ADDIN EN.CITE &lt;EndNote&gt;&lt;Cite&gt;&lt;Author&gt;Hakanson&lt;/Author&gt;&lt;Year&gt;1980&lt;/Year&gt;&lt;RecNum&gt;550&lt;/RecNum&gt;&lt;DisplayText&gt;(Hakanson, 1980; Xiaoqing Kan, 2021)&lt;/DisplayText&gt;&lt;record&gt;&lt;rec-number&gt;550&lt;/rec-number&gt;&lt;foreign-keys&gt;&lt;key app="EN" db-id="r29rsf9t4052rsezxelvsv2z5efxzzf5r95r" timestamp="1640925339"&gt;550&lt;/key&gt;&lt;key app="ENWeb" db-id=""&gt;0&lt;/key&gt;&lt;/foreign-keys&gt;&lt;ref-type name="Journal Article"&gt;17&lt;/ref-type&gt;&lt;contributors&gt;&lt;authors&gt;&lt;author&gt;Lars Hakanson&lt;/author&gt;&lt;/authors&gt;&lt;/contributors&gt;&lt;titles&gt;&lt;title&gt;An ecological risk index for aquatic pollution control.a sedimentological approach&lt;/title&gt;&lt;secondary-title&gt;Water Research&lt;/secondary-title&gt;&lt;/titles&gt;&lt;periodical&gt;&lt;full-title&gt;Water Research&lt;/full-title&gt;&lt;/periodical&gt;&lt;pages&gt;975-1001&lt;/pages&gt;&lt;volume&gt;14&lt;/volume&gt;&lt;number&gt;8&lt;/number&gt;&lt;dates&gt;&lt;year&gt;1980&lt;/year&gt;&lt;/dates&gt;&lt;urls&gt;&lt;/urls&gt;&lt;/record&gt;&lt;/Cite&gt;&lt;Cite&gt;&lt;Author&gt;Xiaoqing Kan&lt;/Author&gt;&lt;Year&gt;2021&lt;/Year&gt;&lt;RecNum&gt;533&lt;/RecNum&gt;&lt;record&gt;&lt;rec-number&gt;533&lt;/rec-number&gt;&lt;foreign-keys&gt;&lt;key app="EN" db-id="r29rsf9t4052rsezxelvsv2z5efxzzf5r95r" timestamp="1640919762"&gt;533&lt;/key&gt;&lt;key app="ENWeb" db-id=""&gt;0&lt;/key&gt;&lt;/foreign-keys&gt;&lt;ref-type name="Journal Article"&gt;17&lt;/ref-type&gt;&lt;contributors&gt;&lt;authors&gt;&lt;author&gt;Xiaoqing Kan, Yiqie Dong , Lu Feng, Min Zhou, Haobo Hou, &lt;/author&gt;&lt;/authors&gt;&lt;/contributors&gt;&lt;titles&gt;&lt;title&gt;Contamination and health risk assessment of heavy metals in China’s leadezinc mine tailings: A metaeanalysis&lt;/title&gt;&lt;secondary-title&gt;Chemosphere&lt;/secondary-title&gt;&lt;/titles&gt;&lt;periodical&gt;&lt;full-title&gt;Chemosphere&lt;/full-title&gt;&lt;/periodical&gt;&lt;volume&gt;267&lt;/volume&gt;&lt;num-vols&gt;128909&lt;/num-vols&gt;&lt;dates&gt;&lt;year&gt;2021&lt;/year&gt;&lt;/dates&gt;&lt;urls&gt;&lt;/urls&gt;&lt;/record&gt;&lt;/Cite&gt;&lt;/EndNote&gt;</w:instrText>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(Hakanson, 1980; Xiaoqing Kan, 2021)</w: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00" w:themeColor="text1"/>
          <w:sz w:val="24"/>
          <w:szCs w:val="24"/>
          <w14:textFill>
            <w14:solidFill>
              <w14:schemeClr w14:val="tx1"/>
            </w14:solidFill>
          </w14:textFill>
        </w:rPr>
        <w:t xml:space="preserve">, </w:t>
      </w:r>
      <m:oMath>
        <m:sSub>
          <m:sSubPr>
            <m:ctrlPr>
              <w:rPr>
                <w:rFonts w:ascii="Cambria Math" w:hAnsi="Cambria Math" w:eastAsia="宋体" w:cs="Times New Roman"/>
                <w:i/>
                <w:color w:val="000000" w:themeColor="text1"/>
                <w:sz w:val="24"/>
                <w:szCs w:val="24"/>
                <w14:textFill>
                  <w14:solidFill>
                    <w14:schemeClr w14:val="tx1"/>
                  </w14:solidFill>
                </w14:textFill>
              </w:rPr>
            </m:ctrlPr>
          </m:sSubPr>
          <m:e>
            <m:r>
              <m:rPr/>
              <w:rPr>
                <w:rFonts w:ascii="Cambria Math" w:hAnsi="Cambria Math" w:eastAsia="宋体" w:cs="Times New Roman"/>
                <w:color w:val="000000" w:themeColor="text1"/>
                <w:sz w:val="24"/>
                <w:szCs w:val="24"/>
                <w14:textFill>
                  <w14:solidFill>
                    <w14:schemeClr w14:val="tx1"/>
                  </w14:solidFill>
                </w14:textFill>
              </w:rPr>
              <m:t>T</m:t>
            </m:r>
            <m:ctrlPr>
              <w:rPr>
                <w:rFonts w:ascii="Cambria Math" w:hAnsi="Cambria Math" w:eastAsia="宋体" w:cs="Times New Roman"/>
                <w:i/>
                <w:color w:val="000000" w:themeColor="text1"/>
                <w:sz w:val="24"/>
                <w:szCs w:val="24"/>
                <w14:textFill>
                  <w14:solidFill>
                    <w14:schemeClr w14:val="tx1"/>
                  </w14:solidFill>
                </w14:textFill>
              </w:rPr>
            </m:ctrlPr>
          </m:e>
          <m:sub>
            <m:r>
              <m:rPr/>
              <w:rPr>
                <w:rFonts w:ascii="Cambria Math" w:hAnsi="Cambria Math" w:eastAsia="宋体" w:cs="Times New Roman"/>
                <w:color w:val="000000" w:themeColor="text1"/>
                <w:sz w:val="24"/>
                <w:szCs w:val="24"/>
                <w14:textFill>
                  <w14:solidFill>
                    <w14:schemeClr w14:val="tx1"/>
                  </w14:solidFill>
                </w14:textFill>
              </w:rPr>
              <m:t>r</m:t>
            </m:r>
            <m:ctrlPr>
              <w:rPr>
                <w:rFonts w:ascii="Cambria Math" w:hAnsi="Cambria Math" w:eastAsia="宋体" w:cs="Times New Roman"/>
                <w:i/>
                <w:color w:val="000000" w:themeColor="text1"/>
                <w:sz w:val="24"/>
                <w:szCs w:val="24"/>
                <w14:textFill>
                  <w14:solidFill>
                    <w14:schemeClr w14:val="tx1"/>
                  </w14:solidFill>
                </w14:textFill>
              </w:rPr>
            </m:ctrlPr>
          </m:sub>
        </m:sSub>
      </m:oMath>
      <w:r>
        <w:rPr>
          <w:rFonts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lang w:val="en-US"/>
          <w14:textFill>
            <w14:solidFill>
              <w14:schemeClr w14:val="tx1"/>
            </w14:solidFill>
          </w14:textFill>
        </w:rPr>
        <w:t xml:space="preserve">(toxic/lethal response values) of </w:t>
      </w:r>
      <w:r>
        <w:rPr>
          <w:rFonts w:hint="eastAsia" w:ascii="Times New Roman" w:hAnsi="Times New Roman" w:eastAsia="宋体" w:cs="Times New Roman"/>
          <w:color w:val="000000" w:themeColor="text1"/>
          <w:sz w:val="24"/>
          <w:szCs w:val="24"/>
          <w:lang w:val="en-US"/>
          <w14:textFill>
            <w14:solidFill>
              <w14:schemeClr w14:val="tx1"/>
            </w14:solidFill>
          </w14:textFill>
        </w:rPr>
        <w:t>Cd, Cr, Cu, Ni, Zn, Pb and As</w:t>
      </w:r>
      <w:r>
        <w:rPr>
          <w:rFonts w:ascii="Times New Roman" w:hAnsi="Times New Roman" w:eastAsia="宋体" w:cs="Times New Roman"/>
          <w:color w:val="000000" w:themeColor="text1"/>
          <w:sz w:val="24"/>
          <w:szCs w:val="24"/>
          <w:lang w:val="en-US"/>
          <w14:textFill>
            <w14:solidFill>
              <w14:schemeClr w14:val="tx1"/>
            </w14:solidFill>
          </w14:textFill>
        </w:rPr>
        <w:t xml:space="preserve"> were</w:t>
      </w:r>
      <w:r>
        <w:rPr>
          <w:rFonts w:hint="eastAsia" w:ascii="Times New Roman" w:hAnsi="Times New Roman" w:eastAsia="宋体" w:cs="Times New Roman"/>
          <w:color w:val="000000" w:themeColor="text1"/>
          <w:sz w:val="24"/>
          <w:szCs w:val="24"/>
          <w:lang w:val="en-US"/>
          <w14:textFill>
            <w14:solidFill>
              <w14:schemeClr w14:val="tx1"/>
            </w14:solidFill>
          </w14:textFill>
        </w:rPr>
        <w:t xml:space="preserve"> 30, 2, 5, 5, 1, 5 and 10</w:t>
      </w:r>
      <w:r>
        <w:rPr>
          <w:rFonts w:ascii="Times New Roman" w:hAnsi="Times New Roman" w:eastAsia="宋体" w:cs="Times New Roman"/>
          <w:color w:val="000000" w:themeColor="text1"/>
          <w:sz w:val="24"/>
          <w:szCs w:val="24"/>
          <w:lang w:val="en-US"/>
          <w14:textFill>
            <w14:solidFill>
              <w14:schemeClr w14:val="tx1"/>
            </w14:solidFill>
          </w14:textFill>
        </w:rPr>
        <w:t xml:space="preserve"> respectively</w:t>
      </w:r>
      <w:r>
        <w:rPr>
          <w:rFonts w:ascii="Times New Roman" w:hAnsi="Times New Roman" w:eastAsia="宋体" w:cs="Times New Roman"/>
          <w:color w:val="1A1A1A"/>
          <w:sz w:val="24"/>
          <w:szCs w:val="24"/>
          <w:lang w:val="en-US"/>
        </w:rPr>
        <w:t>.</w:t>
      </w:r>
      <w:r>
        <w:rPr>
          <w:rFonts w:hint="eastAsia" w:ascii="Times New Roman" w:hAnsi="Times New Roman" w:eastAsia="宋体" w:cs="Times New Roman"/>
          <w:color w:val="1A1A1A"/>
          <w:sz w:val="24"/>
          <w:szCs w:val="24"/>
          <w:lang w:val="en-US"/>
        </w:rPr>
        <w:t xml:space="preserve"> </w:t>
      </w:r>
      <w:r>
        <w:rPr>
          <w:rFonts w:ascii="Times New Roman" w:hAnsi="Times New Roman" w:eastAsia="宋体" w:cs="Times New Roman"/>
          <w:color w:val="000000"/>
          <w:sz w:val="24"/>
          <w:szCs w:val="24"/>
          <w:lang w:val="en-US"/>
        </w:rPr>
        <w:t xml:space="preserve">The pollution grades corresponding to the different values of the index are shown in </w:t>
      </w:r>
      <w:r>
        <w:rPr>
          <w:rFonts w:hint="eastAsia" w:ascii="Times New Roman" w:hAnsi="Times New Roman" w:eastAsia="宋体" w:cs="Times New Roman"/>
          <w:b/>
          <w:bCs/>
          <w:color w:val="000000"/>
          <w:sz w:val="24"/>
          <w:szCs w:val="24"/>
          <w:lang w:val="en-US"/>
        </w:rPr>
        <w:t>T</w:t>
      </w:r>
      <w:r>
        <w:rPr>
          <w:rFonts w:ascii="Times New Roman" w:hAnsi="Times New Roman" w:eastAsia="宋体" w:cs="Times New Roman"/>
          <w:b/>
          <w:bCs/>
          <w:color w:val="000000"/>
          <w:sz w:val="24"/>
          <w:szCs w:val="24"/>
          <w:lang w:val="en-US"/>
        </w:rPr>
        <w:t xml:space="preserve">able </w:t>
      </w:r>
      <w:r>
        <w:rPr>
          <w:rFonts w:hint="eastAsia" w:ascii="Times New Roman" w:hAnsi="Times New Roman" w:eastAsia="等线" w:cs="Times New Roman"/>
          <w:b/>
          <w:bCs/>
          <w:sz w:val="24"/>
          <w:szCs w:val="24"/>
          <w:lang w:val="en-US"/>
        </w:rPr>
        <w:t>2</w:t>
      </w:r>
      <w:r>
        <w:rPr>
          <w:rFonts w:ascii="Times New Roman" w:hAnsi="Times New Roman" w:eastAsia="宋体" w:cs="Times New Roman"/>
          <w:color w:val="000000"/>
          <w:sz w:val="24"/>
          <w:szCs w:val="24"/>
          <w:lang w:val="en-US"/>
        </w:rPr>
        <w:t>.</w:t>
      </w:r>
    </w:p>
    <w:p>
      <w:pPr>
        <w:pStyle w:val="6"/>
        <w:rPr>
          <w:sz w:val="24"/>
          <w:szCs w:val="24"/>
        </w:rPr>
      </w:pPr>
      <w:r>
        <w:rPr>
          <w:rFonts w:hint="eastAsia" w:ascii="Times New Roman" w:hAnsi="Times New Roman" w:eastAsia="黑体" w:cs="Times New Roman"/>
          <w:sz w:val="24"/>
          <w:szCs w:val="24"/>
          <w:lang w:val="en-US"/>
        </w:rPr>
        <w:t>1</w:t>
      </w:r>
      <w:r>
        <w:rPr>
          <w:rFonts w:ascii="Times New Roman" w:hAnsi="Times New Roman" w:eastAsia="黑体" w:cs="Times New Roman"/>
          <w:sz w:val="24"/>
          <w:szCs w:val="24"/>
        </w:rPr>
        <w:t xml:space="preserve">.5 </w:t>
      </w:r>
      <w:bookmarkStart w:id="29" w:name="_Hlk91772351"/>
      <w:bookmarkStart w:id="30" w:name="_Hlk91580687"/>
      <w:r>
        <w:rPr>
          <w:rFonts w:ascii="Times New Roman" w:hAnsi="Times New Roman" w:eastAsia="黑体" w:cs="Times New Roman"/>
          <w:sz w:val="24"/>
          <w:szCs w:val="24"/>
        </w:rPr>
        <w:t>Human health risk</w:t>
      </w:r>
      <w:bookmarkEnd w:id="29"/>
      <w:r>
        <w:rPr>
          <w:rFonts w:ascii="Times New Roman" w:hAnsi="Times New Roman" w:eastAsia="黑体" w:cs="Times New Roman"/>
          <w:sz w:val="24"/>
          <w:szCs w:val="24"/>
        </w:rPr>
        <w:t xml:space="preserve"> assessment</w:t>
      </w:r>
      <w:bookmarkEnd w:id="30"/>
    </w:p>
    <w:p>
      <w:pPr>
        <w:pStyle w:val="7"/>
        <w:rPr>
          <w:rFonts w:ascii="Times New Roman" w:hAnsi="Times New Roman" w:eastAsia="黑体" w:cs="Times New Roman"/>
        </w:rPr>
      </w:pPr>
      <w:r>
        <w:rPr>
          <w:rFonts w:hint="eastAsia" w:ascii="Times New Roman" w:hAnsi="Times New Roman" w:eastAsia="黑体" w:cs="Times New Roman"/>
          <w:lang w:val="en-US"/>
        </w:rPr>
        <w:t>1</w:t>
      </w:r>
      <w:r>
        <w:rPr>
          <w:rFonts w:ascii="Times New Roman" w:hAnsi="Times New Roman" w:eastAsia="黑体" w:cs="Times New Roman"/>
        </w:rPr>
        <w:t>.5.1 Human exposure and health risk assessment</w:t>
      </w:r>
    </w:p>
    <w:p>
      <w:pPr>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The non-cancer and cancer risks caused by soil metal(loid) pollution exposure were calculated based on the total content of selected metal(loid) </w:t>
      </w:r>
      <w:r>
        <w:rPr>
          <w:rFonts w:ascii="Times New Roman" w:hAnsi="Times New Roman" w:eastAsia="宋体" w:cs="Times New Roman"/>
          <w:color w:val="0000FF"/>
          <w:sz w:val="24"/>
          <w:szCs w:val="24"/>
        </w:rPr>
        <w:fldChar w:fldCharType="begin">
          <w:fldData xml:space="preserve">PEVuZE5vdGU+PENpdGU+PEF1dGhvcj5TaGk8L0F1dGhvcj48WWVhcj4yMDIwPC9ZZWFyPjxSZWNO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PEVuZE5vdGU+PENpdGU+PEF1dGhvcj5TaGk8L0F1dGhvcj48WWVhcj4yMDIwPC9ZZWFyPjxSZWNO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(Cheng, et al., 2018; Shi, et al., 2020; Zhang, O'Connor, Xu, &amp; Hou, 2020)</w:t>
      </w:r>
      <w:r>
        <w:rPr>
          <w:rFonts w:ascii="Times New Roman" w:hAnsi="Times New Roman" w:eastAsia="宋体" w:cs="Times New Roman"/>
          <w:color w:val="0000FF"/>
          <w:sz w:val="24"/>
          <w:szCs w:val="24"/>
        </w:rPr>
        <w:fldChar w:fldCharType="end"/>
      </w:r>
      <w:r>
        <w:rPr>
          <w:rFonts w:ascii="Times New Roman" w:hAnsi="Times New Roman" w:eastAsia="宋体" w:cs="Times New Roman"/>
          <w:sz w:val="24"/>
          <w:szCs w:val="24"/>
        </w:rPr>
        <w:t xml:space="preserve">. The formulas used here to evaluate the interaction between humans and metals are based on the literature and programs/strategies developed by USEPA </w:t>
      </w:r>
      <w:r>
        <w:rPr>
          <w:rFonts w:ascii="Times New Roman" w:hAnsi="Times New Roman" w:eastAsia="宋体" w:cs="Times New Roman"/>
          <w:color w:val="0000FF"/>
          <w:sz w:val="24"/>
          <w:szCs w:val="24"/>
        </w:rPr>
        <w:fldChar w:fldCharType="begin"/>
      </w:r>
      <w:r>
        <w:rPr>
          <w:rFonts w:ascii="Times New Roman" w:hAnsi="Times New Roman" w:eastAsia="宋体" w:cs="Times New Roman"/>
          <w:color w:val="0000FF"/>
          <w:sz w:val="24"/>
          <w:szCs w:val="24"/>
        </w:rPr>
        <w:instrText xml:space="preserve"> ADDIN EN.CITE &lt;EndNote&gt;&lt;Cite&gt;&lt;Author&gt;Xiaoqing Kan&lt;/Author&gt;&lt;Year&gt;2021&lt;/Year&gt;&lt;RecNum&gt;533&lt;/RecNum&gt;&lt;DisplayText&gt;(Xiaoqing Kan, 2021)&lt;/DisplayText&gt;&lt;record&gt;&lt;rec-number&gt;533&lt;/rec-number&gt;&lt;foreign-keys&gt;&lt;key app="EN" db-id="r29rsf9t4052rsezxelvsv2z5efxzzf5r95r" timestamp="1640919762"&gt;533&lt;/key&gt;&lt;key app="ENWeb" db-id=""&gt;0&lt;/key&gt;&lt;/foreign-keys&gt;&lt;ref-type name="Journal Article"&gt;17&lt;/ref-type&gt;&lt;contributors&gt;&lt;authors&gt;&lt;author&gt;Xiaoqing Kan, Yiqie Dong , Lu Feng, Min Zhou, Haobo Hou, &lt;/author&gt;&lt;/authors&gt;&lt;/contributors&gt;&lt;titles&gt;&lt;title&gt;Contamination and health risk assessment of heavy metals in China’s leadezinc mine tailings: A metaeanalysis&lt;/title&gt;&lt;secondary-title&gt;Chemosphere&lt;/secondary-title&gt;&lt;/titles&gt;&lt;periodical&gt;&lt;full-title&gt;Chemosphere&lt;/full-title&gt;&lt;/periodical&gt;&lt;volume&gt;267&lt;/volume&gt;&lt;num-vols&gt;128909&lt;/num-vols&gt;&lt;dates&gt;&lt;year&gt;2021&lt;/year&gt;&lt;/dates&gt;&lt;urls&gt;&lt;/urls&gt;&lt;/record&gt;&lt;/Cite&gt;&lt;/EndNote&gt;</w:instrText>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(Kan, et al., 2021)</w:t>
      </w:r>
      <w:r>
        <w:rPr>
          <w:rFonts w:ascii="Times New Roman" w:hAnsi="Times New Roman" w:eastAsia="宋体" w:cs="Times New Roman"/>
          <w:color w:val="0000FF"/>
          <w:sz w:val="24"/>
          <w:szCs w:val="24"/>
        </w:rPr>
        <w:fldChar w:fldCharType="end"/>
      </w:r>
      <w:r>
        <w:rPr>
          <w:rFonts w:ascii="Times New Roman" w:hAnsi="Times New Roman" w:eastAsia="宋体" w:cs="Times New Roman"/>
          <w:sz w:val="24"/>
          <w:szCs w:val="24"/>
        </w:rPr>
        <w:t>. Metal(loid) contact may occur in three main ways: (a) breathing air particles inward through the nose and mouth; (b) through the skin</w:t>
      </w:r>
      <w:r>
        <w:rPr>
          <w:sz w:val="24"/>
          <w:szCs w:val="24"/>
        </w:rPr>
        <w:t xml:space="preserve"> </w:t>
      </w:r>
      <w:r>
        <w:rPr>
          <w:rFonts w:ascii="Times New Roman" w:hAnsi="Times New Roman" w:eastAsia="宋体" w:cs="Times New Roman"/>
          <w:sz w:val="24"/>
          <w:szCs w:val="24"/>
        </w:rPr>
        <w:t>attaching elemental particles</w:t>
      </w:r>
      <w:r>
        <w:rPr>
          <w:sz w:val="24"/>
          <w:szCs w:val="24"/>
        </w:rPr>
        <w:t xml:space="preserve"> </w:t>
      </w:r>
      <w:r>
        <w:rPr>
          <w:rFonts w:ascii="Times New Roman" w:hAnsi="Times New Roman" w:eastAsia="宋体" w:cs="Times New Roman"/>
          <w:sz w:val="24"/>
          <w:szCs w:val="24"/>
        </w:rPr>
        <w:t>of exposed areas, called "skin absorption", and (c) ingesting deposited particles. Here, three exposure routes related to soil metal(loid)s were explored: oral, skin contact and inhalation. The research subjects were divided into children (age 0-18 years) and adults (age &gt; 18 years). The average daily intake of metal(loid)s (ADI) was calculated using the following formulas</w:t>
      </w:r>
      <w:r>
        <w:rPr>
          <w:rFonts w:hint="eastAsia" w:ascii="Times New Roman" w:hAnsi="Times New Roman" w:eastAsia="宋体" w:cs="Times New Roman"/>
          <w:sz w:val="24"/>
          <w:szCs w:val="24"/>
        </w:rPr>
        <w:t>.</w:t>
      </w:r>
    </w:p>
    <w:p>
      <w:pPr>
        <w:tabs>
          <w:tab w:val="left" w:pos="6663"/>
        </w:tabs>
        <w:ind w:firstLine="480" w:firstLineChars="200"/>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w:rPr>
                <w:rFonts w:ascii="Cambria Math" w:hAnsi="Cambria Math" w:cs="Times New Roman"/>
                <w:sz w:val="24"/>
                <w:szCs w:val="24"/>
              </w:rPr>
              <m:t>ADI</m:t>
            </m:r>
            <m:ctrlPr>
              <w:rPr>
                <w:rFonts w:ascii="Cambria Math" w:hAnsi="Cambria Math" w:cs="Times New Roman"/>
                <w:sz w:val="24"/>
                <w:szCs w:val="24"/>
              </w:rPr>
            </m:ctrlPr>
          </m:e>
          <m:sub>
            <m:r>
              <m:rPr/>
              <w:rPr>
                <w:rFonts w:ascii="Cambria Math" w:hAnsi="Cambria Math" w:cs="Times New Roman"/>
                <w:sz w:val="24"/>
                <w:szCs w:val="24"/>
              </w:rPr>
              <m:t>ing</m:t>
            </m:r>
            <m:ctrlPr>
              <w:rPr>
                <w:rFonts w:ascii="Cambria Math" w:hAnsi="Cambria Math" w:cs="Times New Roman"/>
                <w:sz w:val="24"/>
                <w:szCs w:val="24"/>
              </w:rPr>
            </m:ctrlPr>
          </m:sub>
        </m:sSub>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C</m:t>
            </m:r>
            <m:r>
              <m:rPr/>
              <w:rPr>
                <w:rFonts w:ascii="Cambria Math" w:hAnsi="Cambria Math" w:eastAsia="MS Gothic" w:cs="Times New Roman"/>
                <w:sz w:val="24"/>
                <w:szCs w:val="24"/>
              </w:rPr>
              <m:t>∗</m:t>
            </m:r>
            <m:r>
              <m:rPr/>
              <w:rPr>
                <w:rFonts w:ascii="Cambria Math" w:hAnsi="Cambria Math" w:cs="Times New Roman"/>
                <w:sz w:val="24"/>
                <w:szCs w:val="24"/>
              </w:rPr>
              <m:t>IngR</m:t>
            </m:r>
            <m:r>
              <m:rPr/>
              <w:rPr>
                <w:rFonts w:ascii="Cambria Math" w:hAnsi="Cambria Math" w:eastAsia="MS Gothic" w:cs="Times New Roman"/>
                <w:sz w:val="24"/>
                <w:szCs w:val="24"/>
              </w:rPr>
              <m:t>∗</m:t>
            </m:r>
            <m:r>
              <m:rPr/>
              <w:rPr>
                <w:rFonts w:ascii="Cambria Math" w:hAnsi="Cambria Math" w:cs="Times New Roman"/>
                <w:sz w:val="24"/>
                <w:szCs w:val="24"/>
              </w:rPr>
              <m:t>ED∗EF∗FI</m:t>
            </m:r>
            <m:ctrlPr>
              <w:rPr>
                <w:rFonts w:ascii="Cambria Math" w:hAnsi="Cambria Math" w:cs="Times New Roman"/>
                <w:i/>
                <w:sz w:val="24"/>
                <w:szCs w:val="24"/>
              </w:rPr>
            </m:ctrlPr>
          </m:num>
          <m:den>
            <m:r>
              <m:rPr/>
              <w:rPr>
                <w:rFonts w:ascii="Cambria Math" w:hAnsi="Cambria Math" w:cs="Times New Roman"/>
                <w:sz w:val="24"/>
                <w:szCs w:val="24"/>
              </w:rPr>
              <m:t>BW∗AT</m:t>
            </m:r>
            <m:ctrlPr>
              <w:rPr>
                <w:rFonts w:ascii="Cambria Math" w:hAnsi="Cambria Math" w:cs="Times New Roman"/>
                <w:i/>
                <w:sz w:val="24"/>
                <w:szCs w:val="24"/>
              </w:rPr>
            </m:ctrlPr>
          </m:den>
        </m:f>
      </m:oMath>
      <w:r>
        <w:rPr>
          <w:rFonts w:ascii="Times New Roman" w:hAnsi="Times New Roman" w:cs="Times New Roman"/>
          <w:sz w:val="24"/>
          <w:szCs w:val="24"/>
        </w:rPr>
        <w:t xml:space="preserve">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Pr>
          <w:rFonts w:ascii="Times New Roman" w:hAnsi="Times New Roman" w:eastAsia="宋体" w:cs="Times New Roman"/>
          <w:color w:val="0000FF"/>
          <w:sz w:val="24"/>
          <w:szCs w:val="24"/>
        </w:rPr>
        <w:t>（8）</w:t>
      </w:r>
    </w:p>
    <w:p>
      <w:pPr>
        <w:ind w:firstLine="480" w:firstLineChars="200"/>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w:rPr>
                <w:rFonts w:ascii="Cambria Math" w:hAnsi="Cambria Math" w:cs="Times New Roman"/>
                <w:sz w:val="24"/>
                <w:szCs w:val="24"/>
              </w:rPr>
              <m:t>ADI</m:t>
            </m:r>
            <m:ctrlPr>
              <w:rPr>
                <w:rFonts w:ascii="Cambria Math" w:hAnsi="Cambria Math" w:cs="Times New Roman"/>
                <w:sz w:val="24"/>
                <w:szCs w:val="24"/>
              </w:rPr>
            </m:ctrlPr>
          </m:e>
          <m:sub>
            <m:r>
              <m:rPr/>
              <w:rPr>
                <w:rFonts w:ascii="Cambria Math" w:hAnsi="Cambria Math" w:cs="Times New Roman"/>
                <w:sz w:val="24"/>
                <w:szCs w:val="24"/>
              </w:rPr>
              <m:t>dermal</m:t>
            </m:r>
            <m:ctrlPr>
              <w:rPr>
                <w:rFonts w:ascii="Cambria Math" w:hAnsi="Cambria Math" w:cs="Times New Roman"/>
                <w:sz w:val="24"/>
                <w:szCs w:val="24"/>
              </w:rPr>
            </m:ctrlPr>
          </m:sub>
        </m:sSub>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C∗SA∗AF∗ABF∗ED∗EF</m:t>
            </m:r>
            <m:ctrlPr>
              <w:rPr>
                <w:rFonts w:ascii="Cambria Math" w:hAnsi="Cambria Math" w:cs="Times New Roman"/>
                <w:i/>
                <w:sz w:val="24"/>
                <w:szCs w:val="24"/>
              </w:rPr>
            </m:ctrlPr>
          </m:num>
          <m:den>
            <m:r>
              <m:rPr/>
              <w:rPr>
                <w:rFonts w:ascii="Cambria Math" w:hAnsi="Cambria Math" w:cs="Times New Roman"/>
                <w:sz w:val="24"/>
                <w:szCs w:val="24"/>
              </w:rPr>
              <m:t>BW∗AT</m:t>
            </m:r>
            <m:ctrlPr>
              <w:rPr>
                <w:rFonts w:ascii="Cambria Math" w:hAnsi="Cambria Math" w:cs="Times New Roman"/>
                <w:i/>
                <w:sz w:val="24"/>
                <w:szCs w:val="24"/>
              </w:rPr>
            </m:ctrlPr>
          </m:den>
        </m:f>
      </m:oMath>
      <w:r>
        <w:rPr>
          <w:rFonts w:ascii="Times New Roman" w:hAnsi="Times New Roman" w:cs="Times New Roman"/>
          <w:sz w:val="24"/>
          <w:szCs w:val="24"/>
        </w:rPr>
        <w:t xml:space="preserve">   *10</w:t>
      </w:r>
      <w:r>
        <w:rPr>
          <w:rFonts w:ascii="Times New Roman" w:hAnsi="Times New Roman" w:cs="Times New Roman"/>
          <w:sz w:val="24"/>
          <w:szCs w:val="24"/>
          <w:vertAlign w:val="superscript"/>
        </w:rPr>
        <w:t xml:space="preserve">-6 </w:t>
      </w:r>
      <w:r>
        <w:rPr>
          <w:rFonts w:ascii="Times New Roman" w:hAnsi="Times New Roman" w:cs="Times New Roman"/>
          <w:sz w:val="24"/>
          <w:szCs w:val="24"/>
        </w:rPr>
        <w:t xml:space="preserve">         </w:t>
      </w:r>
      <w:r>
        <w:rPr>
          <w:rFonts w:ascii="Times New Roman" w:hAnsi="Times New Roman" w:eastAsia="宋体" w:cs="Times New Roman"/>
          <w:color w:val="0000FF"/>
          <w:sz w:val="24"/>
          <w:szCs w:val="24"/>
        </w:rPr>
        <w:t>（9）</w:t>
      </w:r>
    </w:p>
    <w:p>
      <w:pPr>
        <w:ind w:firstLine="480" w:firstLineChars="200"/>
        <w:jc w:val="center"/>
        <w:rPr>
          <w:rFonts w:ascii="Times New Roman" w:hAnsi="Times New Roman" w:eastAsia="宋体" w:cs="Times New Roman"/>
          <w:color w:val="0000FF"/>
          <w:sz w:val="24"/>
          <w:szCs w:val="24"/>
        </w:rPr>
      </w:pPr>
      <m:oMath>
        <m:sSub>
          <m:sSubPr>
            <m:ctrlPr>
              <w:rPr>
                <w:rFonts w:ascii="Cambria Math" w:hAnsi="Cambria Math" w:cs="Times New Roman"/>
                <w:sz w:val="24"/>
                <w:szCs w:val="24"/>
              </w:rPr>
            </m:ctrlPr>
          </m:sSubPr>
          <m:e>
            <m:r>
              <m:rPr/>
              <w:rPr>
                <w:rFonts w:ascii="Cambria Math" w:hAnsi="Cambria Math" w:cs="Times New Roman"/>
                <w:sz w:val="24"/>
                <w:szCs w:val="24"/>
              </w:rPr>
              <m:t>ADI</m:t>
            </m:r>
            <m:ctrlPr>
              <w:rPr>
                <w:rFonts w:ascii="Cambria Math" w:hAnsi="Cambria Math" w:cs="Times New Roman"/>
                <w:sz w:val="24"/>
                <w:szCs w:val="24"/>
              </w:rPr>
            </m:ctrlPr>
          </m:e>
          <m:sub>
            <m:r>
              <m:rPr/>
              <w:rPr>
                <w:rFonts w:ascii="Cambria Math" w:hAnsi="Cambria Math" w:cs="Times New Roman"/>
                <w:sz w:val="24"/>
                <w:szCs w:val="24"/>
              </w:rPr>
              <m:t>inℎ</m:t>
            </m:r>
            <m:ctrlPr>
              <w:rPr>
                <w:rFonts w:ascii="Cambria Math" w:hAnsi="Cambria Math" w:cs="Times New Roman"/>
                <w:sz w:val="24"/>
                <w:szCs w:val="24"/>
              </w:rPr>
            </m:ctrlPr>
          </m:sub>
        </m:sSub>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C∗ET∗EF∗ED</m:t>
            </m:r>
            <m:ctrlPr>
              <w:rPr>
                <w:rFonts w:ascii="Cambria Math" w:hAnsi="Cambria Math" w:cs="Times New Roman"/>
                <w:i/>
                <w:sz w:val="24"/>
                <w:szCs w:val="24"/>
              </w:rPr>
            </m:ctrlPr>
          </m:num>
          <m:den>
            <m:r>
              <m:rPr/>
              <w:rPr>
                <w:rFonts w:ascii="Cambria Math" w:hAnsi="Cambria Math" w:cs="Times New Roman"/>
                <w:sz w:val="24"/>
                <w:szCs w:val="24"/>
              </w:rPr>
              <m:t>PEF∗BW∗AT</m:t>
            </m:r>
            <m:ctrlPr>
              <w:rPr>
                <w:rFonts w:ascii="Cambria Math" w:hAnsi="Cambria Math" w:cs="Times New Roman"/>
                <w:i/>
                <w:sz w:val="24"/>
                <w:szCs w:val="24"/>
              </w:rPr>
            </m:ctrlPr>
          </m:den>
        </m:f>
      </m:oMath>
      <w:r>
        <w:rPr>
          <w:rFonts w:ascii="Times New Roman" w:hAnsi="Times New Roman" w:cs="Times New Roman"/>
          <w:sz w:val="24"/>
          <w:szCs w:val="24"/>
        </w:rPr>
        <w:t xml:space="preserve">                                      </w:t>
      </w:r>
      <w:r>
        <w:rPr>
          <w:rFonts w:ascii="Times New Roman" w:hAnsi="Times New Roman" w:eastAsia="宋体" w:cs="Times New Roman"/>
          <w:color w:val="0000FF"/>
          <w:sz w:val="24"/>
          <w:szCs w:val="24"/>
        </w:rPr>
        <w:t xml:space="preserve">  （10）</w:t>
      </w: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eastAsia="宋体" w:cs="Times New Roman"/>
          <w:color w:val="000000" w:themeColor="text1"/>
          <w:sz w:val="24"/>
          <w:szCs w:val="24"/>
          <w14:textFill>
            <w14:solidFill>
              <w14:schemeClr w14:val="tx1"/>
            </w14:solidFill>
          </w14:textFill>
        </w:rPr>
        <w:t>USEPA</w:t>
      </w:r>
      <w:r>
        <w:rPr>
          <w:rFonts w:ascii="Times New Roman" w:hAnsi="Times New Roman" w:eastAsia="宋体" w:cs="Times New Roman"/>
          <w:color w:val="0000FF"/>
          <w:sz w:val="24"/>
          <w:szCs w:val="24"/>
        </w:rPr>
        <w:t xml:space="preserve"> (USEPA, 19</w:t>
      </w:r>
      <w:r>
        <w:rPr>
          <w:rFonts w:hint="eastAsia" w:ascii="Times New Roman" w:hAnsi="Times New Roman" w:eastAsia="宋体" w:cs="Times New Roman"/>
          <w:color w:val="0000FF"/>
          <w:sz w:val="24"/>
          <w:szCs w:val="24"/>
        </w:rPr>
        <w:t>89</w:t>
      </w:r>
      <w:r>
        <w:rPr>
          <w:rFonts w:ascii="Times New Roman" w:hAnsi="Times New Roman" w:eastAsia="宋体" w:cs="Times New Roman"/>
          <w:color w:val="0000FF"/>
          <w:sz w:val="24"/>
          <w:szCs w:val="24"/>
        </w:rPr>
        <w:t>, 200</w:t>
      </w:r>
      <w:r>
        <w:rPr>
          <w:rFonts w:hint="eastAsia" w:ascii="Times New Roman" w:hAnsi="Times New Roman" w:eastAsia="宋体" w:cs="Times New Roman"/>
          <w:color w:val="0000FF"/>
          <w:sz w:val="24"/>
          <w:szCs w:val="24"/>
        </w:rPr>
        <w:t>9，201</w:t>
      </w:r>
      <w:r>
        <w:rPr>
          <w:rFonts w:ascii="Times New Roman" w:hAnsi="Times New Roman" w:eastAsia="宋体" w:cs="Times New Roman"/>
          <w:color w:val="0000FF"/>
          <w:sz w:val="24"/>
          <w:szCs w:val="24"/>
        </w:rPr>
        <w:t>1)</w:t>
      </w:r>
      <w:r>
        <w:rPr>
          <w:rFonts w:ascii="Times New Roman" w:hAnsi="Times New Roman" w:cs="Times New Roman"/>
          <w:sz w:val="24"/>
          <w:szCs w:val="24"/>
        </w:rPr>
        <w:t>, where IngR is ingestion rate of soil, C is the value (mg kg</w:t>
      </w:r>
      <w:r>
        <w:rPr>
          <w:rFonts w:ascii="Times New Roman" w:hAnsi="Times New Roman" w:cs="Times New Roman"/>
          <w:sz w:val="24"/>
          <w:szCs w:val="24"/>
          <w:vertAlign w:val="superscript"/>
        </w:rPr>
        <w:t>-1</w:t>
      </w:r>
      <w:r>
        <w:rPr>
          <w:rFonts w:ascii="Times New Roman" w:hAnsi="Times New Roman" w:cs="Times New Roman"/>
          <w:sz w:val="24"/>
          <w:szCs w:val="24"/>
        </w:rPr>
        <w:t>) of each toxic metal(loid)</w:t>
      </w:r>
      <w:r>
        <w:rPr>
          <w:rFonts w:hint="eastAsia" w:ascii="Times New Roman" w:hAnsi="Times New Roman" w:cs="Times New Roman"/>
          <w:sz w:val="24"/>
          <w:szCs w:val="24"/>
        </w:rPr>
        <w:t>,</w:t>
      </w:r>
      <w:r>
        <w:rPr>
          <w:rFonts w:ascii="Times New Roman" w:hAnsi="Times New Roman" w:cs="Times New Roman"/>
          <w:sz w:val="24"/>
          <w:szCs w:val="24"/>
        </w:rPr>
        <w:t xml:space="preserve"> and EF and ED are exposure frequency and exposure duration, respectively</w:t>
      </w:r>
      <w:r>
        <w:rPr>
          <w:rFonts w:hint="eastAsia" w:ascii="Times New Roman" w:hAnsi="Times New Roman" w:cs="Times New Roman"/>
          <w:sz w:val="24"/>
          <w:szCs w:val="24"/>
        </w:rPr>
        <w:t>.</w:t>
      </w:r>
      <w:r>
        <w:rPr>
          <w:sz w:val="24"/>
          <w:szCs w:val="24"/>
        </w:rPr>
        <w:t xml:space="preserve"> </w:t>
      </w:r>
      <w:r>
        <w:rPr>
          <w:rFonts w:ascii="Times New Roman" w:hAnsi="Times New Roman" w:cs="Times New Roman"/>
          <w:sz w:val="24"/>
          <w:szCs w:val="24"/>
        </w:rPr>
        <w:t>FI is the factor ingested from the contamination source,</w:t>
      </w:r>
      <w:r>
        <w:rPr>
          <w:sz w:val="24"/>
          <w:szCs w:val="24"/>
        </w:rPr>
        <w:t xml:space="preserve"> </w:t>
      </w:r>
      <w:r>
        <w:rPr>
          <w:rFonts w:ascii="Times New Roman" w:hAnsi="Times New Roman" w:cs="Times New Roman"/>
          <w:sz w:val="24"/>
          <w:szCs w:val="24"/>
        </w:rPr>
        <w:t>PEF is</w:t>
      </w:r>
      <w:r>
        <w:rPr>
          <w:rFonts w:ascii="Times New Roman" w:hAnsi="Times New Roman" w:eastAsia="宋体" w:cs="Times New Roman"/>
          <w:sz w:val="24"/>
          <w:szCs w:val="24"/>
        </w:rPr>
        <w:t xml:space="preserve"> the particle emission factor,</w:t>
      </w:r>
      <w:r>
        <w:rPr>
          <w:sz w:val="24"/>
          <w:szCs w:val="24"/>
        </w:rPr>
        <w:t xml:space="preserve"> </w:t>
      </w:r>
      <w:r>
        <w:rPr>
          <w:rFonts w:ascii="Times New Roman" w:hAnsi="Times New Roman" w:eastAsia="宋体" w:cs="Times New Roman"/>
          <w:sz w:val="24"/>
          <w:szCs w:val="24"/>
        </w:rPr>
        <w:t>BW is the average body weight,</w:t>
      </w:r>
      <w:r>
        <w:rPr>
          <w:rFonts w:ascii="Times New Roman" w:hAnsi="Times New Roman" w:cs="Times New Roman"/>
          <w:sz w:val="24"/>
          <w:szCs w:val="24"/>
        </w:rPr>
        <w:t xml:space="preserve"> AT is the average time </w:t>
      </w:r>
      <w:r>
        <w:rPr>
          <w:rFonts w:ascii="Times New Roman" w:hAnsi="Times New Roman" w:eastAsia="宋体" w:cs="Times New Roman"/>
          <w:sz w:val="24"/>
          <w:szCs w:val="24"/>
        </w:rPr>
        <w:t>of exposure to contaminated soil,</w:t>
      </w:r>
      <w:r>
        <w:rPr>
          <w:rFonts w:hint="eastAsia" w:ascii="Times New Roman" w:hAnsi="Times New Roman" w:cs="Times New Roman"/>
          <w:sz w:val="24"/>
          <w:szCs w:val="24"/>
        </w:rPr>
        <w:t xml:space="preserve"> </w:t>
      </w:r>
      <w:r>
        <w:rPr>
          <w:rFonts w:ascii="Times New Roman" w:hAnsi="Times New Roman" w:cs="Times New Roman"/>
          <w:sz w:val="24"/>
          <w:szCs w:val="24"/>
        </w:rPr>
        <w:t>SA is the exposed skin area,</w:t>
      </w:r>
      <w:r>
        <w:rPr>
          <w:sz w:val="24"/>
          <w:szCs w:val="24"/>
        </w:rPr>
        <w:t xml:space="preserve"> </w:t>
      </w:r>
      <w:r>
        <w:rPr>
          <w:rFonts w:ascii="Times New Roman" w:hAnsi="Times New Roman" w:cs="Times New Roman"/>
          <w:sz w:val="24"/>
          <w:szCs w:val="24"/>
        </w:rPr>
        <w:t>AF is the adherence factor, ABF is</w:t>
      </w:r>
      <w:r>
        <w:rPr>
          <w:sz w:val="24"/>
          <w:szCs w:val="24"/>
        </w:rPr>
        <w:t xml:space="preserve"> </w:t>
      </w:r>
      <w:r>
        <w:rPr>
          <w:rFonts w:ascii="Times New Roman" w:hAnsi="Times New Roman" w:eastAsia="宋体" w:cs="Times New Roman"/>
          <w:sz w:val="24"/>
          <w:szCs w:val="24"/>
        </w:rPr>
        <w:t xml:space="preserve">the </w:t>
      </w:r>
      <w:r>
        <w:rPr>
          <w:rFonts w:ascii="Times New Roman" w:hAnsi="Times New Roman" w:cs="Times New Roman"/>
          <w:sz w:val="24"/>
          <w:szCs w:val="24"/>
        </w:rPr>
        <w:t>dermal adsorption factor, and ET is the exposure time.</w:t>
      </w:r>
      <w:r>
        <w:rPr>
          <w:sz w:val="24"/>
          <w:szCs w:val="24"/>
        </w:rPr>
        <w:t xml:space="preserve"> </w:t>
      </w:r>
      <w:r>
        <w:rPr>
          <w:rFonts w:ascii="Times New Roman" w:hAnsi="Times New Roman" w:cs="Times New Roman"/>
          <w:sz w:val="24"/>
          <w:szCs w:val="24"/>
        </w:rPr>
        <w:t>The values of these parameters a</w:t>
      </w:r>
      <w:r>
        <w:rPr>
          <w:rFonts w:hint="eastAsia" w:ascii="Times New Roman" w:hAnsi="Times New Roman" w:cs="Times New Roman"/>
          <w:sz w:val="24"/>
          <w:szCs w:val="24"/>
        </w:rPr>
        <w:t>re</w:t>
      </w:r>
      <w:r>
        <w:rPr>
          <w:rFonts w:ascii="Times New Roman" w:hAnsi="Times New Roman" w:cs="Times New Roman"/>
          <w:sz w:val="24"/>
          <w:szCs w:val="24"/>
        </w:rPr>
        <w:t xml:space="preserve"> shown in </w:t>
      </w:r>
      <w:r>
        <w:rPr>
          <w:rFonts w:ascii="Times New Roman" w:hAnsi="Times New Roman" w:cs="Times New Roman"/>
          <w:b/>
          <w:bCs/>
          <w:sz w:val="24"/>
          <w:szCs w:val="24"/>
        </w:rPr>
        <w:t xml:space="preserve">Table </w:t>
      </w:r>
      <m:oMath>
        <m:r>
          <m:rPr>
            <m:sty m:val="bi"/>
          </m:rPr>
          <w:rPr>
            <w:rFonts w:ascii="Cambria Math" w:hAnsi="Cambria Math" w:cs="Times New Roman"/>
            <w:sz w:val="24"/>
            <w:szCs w:val="24"/>
            <w:lang w:val="en-US"/>
          </w:rPr>
          <m:t>3</m:t>
        </m:r>
      </m:oMath>
      <w:r>
        <w:rPr>
          <w:rFonts w:hint="eastAsia" w:ascii="Times New Roman" w:hAnsi="Times New Roman" w:cs="Times New Roman"/>
          <w:sz w:val="24"/>
          <w:szCs w:val="24"/>
        </w:rPr>
        <w:t>.</w:t>
      </w:r>
    </w:p>
    <w:p>
      <w:pPr>
        <w:pStyle w:val="7"/>
        <w:rPr>
          <w:rFonts w:ascii="Times New Roman" w:hAnsi="Times New Roman" w:eastAsia="黑体" w:cs="Times New Roman"/>
          <w:lang w:val="en-US"/>
        </w:rPr>
      </w:pPr>
      <w:r>
        <w:rPr>
          <w:rFonts w:hint="eastAsia" w:ascii="Times New Roman" w:hAnsi="Times New Roman" w:eastAsia="黑体" w:cs="Times New Roman"/>
          <w:lang w:val="en-US"/>
        </w:rPr>
        <w:t>1</w:t>
      </w:r>
      <w:r>
        <w:rPr>
          <w:rFonts w:ascii="Times New Roman" w:hAnsi="Times New Roman" w:eastAsia="黑体" w:cs="Times New Roman"/>
          <w:lang w:val="en-US"/>
        </w:rPr>
        <w:t xml:space="preserve">.5.2 Non-carcinogenic and </w:t>
      </w:r>
      <w:bookmarkStart w:id="31" w:name="_Hlk113455384"/>
      <w:r>
        <w:rPr>
          <w:rFonts w:ascii="Times New Roman" w:hAnsi="Times New Roman" w:eastAsia="黑体" w:cs="Times New Roman"/>
          <w:lang w:val="en-US"/>
        </w:rPr>
        <w:t>carcinogenic risk</w:t>
      </w:r>
      <w:bookmarkEnd w:id="31"/>
      <w:r>
        <w:rPr>
          <w:rFonts w:ascii="Times New Roman" w:hAnsi="Times New Roman" w:eastAsia="黑体" w:cs="Times New Roman"/>
          <w:lang w:val="en-US"/>
        </w:rPr>
        <w:t xml:space="preserve"> assessment</w:t>
      </w:r>
    </w:p>
    <w:p>
      <w:pPr>
        <w:ind w:firstLine="480" w:firstLineChars="200"/>
        <w:rPr>
          <w:rFonts w:ascii="Times New Roman" w:hAnsi="Times New Roman" w:eastAsia="宋体" w:cs="Times New Roman"/>
          <w:color w:val="0000FF"/>
          <w:sz w:val="24"/>
          <w:szCs w:val="24"/>
        </w:rPr>
      </w:pPr>
      <w:r>
        <w:rPr>
          <w:rFonts w:ascii="Times New Roman" w:hAnsi="Times New Roman" w:cs="Times New Roman"/>
          <w:sz w:val="24"/>
          <w:szCs w:val="24"/>
        </w:rPr>
        <w:t>Soil intake was selected as the priority exposure route for potentially toxic elements to the human body. By comparing the exposure (oral soil/dust intake) of a period with the reference dose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RfDi</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oMath>
      <w:r>
        <w:rPr>
          <w:rFonts w:ascii="Times New Roman" w:hAnsi="Times New Roman" w:cs="Times New Roman"/>
          <w:sz w:val="24"/>
          <w:szCs w:val="24"/>
        </w:rPr>
        <w:t xml:space="preserve">) in a similar exposure period, </w:t>
      </w:r>
      <w:bookmarkStart w:id="32" w:name="_Hlk91618713"/>
      <w:r>
        <w:rPr>
          <w:rFonts w:ascii="Times New Roman" w:hAnsi="Times New Roman" w:cs="Times New Roman"/>
          <w:sz w:val="24"/>
          <w:szCs w:val="24"/>
        </w:rPr>
        <w:t>assessing the potential non-carcinogenic of a certain metal</w:t>
      </w:r>
      <w:bookmarkEnd w:id="32"/>
      <w:r>
        <w:rPr>
          <w:rFonts w:ascii="Times New Roman" w:hAnsi="Times New Roman" w:cs="Times New Roman"/>
          <w:sz w:val="24"/>
          <w:szCs w:val="24"/>
        </w:rPr>
        <w:t xml:space="preserve">(loid). This ratio is called the hazard quotient (HQ) </w:t>
      </w:r>
      <w:r>
        <w:rPr>
          <w:rFonts w:ascii="Times New Roman" w:hAnsi="Times New Roman" w:eastAsia="宋体" w:cs="Times New Roman"/>
          <w:color w:val="0000FF"/>
          <w:sz w:val="24"/>
          <w:szCs w:val="24"/>
        </w:rPr>
        <w:fldChar w:fldCharType="begin">
          <w:fldData xml:space="preserve">PEVuZE5vdGU+PENpdGU+PEF1dGhvcj5YaWFvcWluZyBLYW48L0F1dGhvcj48WWVhcj4yMDIxPC9Z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PEVuZE5vdGU+PENpdGU+PEF1dGhvcj5YaWFvcWluZyBLYW48L0F1dGhvcj48WWVhcj4yMDIxPC9Z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(Li, Lin, Cheng, Duan, &amp; Lei, 2015; Kan, et al., 2021)</w: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t>.</w:t>
      </w:r>
    </w:p>
    <w:p>
      <w:pPr>
        <w:ind w:firstLine="480" w:firstLineChars="200"/>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HQ</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sz w:val="24"/>
                <w:szCs w:val="24"/>
              </w:rPr>
            </m:ctrlPr>
          </m:naryPr>
          <m:sub>
            <m:ctrlPr>
              <w:rPr>
                <w:rFonts w:ascii="Cambria Math" w:hAnsi="Cambria Math" w:cs="Times New Roman"/>
                <w:sz w:val="24"/>
                <w:szCs w:val="24"/>
              </w:rPr>
            </m:ctrlPr>
          </m:sub>
          <m:sup>
            <m:ctrlPr>
              <w:rPr>
                <w:rFonts w:ascii="Cambria Math" w:hAnsi="Cambria Math" w:cs="Times New Roman"/>
                <w:sz w:val="24"/>
                <w:szCs w:val="24"/>
              </w:rPr>
            </m:ctrlPr>
          </m:sup>
          <m:e>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m:rPr/>
                      <w:rPr>
                        <w:rFonts w:ascii="Cambria Math" w:hAnsi="Cambria Math" w:cs="Times New Roman"/>
                        <w:sz w:val="24"/>
                        <w:szCs w:val="24"/>
                      </w:rPr>
                      <m:t>ADD</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sz w:val="24"/>
                    <w:szCs w:val="24"/>
                  </w:rPr>
                </m:ctrlPr>
              </m:num>
              <m:den>
                <m:sSub>
                  <m:sSubPr>
                    <m:ctrlPr>
                      <w:rPr>
                        <w:rFonts w:ascii="Cambria Math" w:hAnsi="Cambria Math" w:cs="Times New Roman"/>
                        <w:i/>
                        <w:sz w:val="24"/>
                        <w:szCs w:val="24"/>
                      </w:rPr>
                    </m:ctrlPr>
                  </m:sSubPr>
                  <m:e>
                    <m:r>
                      <m:rPr/>
                      <w:rPr>
                        <w:rFonts w:ascii="Cambria Math" w:hAnsi="Cambria Math" w:cs="Times New Roman"/>
                        <w:sz w:val="24"/>
                        <w:szCs w:val="24"/>
                      </w:rPr>
                      <m:t>RfD</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sz w:val="24"/>
                    <w:szCs w:val="24"/>
                  </w:rPr>
                </m:ctrlPr>
              </m:den>
            </m:f>
            <m:ctrlPr>
              <w:rPr>
                <w:rFonts w:ascii="Cambria Math" w:hAnsi="Cambria Math" w:cs="Times New Roman"/>
                <w:sz w:val="24"/>
                <w:szCs w:val="24"/>
              </w:rPr>
            </m:ctrlPr>
          </m:e>
        </m:nary>
      </m:oMath>
      <w:r>
        <w:rPr>
          <w:rFonts w:ascii="Times New Roman" w:hAnsi="Times New Roman" w:cs="Times New Roman"/>
          <w:sz w:val="24"/>
          <w:szCs w:val="24"/>
        </w:rPr>
        <w:t xml:space="preserve">                                                   </w:t>
      </w:r>
      <w:r>
        <w:rPr>
          <w:rFonts w:ascii="Times New Roman" w:hAnsi="Times New Roman" w:eastAsia="宋体" w:cs="Times New Roman"/>
          <w:color w:val="0000FF"/>
          <w:sz w:val="24"/>
          <w:szCs w:val="24"/>
        </w:rPr>
        <w:t>（11）</w:t>
      </w: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RfD</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oMath>
      <w:r>
        <w:rPr>
          <w:rFonts w:ascii="Times New Roman" w:hAnsi="Times New Roman" w:cs="Times New Roman"/>
          <w:sz w:val="24"/>
          <w:szCs w:val="24"/>
        </w:rPr>
        <w:t xml:space="preserve"> is the reference dose of each metal(loid) under different exposure routes (mg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day</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bookmarkStart w:id="33" w:name="_Hlk91507432"/>
      <w:r>
        <w:rPr>
          <w:rFonts w:ascii="Times New Roman" w:hAnsi="Times New Roman" w:cs="Times New Roman"/>
          <w:b/>
          <w:bCs/>
          <w:sz w:val="24"/>
          <w:szCs w:val="24"/>
        </w:rPr>
        <w:t xml:space="preserve">Table </w:t>
      </w:r>
      <w:bookmarkEnd w:id="33"/>
      <m:oMath>
        <m:r>
          <m:rPr>
            <m:sty m:val="bi"/>
          </m:rPr>
          <w:rPr>
            <w:rFonts w:ascii="Cambria Math" w:hAnsi="Cambria Math" w:cs="Times New Roman"/>
            <w:sz w:val="24"/>
            <w:szCs w:val="24"/>
            <w:lang w:val="en-US"/>
          </w:rPr>
          <m:t>4</m:t>
        </m:r>
      </m:oMath>
      <w:r>
        <w:rPr>
          <w:rFonts w:ascii="Times New Roman" w:hAnsi="Times New Roman" w:cs="Times New Roman"/>
          <w:sz w:val="24"/>
          <w:szCs w:val="24"/>
        </w:rPr>
        <w:t xml:space="preserve">). In order to assess the overall non-carcinogenic </w:t>
      </w:r>
      <w:bookmarkStart w:id="34" w:name="_Hlk91618648"/>
      <w:r>
        <w:rPr>
          <w:rFonts w:ascii="Times New Roman" w:hAnsi="Times New Roman" w:cs="Times New Roman"/>
          <w:sz w:val="24"/>
          <w:szCs w:val="24"/>
        </w:rPr>
        <w:t>risk of multiple substances</w:t>
      </w:r>
      <w:bookmarkEnd w:id="34"/>
      <w:r>
        <w:rPr>
          <w:rFonts w:ascii="Times New Roman" w:hAnsi="Times New Roman" w:cs="Times New Roman"/>
          <w:sz w:val="24"/>
          <w:szCs w:val="24"/>
        </w:rPr>
        <w:t xml:space="preserve"> and multiple exposure routes, the hazard index (HI) was calculated by formula (10)</w:t>
      </w:r>
      <w:r>
        <w:rPr>
          <w:rFonts w:hint="eastAsia" w:ascii="Times New Roman" w:hAnsi="Times New Roman" w:cs="Times New Roman"/>
          <w:sz w:val="24"/>
          <w:szCs w:val="24"/>
        </w:rPr>
        <w:t>.</w:t>
      </w:r>
    </w:p>
    <w:p>
      <w:pPr>
        <w:ind w:firstLine="480" w:firstLineChars="200"/>
        <w:jc w:val="center"/>
        <w:rPr>
          <w:rFonts w:ascii="Times New Roman" w:hAnsi="Times New Roman" w:cs="Times New Roman"/>
          <w:sz w:val="24"/>
          <w:szCs w:val="24"/>
        </w:rPr>
      </w:pPr>
      <m:oMath>
        <m:r>
          <m:rPr>
            <m:sty m:val="p"/>
          </m:rPr>
          <w:rPr>
            <w:rFonts w:ascii="Cambria Math" w:hAnsi="Cambria Math" w:cs="Times New Roman"/>
            <w:sz w:val="24"/>
            <w:szCs w:val="24"/>
          </w:rPr>
          <m:t>HI=</m:t>
        </m:r>
        <m:nary>
          <m:naryPr>
            <m:chr m:val="∑"/>
            <m:limLoc m:val="undOvr"/>
            <m:subHide m:val="1"/>
            <m:supHide m:val="1"/>
            <m:ctrlPr>
              <w:rPr>
                <w:rFonts w:ascii="Cambria Math" w:hAnsi="Cambria Math" w:cs="Times New Roman"/>
                <w:sz w:val="24"/>
                <w:szCs w:val="24"/>
              </w:rPr>
            </m:ctrlPr>
          </m:naryPr>
          <m:sub>
            <m:ctrlPr>
              <w:rPr>
                <w:rFonts w:ascii="Cambria Math" w:hAnsi="Cambria Math" w:cs="Times New Roman"/>
                <w:sz w:val="24"/>
                <w:szCs w:val="24"/>
              </w:rPr>
            </m:ctrlPr>
          </m:sub>
          <m:sup>
            <m:ctrlPr>
              <w:rPr>
                <w:rFonts w:ascii="Cambria Math" w:hAnsi="Cambria Math" w:cs="Times New Roman"/>
                <w:sz w:val="24"/>
                <w:szCs w:val="24"/>
              </w:rPr>
            </m:ctrlPr>
          </m:sup>
          <m:e>
            <m:sSub>
              <m:sSubPr>
                <m:ctrlPr>
                  <w:rPr>
                    <w:rFonts w:ascii="Cambria Math" w:hAnsi="Cambria Math" w:cs="Times New Roman"/>
                    <w:i/>
                    <w:sz w:val="24"/>
                    <w:szCs w:val="24"/>
                  </w:rPr>
                </m:ctrlPr>
              </m:sSubPr>
              <m:e>
                <m:r>
                  <m:rPr/>
                  <w:rPr>
                    <w:rFonts w:ascii="Cambria Math" w:hAnsi="Cambria Math" w:cs="Times New Roman"/>
                    <w:sz w:val="24"/>
                    <w:szCs w:val="24"/>
                  </w:rPr>
                  <m:t>HQ</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sz w:val="24"/>
                <w:szCs w:val="24"/>
              </w:rPr>
            </m:ctrlPr>
          </m:e>
        </m:nary>
      </m:oMath>
      <w:r>
        <w:rPr>
          <w:rFonts w:ascii="Times New Roman" w:hAnsi="Times New Roman" w:cs="Times New Roman"/>
          <w:sz w:val="24"/>
          <w:szCs w:val="24"/>
        </w:rPr>
        <w:t xml:space="preserve">                                                        </w:t>
      </w:r>
      <w:r>
        <w:rPr>
          <w:rFonts w:ascii="Times New Roman" w:hAnsi="Times New Roman" w:eastAsia="宋体" w:cs="Times New Roman"/>
          <w:color w:val="0000FF"/>
          <w:sz w:val="24"/>
          <w:szCs w:val="24"/>
        </w:rPr>
        <w:t>（12）</w:t>
      </w: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When HI &lt; 1, there may not be a non-carcinogenic risk, and a HI value ≥ 1 indicates a potential non-carcinogenic effect </w:t>
      </w:r>
      <w:r>
        <w:rPr>
          <w:rFonts w:ascii="Times New Roman" w:hAnsi="Times New Roman" w:eastAsia="宋体" w:cs="Times New Roman"/>
          <w:color w:val="0000FF"/>
          <w:sz w:val="24"/>
          <w:szCs w:val="24"/>
        </w:rPr>
        <w:fldChar w:fldCharType="begin"/>
      </w:r>
      <w:r>
        <w:rPr>
          <w:rFonts w:ascii="Times New Roman" w:hAnsi="Times New Roman" w:eastAsia="宋体" w:cs="Times New Roman"/>
          <w:color w:val="0000FF"/>
          <w:sz w:val="24"/>
          <w:szCs w:val="24"/>
        </w:rPr>
        <w:instrText xml:space="preserve"> ADDIN EN.CITE &lt;EndNote&gt;&lt;Cite&gt;&lt;Author&gt;Xiao&lt;/Author&gt;&lt;Year&gt;2020&lt;/Year&gt;&lt;RecNum&gt;282&lt;/RecNum&gt;&lt;DisplayText&gt;(Xiao, et al., 2020)&lt;/DisplayText&gt;&lt;record&gt;&lt;rec-number&gt;282&lt;/rec-number&gt;&lt;foreign-keys&gt;&lt;key app="EN" db-id="r29rsf9t4052rsezxelvsv2z5efxzzf5r95r" timestamp="1632742098"&gt;282&lt;/key&gt;&lt;/foreign-keys&gt;&lt;ref-type name="Journal Article"&gt;17&lt;/ref-type&gt;&lt;contributors&gt;&lt;authors&gt;&lt;author&gt;Xiao, Xin&lt;/author&gt;&lt;author&gt;Zhang, Jixiong&lt;/author&gt;&lt;author&gt;Wang, Hui&lt;/author&gt;&lt;author&gt;Han, Xiaoxun&lt;/author&gt;&lt;author&gt;Ma, Jing&lt;/author&gt;&lt;author&gt;Ma, Yu&lt;/author&gt;&lt;author&gt;Luan, Huijun&lt;/author&gt;&lt;/authors&gt;&lt;/contributors&gt;&lt;titles&gt;&lt;title&gt;Distribution and health risk assessment of potentially toxic elements in soils around coal industrial areas: A global meta-analysis&lt;/title&gt;&lt;secondary-title&gt;Science of the Total Environment&lt;/secondary-title&gt;&lt;/titles&gt;&lt;periodical&gt;&lt;full-title&gt;Science of the Total Environment&lt;/full-title&gt;&lt;/periodical&gt;&lt;volume&gt;713&lt;/volume&gt;&lt;dates&gt;&lt;year&gt;2020&lt;/year&gt;&lt;pub-dates&gt;&lt;date&gt;Apr 15&lt;/date&gt;&lt;/pub-dates&gt;&lt;/dates&gt;&lt;isbn&gt;0048-9697&lt;/isbn&gt;&lt;accession-num&gt;WOS:000514544700042&lt;/accession-num&gt;&lt;urls&gt;&lt;related-urls&gt;&lt;url&gt;&amp;lt;Go to ISI&amp;gt;://WOS:000514544700042&lt;/url&gt;&lt;/related-urls&gt;&lt;/urls&gt;&lt;custom7&gt;135292&lt;/custom7&gt;&lt;electronic-resource-num&gt;10.1016/j.scitotenv.2019.135292&lt;/electronic-resource-num&gt;&lt;/record&gt;&lt;/Cite&gt;&lt;/EndNote&gt;</w:instrText>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(Xiao, et al., 2020)</w: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t>.</w:t>
      </w:r>
    </w:p>
    <w:p>
      <w:pPr>
        <w:ind w:firstLine="480" w:firstLineChars="200"/>
        <w:rPr>
          <w:rFonts w:ascii="Times New Roman" w:hAnsi="Times New Roman" w:cs="Times New Roman"/>
          <w:sz w:val="24"/>
          <w:szCs w:val="24"/>
        </w:rPr>
      </w:pPr>
      <w:r>
        <w:rPr>
          <w:rFonts w:ascii="Times New Roman" w:hAnsi="Times New Roman" w:cs="Times New Roman"/>
          <w:sz w:val="24"/>
          <w:szCs w:val="24"/>
        </w:rPr>
        <w:t>In addition, due to the contact and absorption of metal(loid)s in the human body and the environment, metal(loid)s in the environment also have a carcinogenic risk to the human body. The risk of cancer is considered to be the possibility of cancer in life</w:t>
      </w:r>
      <w:r>
        <w:rPr>
          <w:rFonts w:ascii="Times New Roman" w:hAnsi="Times New Roman" w:eastAsia="宋体" w:cs="Times New Roman"/>
          <w:color w:val="0000FF"/>
          <w:sz w:val="24"/>
          <w:szCs w:val="24"/>
        </w:rPr>
        <w:t xml:space="preserve"> </w:t>
      </w:r>
      <w:r>
        <w:rPr>
          <w:rFonts w:ascii="Times New Roman" w:hAnsi="Times New Roman" w:eastAsia="宋体" w:cs="Times New Roman"/>
          <w:color w:val="0000FF"/>
          <w:sz w:val="24"/>
          <w:szCs w:val="24"/>
        </w:rPr>
        <w:fldChar w:fldCharType="begin">
          <w:fldData xml:space="preserve">PEVuZE5vdGU+PENpdGU+PEF1dGhvcj5MaTwvQXV0aG9yPjxZZWFyPjIwMTU8L1llYXI+PFJlY051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</w:fldData>
        </w:fldChar>
      </w:r>
      <w:r>
        <w:rPr>
          <w:rFonts w:ascii="Times New Roman" w:hAnsi="Times New Roman" w:eastAsia="宋体" w:cs="Times New Roman"/>
          <w:color w:val="0000FF"/>
          <w:sz w:val="24"/>
          <w:szCs w:val="24"/>
        </w:rPr>
        <w:instrText xml:space="preserve"> ADDIN EN.CITE </w:instrText>
      </w:r>
      <w:r>
        <w:rPr>
          <w:rFonts w:ascii="Times New Roman" w:hAnsi="Times New Roman" w:eastAsia="宋体" w:cs="Times New Roman"/>
          <w:color w:val="0000FF"/>
          <w:sz w:val="24"/>
          <w:szCs w:val="24"/>
        </w:rPr>
        <w:fldChar w:fldCharType="begin">
          <w:fldData xml:space="preserve">PEVuZE5vdGU+PENpdGU+PEF1dGhvcj5MaTwvQXV0aG9yPjxZZWFyPjIwMTU8L1llYXI+PFJlY051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</w:fldData>
        </w:fldChar>
      </w:r>
      <w:r>
        <w:rPr>
          <w:rFonts w:ascii="Times New Roman" w:hAnsi="Times New Roman" w:eastAsia="宋体" w:cs="Times New Roman"/>
          <w:color w:val="0000FF"/>
          <w:sz w:val="24"/>
          <w:szCs w:val="24"/>
        </w:rPr>
        <w:instrText xml:space="preserve"> ADDIN EN.CITE.DATA </w:instrText>
      </w:r>
      <w:r>
        <w:rPr>
          <w:rFonts w:ascii="Times New Roman" w:hAnsi="Times New Roman" w:eastAsia="宋体" w:cs="Times New Roman"/>
          <w:color w:val="0000FF"/>
          <w:sz w:val="24"/>
          <w:szCs w:val="24"/>
        </w:rPr>
        <w:fldChar w:fldCharType="end"/>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(Li, et al., 2015)</w:t>
      </w:r>
      <w:r>
        <w:rPr>
          <w:rFonts w:ascii="Times New Roman" w:hAnsi="Times New Roman" w:eastAsia="宋体" w:cs="Times New Roman"/>
          <w:color w:val="0000FF"/>
          <w:sz w:val="24"/>
          <w:szCs w:val="24"/>
        </w:rPr>
        <w:fldChar w:fldCharType="end"/>
      </w:r>
      <w:r>
        <w:rPr>
          <w:rFonts w:ascii="Times New Roman" w:hAnsi="Times New Roman" w:cs="Times New Roman"/>
          <w:sz w:val="24"/>
          <w:szCs w:val="24"/>
        </w:rPr>
        <w:t xml:space="preserve">. The following equation was used to calculate the </w:t>
      </w:r>
      <w:bookmarkStart w:id="35" w:name="_Hlk91618869"/>
      <w:r>
        <w:rPr>
          <w:rFonts w:ascii="Times New Roman" w:hAnsi="Times New Roman" w:cs="Times New Roman"/>
          <w:sz w:val="24"/>
          <w:szCs w:val="24"/>
        </w:rPr>
        <w:t>carcinogenic risk</w:t>
      </w:r>
      <w:bookmarkEnd w:id="35"/>
      <w:r>
        <w:rPr>
          <w:rFonts w:ascii="Times New Roman" w:hAnsi="Times New Roman" w:cs="Times New Roman"/>
          <w:sz w:val="24"/>
          <w:szCs w:val="24"/>
        </w:rPr>
        <w:t xml:space="preserve"> of toxic metal(loid)s in a lifetime </w:t>
      </w:r>
    </w:p>
    <w:p>
      <w:pPr>
        <w:ind w:firstLine="480" w:firstLineChars="200"/>
        <w:jc w:val="center"/>
        <w:rPr>
          <w:rFonts w:ascii="Times New Roman" w:hAnsi="Times New Roman" w:eastAsia="宋体" w:cs="Times New Roman"/>
          <w:color w:val="0000FF"/>
          <w:sz w:val="24"/>
          <w:szCs w:val="24"/>
        </w:rPr>
      </w:pPr>
      <m:oMath>
        <m:r>
          <m:rPr>
            <m:sty m:val="p"/>
          </m:rPr>
          <w:rPr>
            <w:rFonts w:ascii="Cambria Math" w:hAnsi="Cambria Math" w:cs="Times New Roman"/>
            <w:sz w:val="24"/>
            <w:szCs w:val="24"/>
          </w:rPr>
          <m:t>CR=</m:t>
        </m:r>
        <m:nary>
          <m:naryPr>
            <m:chr m:val="∑"/>
            <m:limLoc m:val="undOvr"/>
            <m:subHide m:val="1"/>
            <m:supHide m:val="1"/>
            <m:ctrlPr>
              <w:rPr>
                <w:rFonts w:ascii="Cambria Math" w:hAnsi="Cambria Math" w:cs="Times New Roman"/>
                <w:sz w:val="24"/>
                <w:szCs w:val="24"/>
              </w:rPr>
            </m:ctrlPr>
          </m:naryPr>
          <m:sub>
            <m:ctrlPr>
              <w:rPr>
                <w:rFonts w:ascii="Cambria Math" w:hAnsi="Cambria Math" w:cs="Times New Roman"/>
                <w:sz w:val="24"/>
                <w:szCs w:val="24"/>
              </w:rPr>
            </m:ctrlPr>
          </m:sub>
          <m:sup>
            <m:ctrlPr>
              <w:rPr>
                <w:rFonts w:ascii="Cambria Math" w:hAnsi="Cambria Math" w:cs="Times New Roman"/>
                <w:sz w:val="24"/>
                <w:szCs w:val="24"/>
              </w:rPr>
            </m:ctrlPr>
          </m:sup>
          <m:e>
            <m:sSub>
              <m:sSubPr>
                <m:ctrlPr>
                  <w:rPr>
                    <w:rFonts w:ascii="Cambria Math" w:hAnsi="Cambria Math" w:cs="Times New Roman"/>
                    <w:sz w:val="24"/>
                    <w:szCs w:val="24"/>
                  </w:rPr>
                </m:ctrlPr>
              </m:sSubPr>
              <m:e>
                <m:r>
                  <m:rPr>
                    <m:sty m:val="p"/>
                  </m:rPr>
                  <w:rPr>
                    <w:rFonts w:ascii="Cambria Math" w:hAnsi="Cambria Math" w:cs="Times New Roman"/>
                    <w:sz w:val="24"/>
                    <w:szCs w:val="24"/>
                  </w:rPr>
                  <m:t>ADD</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SF</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ctrlPr>
              <w:rPr>
                <w:rFonts w:ascii="Cambria Math" w:hAnsi="Cambria Math" w:cs="Times New Roman"/>
                <w:sz w:val="24"/>
                <w:szCs w:val="24"/>
              </w:rPr>
            </m:ctrlPr>
          </m:e>
        </m:nary>
      </m:oMath>
      <w:r>
        <w:rPr>
          <w:rFonts w:ascii="Times New Roman" w:hAnsi="Times New Roman" w:cs="Times New Roman"/>
          <w:sz w:val="24"/>
          <w:szCs w:val="24"/>
        </w:rPr>
        <w:t xml:space="preserve">                                              </w:t>
      </w:r>
      <w:r>
        <w:rPr>
          <w:rFonts w:ascii="Times New Roman" w:hAnsi="Times New Roman" w:eastAsia="宋体" w:cs="Times New Roman"/>
          <w:color w:val="0000FF"/>
          <w:sz w:val="24"/>
          <w:szCs w:val="24"/>
        </w:rPr>
        <w:t>（13）</w:t>
      </w:r>
    </w:p>
    <w:p>
      <w:pPr>
        <w:ind w:firstLine="480" w:firstLineChars="200"/>
        <w:rPr>
          <w:rFonts w:ascii="Times New Roman" w:hAnsi="Times New Roman" w:eastAsia="宋体" w:cs="Times New Roman"/>
          <w:color w:val="0000FF"/>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SF</m:t>
            </m:r>
            <m:ctrlPr>
              <w:rPr>
                <w:rFonts w:ascii="Cambria Math" w:hAnsi="Cambria Math" w:cs="Times New Roman"/>
                <w:sz w:val="24"/>
                <w:szCs w:val="24"/>
              </w:rPr>
            </m:ctrlPr>
          </m:e>
          <m:sub>
            <m:r>
              <m:rPr/>
              <w:rPr>
                <w:rFonts w:ascii="Cambria Math" w:hAnsi="Cambria Math" w:cs="Times New Roman"/>
                <w:sz w:val="24"/>
                <w:szCs w:val="24"/>
              </w:rPr>
              <m:t>i</m:t>
            </m:r>
            <m:ctrlPr>
              <w:rPr>
                <w:rFonts w:ascii="Cambria Math" w:hAnsi="Cambria Math" w:cs="Times New Roman"/>
                <w:sz w:val="24"/>
                <w:szCs w:val="24"/>
              </w:rPr>
            </m:ctrlPr>
          </m:sub>
        </m:sSub>
      </m:oMath>
      <w:r>
        <w:rPr>
          <w:rFonts w:ascii="Times New Roman" w:hAnsi="Times New Roman" w:cs="Times New Roman"/>
          <w:sz w:val="24"/>
          <w:szCs w:val="24"/>
        </w:rPr>
        <w:t xml:space="preserve"> is the carcinogenic slope factor of a certain metal(loid) elements (unit mg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day</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b/>
          <w:bCs/>
          <w:sz w:val="24"/>
          <w:szCs w:val="24"/>
        </w:rPr>
        <w:t xml:space="preserve">Table </w:t>
      </w:r>
      <m:oMath>
        <m:r>
          <m:rPr>
            <m:sty m:val="bi"/>
          </m:rPr>
          <w:rPr>
            <w:rFonts w:ascii="Cambria Math" w:hAnsi="Cambria Math" w:cs="Times New Roman"/>
            <w:sz w:val="24"/>
            <w:szCs w:val="24"/>
            <w:lang w:val="en-US"/>
          </w:rPr>
          <m:t>4</m:t>
        </m:r>
      </m:oMath>
      <w:r>
        <w:rPr>
          <w:rFonts w:ascii="Times New Roman" w:hAnsi="Times New Roman" w:cs="Times New Roman"/>
          <w:sz w:val="24"/>
          <w:szCs w:val="24"/>
        </w:rPr>
        <w:t>). This value transfers the estimated daily intake of pollutants throughout the life cycle to the individual’s increased risk of cancer. A risk higher than 1 × 10</w:t>
      </w:r>
      <w:r>
        <w:rPr>
          <w:rFonts w:ascii="Times New Roman" w:hAnsi="Times New Roman" w:cs="Times New Roman"/>
          <w:sz w:val="24"/>
          <w:szCs w:val="24"/>
          <w:vertAlign w:val="superscript"/>
        </w:rPr>
        <w:t xml:space="preserve">-4 </w:t>
      </w:r>
      <w:r>
        <w:rPr>
          <w:rFonts w:ascii="Times New Roman" w:hAnsi="Times New Roman" w:cs="Times New Roman"/>
          <w:sz w:val="24"/>
          <w:szCs w:val="24"/>
        </w:rPr>
        <w:t>is considered unacceptable, a risk value &lt; 1 ×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indicates no significant health hazards, and a value between 1 × 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and 1 ×1 0</w:t>
      </w:r>
      <w:r>
        <w:rPr>
          <w:rFonts w:ascii="Times New Roman" w:hAnsi="Times New Roman" w:cs="Times New Roman"/>
          <w:sz w:val="24"/>
          <w:szCs w:val="24"/>
          <w:vertAlign w:val="superscript"/>
        </w:rPr>
        <w:t xml:space="preserve">-6 </w:t>
      </w:r>
      <w:r>
        <w:rPr>
          <w:rFonts w:ascii="Times New Roman" w:hAnsi="Times New Roman" w:cs="Times New Roman"/>
          <w:sz w:val="24"/>
          <w:szCs w:val="24"/>
        </w:rPr>
        <w:t xml:space="preserve">is regarded as an acceptable or tolerable carcinogenic risk </w:t>
      </w:r>
      <w:r>
        <w:rPr>
          <w:rFonts w:ascii="Times New Roman" w:hAnsi="Times New Roman" w:eastAsia="宋体" w:cs="Times New Roman"/>
          <w:color w:val="0000FF"/>
          <w:sz w:val="24"/>
          <w:szCs w:val="24"/>
        </w:rPr>
        <w:fldChar w:fldCharType="begin"/>
      </w:r>
      <w:r>
        <w:rPr>
          <w:rFonts w:ascii="Times New Roman" w:hAnsi="Times New Roman" w:eastAsia="宋体" w:cs="Times New Roman"/>
          <w:color w:val="0000FF"/>
          <w:sz w:val="24"/>
          <w:szCs w:val="24"/>
        </w:rPr>
        <w:instrText xml:space="preserve"> ADDIN EN.CITE &lt;EndNote&gt;&lt;Cite&gt;&lt;Author&gt;Xiao&lt;/Author&gt;&lt;Year&gt;2020&lt;/Year&gt;&lt;RecNum&gt;282&lt;/RecNum&gt;&lt;DisplayText&gt;(Xiao, et al., 2020)&lt;/DisplayText&gt;&lt;record&gt;&lt;rec-number&gt;282&lt;/rec-number&gt;&lt;foreign-keys&gt;&lt;key app="EN" db-id="r29rsf9t4052rsezxelvsv2z5efxzzf5r95r" timestamp="1632742098"&gt;282&lt;/key&gt;&lt;/foreign-keys&gt;&lt;ref-type name="Journal Article"&gt;17&lt;/ref-type&gt;&lt;contributors&gt;&lt;authors&gt;&lt;author&gt;Xiao, Xin&lt;/author&gt;&lt;author&gt;Zhang, Jixiong&lt;/author&gt;&lt;author&gt;Wang, Hui&lt;/author&gt;&lt;author&gt;Han, Xiaoxun&lt;/author&gt;&lt;author&gt;Ma, Jing&lt;/author&gt;&lt;author&gt;Ma, Yu&lt;/author&gt;&lt;author&gt;Luan, Huijun&lt;/author&gt;&lt;/authors&gt;&lt;/contributors&gt;&lt;titles&gt;&lt;title&gt;Distribution and health risk assessment of potentially toxic elements in soils around coal industrial areas: A global meta-analysis&lt;/title&gt;&lt;secondary-title&gt;Science of the Total Environment&lt;/secondary-title&gt;&lt;/titles&gt;&lt;periodical&gt;&lt;full-title&gt;Science of the Total Environment&lt;/full-title&gt;&lt;/periodical&gt;&lt;volume&gt;713&lt;/volume&gt;&lt;dates&gt;&lt;year&gt;2020&lt;/year&gt;&lt;pub-dates&gt;&lt;date&gt;Apr 15&lt;/date&gt;&lt;/pub-dates&gt;&lt;/dates&gt;&lt;isbn&gt;0048-9697&lt;/isbn&gt;&lt;accession-num&gt;WOS:000514544700042&lt;/accession-num&gt;&lt;urls&gt;&lt;related-urls&gt;&lt;url&gt;&amp;lt;Go to ISI&amp;gt;://WOS:000514544700042&lt;/url&gt;&lt;/related-urls&gt;&lt;/urls&gt;&lt;custom7&gt;135292&lt;/custom7&gt;&lt;electronic-resource-num&gt;10.1016/j.scitotenv.2019.135292&lt;/electronic-resource-num&gt;&lt;/record&gt;&lt;/Cite&gt;&lt;/EndNote&gt;</w:instrText>
      </w:r>
      <w:r>
        <w:rPr>
          <w:rFonts w:ascii="Times New Roman" w:hAnsi="Times New Roman" w:eastAsia="宋体" w:cs="Times New Roman"/>
          <w:color w:val="0000FF"/>
          <w:sz w:val="24"/>
          <w:szCs w:val="24"/>
        </w:rPr>
        <w:fldChar w:fldCharType="separate"/>
      </w:r>
      <w:r>
        <w:rPr>
          <w:rFonts w:ascii="Times New Roman" w:hAnsi="Times New Roman" w:eastAsia="宋体" w:cs="Times New Roman"/>
          <w:color w:val="0000FF"/>
          <w:sz w:val="24"/>
          <w:szCs w:val="24"/>
        </w:rPr>
        <w:t>(Xiao, et al., 2020)</w:t>
      </w:r>
      <w:r>
        <w:rPr>
          <w:rFonts w:ascii="Times New Roman" w:hAnsi="Times New Roman" w:eastAsia="宋体" w:cs="Times New Roman"/>
          <w:color w:val="0000FF"/>
          <w:sz w:val="24"/>
          <w:szCs w:val="24"/>
        </w:rPr>
        <w:fldChar w:fldCharType="end"/>
      </w:r>
      <w:r>
        <w:rPr>
          <w:rFonts w:hint="eastAsia" w:ascii="Times New Roman" w:hAnsi="Times New Roman" w:eastAsia="宋体" w:cs="Times New Roman"/>
          <w:color w:val="000000" w:themeColor="text1"/>
          <w:sz w:val="24"/>
          <w:szCs w:val="24"/>
          <w14:textFill>
            <w14:solidFill>
              <w14:schemeClr w14:val="tx1"/>
            </w14:solidFill>
          </w14:textFill>
        </w:rPr>
        <w:t>.</w:t>
      </w:r>
    </w:p>
    <w:p>
      <w:pPr>
        <w:ind w:firstLine="480" w:firstLineChars="200"/>
        <w:rPr>
          <w:rFonts w:ascii="Times New Roman" w:hAnsi="Times New Roman" w:cs="Times New Roman"/>
          <w:sz w:val="24"/>
          <w:szCs w:val="24"/>
        </w:rPr>
      </w:pPr>
    </w:p>
    <w:p>
      <w:pPr>
        <w:spacing w:line="360" w:lineRule="auto"/>
        <w:ind w:left="365" w:leftChars="1" w:hanging="363" w:hangingChars="151"/>
        <w:rPr>
          <w:rFonts w:ascii="Times New Roman" w:hAnsi="Times New Roman" w:eastAsia="等线" w:cs="Times New Roman"/>
          <w:bCs/>
          <w:color w:val="000000"/>
          <w:sz w:val="24"/>
          <w:szCs w:val="24"/>
          <w:lang w:val="en-US"/>
        </w:rPr>
      </w:pPr>
      <w:r>
        <w:rPr>
          <w:rFonts w:ascii="Times New Roman" w:hAnsi="Times New Roman" w:eastAsia="等线" w:cs="Times New Roman"/>
          <w:b/>
          <w:color w:val="000000"/>
          <w:sz w:val="24"/>
          <w:szCs w:val="24"/>
          <w:lang w:val="en-US"/>
        </w:rPr>
        <w:t xml:space="preserve">Table </w:t>
      </w:r>
      <w:r>
        <w:rPr>
          <w:rFonts w:hint="eastAsia" w:ascii="Times New Roman" w:hAnsi="Times New Roman" w:eastAsia="等线" w:cs="Times New Roman"/>
          <w:b/>
          <w:color w:val="000000"/>
          <w:sz w:val="24"/>
          <w:szCs w:val="24"/>
          <w:lang w:val="en-US"/>
        </w:rPr>
        <w:t>1</w:t>
      </w:r>
      <w:r>
        <w:rPr>
          <w:rFonts w:ascii="Times New Roman" w:hAnsi="Times New Roman" w:eastAsia="等线" w:cs="Times New Roman"/>
          <w:color w:val="000000"/>
          <w:sz w:val="24"/>
          <w:szCs w:val="24"/>
          <w:lang w:val="en-US"/>
        </w:rPr>
        <w:t xml:space="preserve"> The contaminant limits values of the Chinese National Food Safety Standards (GB2762-2017) in different agricultural products</w:t>
      </w:r>
      <w:r>
        <w:rPr>
          <w:rFonts w:ascii="Times New Roman" w:hAnsi="Times New Roman" w:eastAsia="等线" w:cs="Times New Roman"/>
          <w:bCs/>
          <w:color w:val="000000"/>
          <w:sz w:val="24"/>
          <w:szCs w:val="24"/>
          <w:lang w:val="en-US"/>
        </w:rPr>
        <w:t>.</w:t>
      </w:r>
    </w:p>
    <w:p>
      <w:pPr>
        <w:spacing w:line="360" w:lineRule="auto"/>
        <w:ind w:left="365" w:leftChars="1" w:hanging="363" w:hangingChars="151"/>
        <w:rPr>
          <w:rFonts w:ascii="Times New Roman" w:hAnsi="Times New Roman" w:eastAsia="等线" w:cs="Times New Roman"/>
          <w:color w:val="000000"/>
          <w:sz w:val="24"/>
          <w:szCs w:val="24"/>
          <w:lang w:val="en-US"/>
        </w:rPr>
      </w:pPr>
      <w:r>
        <w:rPr>
          <w:rFonts w:ascii="Times New Roman" w:hAnsi="Times New Roman" w:eastAsia="等线" w:cs="Times New Roman"/>
          <w:b/>
          <w:bCs/>
          <w:color w:val="000000"/>
          <w:sz w:val="24"/>
          <w:szCs w:val="24"/>
          <w:lang w:val="en-US"/>
        </w:rPr>
        <w:t>Table 2</w:t>
      </w:r>
      <w:r>
        <w:rPr>
          <w:rFonts w:ascii="Times New Roman" w:hAnsi="Times New Roman" w:eastAsia="等线" w:cs="Times New Roman"/>
          <w:color w:val="000000"/>
          <w:sz w:val="24"/>
          <w:szCs w:val="24"/>
          <w:lang w:val="en-US"/>
        </w:rPr>
        <w:t xml:space="preserve"> Ecological Risk Grades according to the Ecological Risk Index (Eri) and Potential </w:t>
      </w:r>
      <w:bookmarkStart w:id="36" w:name="_Hlk113451766"/>
      <w:r>
        <w:rPr>
          <w:rFonts w:ascii="Times New Roman" w:hAnsi="Times New Roman" w:eastAsia="等线" w:cs="Times New Roman"/>
          <w:color w:val="000000"/>
          <w:sz w:val="24"/>
          <w:szCs w:val="24"/>
          <w:lang w:val="en-US"/>
        </w:rPr>
        <w:t>Ecological Risk Index (PERI)</w:t>
      </w:r>
      <w:r>
        <w:rPr>
          <w:rFonts w:hint="eastAsia" w:ascii="Times New Roman" w:hAnsi="Times New Roman" w:eastAsia="等线" w:cs="Times New Roman"/>
          <w:color w:val="000000"/>
          <w:sz w:val="24"/>
          <w:szCs w:val="24"/>
          <w:lang w:val="en-US"/>
        </w:rPr>
        <w:t>.</w:t>
      </w:r>
    </w:p>
    <w:p>
      <w:pPr>
        <w:spacing w:line="360" w:lineRule="auto"/>
        <w:ind w:left="365" w:leftChars="1" w:hanging="363" w:hangingChars="151"/>
        <w:rPr>
          <w:rFonts w:ascii="Times New Roman" w:hAnsi="Times New Roman" w:eastAsia="等线" w:cs="Times New Roman"/>
          <w:color w:val="000000"/>
          <w:sz w:val="24"/>
          <w:szCs w:val="24"/>
          <w:lang w:val="en-US"/>
        </w:rPr>
      </w:pPr>
      <w:r>
        <w:rPr>
          <w:rFonts w:ascii="Times New Roman" w:hAnsi="Times New Roman" w:eastAsia="等线" w:cs="Times New Roman"/>
          <w:b/>
          <w:bCs/>
          <w:color w:val="000000"/>
          <w:sz w:val="24"/>
          <w:szCs w:val="24"/>
          <w:lang w:val="en-US"/>
        </w:rPr>
        <w:t xml:space="preserve">Table 3 </w:t>
      </w:r>
      <w:r>
        <w:rPr>
          <w:rFonts w:ascii="Times New Roman" w:hAnsi="Times New Roman" w:eastAsia="等线" w:cs="Times New Roman"/>
          <w:color w:val="000000"/>
          <w:sz w:val="24"/>
          <w:szCs w:val="24"/>
          <w:lang w:val="en-US"/>
        </w:rPr>
        <w:t>Parameters used in the health risk assessment.</w:t>
      </w:r>
    </w:p>
    <w:bookmarkEnd w:id="36"/>
    <w:p>
      <w:pPr>
        <w:widowControl/>
        <w:spacing w:line="360" w:lineRule="auto"/>
        <w:ind w:left="365" w:leftChars="1" w:hanging="363" w:hangingChars="151"/>
        <w:rPr>
          <w:rFonts w:ascii="Times New Roman" w:hAnsi="Times New Roman" w:eastAsia="等线" w:cs="Times New Roman"/>
          <w:sz w:val="24"/>
          <w:szCs w:val="24"/>
          <w:lang w:val="en-US"/>
        </w:rPr>
      </w:pPr>
      <w:r>
        <w:rPr>
          <w:rFonts w:ascii="Times New Roman" w:hAnsi="Times New Roman" w:eastAsia="等线" w:cs="Times New Roman"/>
          <w:b/>
          <w:bCs/>
          <w:color w:val="000000"/>
          <w:sz w:val="24"/>
          <w:szCs w:val="24"/>
          <w:lang w:val="en-US"/>
        </w:rPr>
        <w:t>Table 4</w:t>
      </w:r>
      <w:r>
        <w:rPr>
          <w:rFonts w:ascii="Times New Roman" w:hAnsi="Times New Roman" w:eastAsia="等线" w:cs="Times New Roman"/>
          <w:color w:val="000000"/>
          <w:sz w:val="24"/>
          <w:szCs w:val="24"/>
          <w:lang w:val="en-US"/>
        </w:rPr>
        <w:t xml:space="preserve"> Reference dose (RfD) and slope factor (SF) of metal(loid)s</w:t>
      </w:r>
      <w:r>
        <w:rPr>
          <w:rFonts w:ascii="Times New Roman" w:hAnsi="Times New Roman" w:eastAsia="等线" w:cs="Times New Roman"/>
          <w:sz w:val="24"/>
          <w:szCs w:val="24"/>
          <w:lang w:val="en-US"/>
        </w:rPr>
        <w:t xml:space="preserve"> for health risk assessment</w:t>
      </w:r>
      <w:r>
        <w:rPr>
          <w:rFonts w:hint="eastAsia" w:ascii="Times New Roman" w:hAnsi="Times New Roman" w:eastAsia="等线" w:cs="Times New Roman"/>
          <w:sz w:val="24"/>
          <w:szCs w:val="24"/>
          <w:lang w:val="en-US"/>
        </w:rPr>
        <w:t>.</w:t>
      </w:r>
    </w:p>
    <w:p>
      <w:pP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p>
    <w:p>
      <w:pPr>
        <w:jc w:val="center"/>
        <w:rPr>
          <w:rFonts w:ascii="Times New Roman" w:hAnsi="Times New Roman" w:eastAsia="等线" w:cs="Times New Roman"/>
          <w:b/>
          <w:bCs/>
          <w:sz w:val="18"/>
          <w:szCs w:val="18"/>
          <w:lang w:val="en-US"/>
        </w:rPr>
      </w:pPr>
      <w:r>
        <w:rPr>
          <w:rFonts w:ascii="Times New Roman" w:hAnsi="Times New Roman" w:eastAsia="等线" w:cs="Times New Roman"/>
          <w:b/>
          <w:bCs/>
          <w:sz w:val="18"/>
          <w:szCs w:val="18"/>
          <w:lang w:val="en-US"/>
        </w:rPr>
        <w:t>Table S</w:t>
      </w:r>
      <w:r>
        <w:rPr>
          <w:rFonts w:hint="eastAsia" w:ascii="Times New Roman" w:hAnsi="Times New Roman" w:eastAsia="等线" w:cs="Times New Roman"/>
          <w:b/>
          <w:bCs/>
          <w:sz w:val="18"/>
          <w:szCs w:val="18"/>
          <w:vertAlign w:val="subscript"/>
          <w:lang w:val="en-US"/>
        </w:rPr>
        <w:t xml:space="preserve">1 </w:t>
      </w:r>
      <w:r>
        <w:rPr>
          <w:rFonts w:ascii="Times New Roman" w:hAnsi="Times New Roman" w:eastAsia="等线" w:cs="Times New Roman"/>
          <w:color w:val="000000"/>
          <w:sz w:val="18"/>
          <w:szCs w:val="18"/>
          <w:lang w:val="en-US"/>
        </w:rPr>
        <w:t xml:space="preserve"> </w:t>
      </w:r>
      <w:r>
        <w:rPr>
          <w:rFonts w:ascii="Times New Roman" w:hAnsi="Times New Roman" w:eastAsia="等线" w:cs="Times New Roman"/>
          <w:b/>
          <w:bCs/>
          <w:color w:val="000000"/>
          <w:sz w:val="18"/>
          <w:szCs w:val="18"/>
          <w:lang w:val="en-US"/>
        </w:rPr>
        <w:t>contaminant limits values of the Chinese National Food Safety Standards (GB2762-2017) in different agricultural products</w:t>
      </w:r>
    </w:p>
    <w:tbl>
      <w:tblPr>
        <w:tblStyle w:val="47"/>
        <w:tblW w:w="6096" w:type="dxa"/>
        <w:jc w:val="center"/>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Layout w:type="autofit"/>
        <w:tblCellMar>
          <w:top w:w="0" w:type="dxa"/>
          <w:left w:w="108" w:type="dxa"/>
          <w:bottom w:w="0" w:type="dxa"/>
          <w:right w:w="108" w:type="dxa"/>
        </w:tblCellMar>
      </w:tblPr>
      <w:tblGrid>
        <w:gridCol w:w="2168"/>
        <w:gridCol w:w="1234"/>
        <w:gridCol w:w="1134"/>
        <w:gridCol w:w="1560"/>
      </w:tblGrid>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vMerge w:val="restart"/>
            <w:tcBorders>
              <w:top w:val="single" w:color="auto" w:sz="4" w:space="0"/>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黑体" w:cs="Times New Roman"/>
                <w:b/>
                <w:bCs/>
                <w:color w:val="000000"/>
                <w:sz w:val="24"/>
                <w:szCs w:val="24"/>
                <w:lang w:val="en-US"/>
              </w:rPr>
              <w:t>Agricultural product</w:t>
            </w:r>
          </w:p>
        </w:tc>
        <w:tc>
          <w:tcPr>
            <w:tcW w:w="3928" w:type="dxa"/>
            <w:gridSpan w:val="3"/>
            <w:tcBorders>
              <w:top w:val="single" w:color="auto" w:sz="4" w:space="0"/>
              <w:left w:val="nil"/>
              <w:bottom w:val="single" w:color="auto" w:sz="4" w:space="0"/>
              <w:right w:val="nil"/>
            </w:tcBorders>
            <w:noWrap/>
          </w:tcPr>
          <w:p>
            <w:pPr>
              <w:widowControl/>
              <w:wordWrap w:val="0"/>
              <w:jc w:val="center"/>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Element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vMerge w:val="continue"/>
            <w:tcBorders>
              <w:top w:val="single" w:color="auto" w:sz="4" w:space="0"/>
              <w:left w:val="nil"/>
              <w:bottom w:val="nil"/>
              <w:right w:val="nil"/>
            </w:tcBorders>
            <w:vAlign w:val="center"/>
          </w:tcPr>
          <w:p>
            <w:pPr>
              <w:widowControl/>
              <w:jc w:val="left"/>
              <w:rPr>
                <w:rFonts w:hint="default" w:ascii="Times New Roman" w:hAnsi="Times New Roman" w:eastAsia="等线" w:cs="Times New Roman"/>
                <w:b w:val="0"/>
                <w:bCs w:val="0"/>
                <w:color w:val="000000"/>
                <w:kern w:val="0"/>
                <w:sz w:val="24"/>
                <w:szCs w:val="24"/>
                <w:lang w:val="en-US"/>
              </w:rPr>
            </w:pPr>
          </w:p>
        </w:tc>
        <w:tc>
          <w:tcPr>
            <w:tcW w:w="1234" w:type="dxa"/>
            <w:tcBorders>
              <w:top w:val="single" w:color="auto" w:sz="4" w:space="0"/>
              <w:left w:val="nil"/>
              <w:bottom w:val="single" w:color="auto" w:sz="4" w:space="0"/>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Cd      (mg kg</w:t>
            </w:r>
            <w:r>
              <w:rPr>
                <w:rFonts w:ascii="Times New Roman" w:hAnsi="Times New Roman" w:eastAsia="等线" w:cs="Times New Roman"/>
                <w:color w:val="000000"/>
                <w:kern w:val="0"/>
                <w:sz w:val="24"/>
                <w:szCs w:val="24"/>
                <w:vertAlign w:val="superscript"/>
                <w:lang w:val="en-US"/>
              </w:rPr>
              <w:t>-1</w:t>
            </w:r>
            <w:r>
              <w:rPr>
                <w:rFonts w:ascii="Times New Roman" w:hAnsi="Times New Roman" w:eastAsia="等线" w:cs="Times New Roman"/>
                <w:color w:val="000000"/>
                <w:kern w:val="0"/>
                <w:sz w:val="24"/>
                <w:szCs w:val="24"/>
                <w:lang w:val="en-US"/>
              </w:rPr>
              <w:t>)</w:t>
            </w:r>
          </w:p>
        </w:tc>
        <w:tc>
          <w:tcPr>
            <w:tcW w:w="1134" w:type="dxa"/>
            <w:tcBorders>
              <w:top w:val="single" w:color="auto" w:sz="4" w:space="0"/>
              <w:left w:val="nil"/>
              <w:bottom w:val="single" w:color="auto" w:sz="4" w:space="0"/>
              <w:right w:val="nil"/>
            </w:tcBorders>
            <w:noWrap/>
          </w:tcPr>
          <w:p>
            <w:pPr>
              <w:widowControl/>
              <w:wordWrap w:val="0"/>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Pb       (mg kg</w:t>
            </w:r>
            <w:r>
              <w:rPr>
                <w:rFonts w:ascii="Times New Roman" w:hAnsi="Times New Roman" w:eastAsia="等线" w:cs="Times New Roman"/>
                <w:color w:val="000000"/>
                <w:kern w:val="0"/>
                <w:sz w:val="24"/>
                <w:szCs w:val="24"/>
                <w:vertAlign w:val="superscript"/>
                <w:lang w:val="en-US"/>
              </w:rPr>
              <w:t>-1</w:t>
            </w:r>
            <w:r>
              <w:rPr>
                <w:rFonts w:ascii="Times New Roman" w:hAnsi="Times New Roman" w:eastAsia="等线" w:cs="Times New Roman"/>
                <w:color w:val="000000"/>
                <w:kern w:val="0"/>
                <w:sz w:val="24"/>
                <w:szCs w:val="24"/>
                <w:lang w:val="en-US"/>
              </w:rPr>
              <w:t>)</w:t>
            </w:r>
          </w:p>
        </w:tc>
        <w:tc>
          <w:tcPr>
            <w:tcW w:w="1560" w:type="dxa"/>
            <w:tcBorders>
              <w:top w:val="single" w:color="auto" w:sz="4" w:space="0"/>
              <w:left w:val="nil"/>
              <w:bottom w:val="single" w:color="auto" w:sz="4" w:space="0"/>
              <w:right w:val="nil"/>
            </w:tcBorders>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 xml:space="preserve">Zn            </w:t>
            </w:r>
            <w:r>
              <w:rPr>
                <w:rFonts w:ascii="Times New Roman" w:hAnsi="Times New Roman" w:eastAsia="等线" w:cs="Times New Roman"/>
                <w:color w:val="000000"/>
                <w:kern w:val="0"/>
                <w:sz w:val="24"/>
                <w:szCs w:val="24"/>
                <w:vertAlign w:val="subscript"/>
                <w:lang w:val="en-US"/>
              </w:rPr>
              <w:t xml:space="preserve"> </w:t>
            </w:r>
            <w:r>
              <w:rPr>
                <w:rFonts w:ascii="Times New Roman" w:hAnsi="Times New Roman" w:eastAsia="等线" w:cs="Times New Roman"/>
                <w:color w:val="000000"/>
                <w:kern w:val="0"/>
                <w:sz w:val="24"/>
                <w:szCs w:val="24"/>
                <w:lang w:val="en-US"/>
              </w:rPr>
              <w:t>(mg kg</w:t>
            </w:r>
            <w:r>
              <w:rPr>
                <w:rFonts w:ascii="Times New Roman" w:hAnsi="Times New Roman" w:eastAsia="等线" w:cs="Times New Roman"/>
                <w:color w:val="000000"/>
                <w:kern w:val="0"/>
                <w:sz w:val="24"/>
                <w:szCs w:val="24"/>
                <w:vertAlign w:val="superscript"/>
                <w:lang w:val="en-US"/>
              </w:rPr>
              <w:t>-1</w:t>
            </w:r>
            <w:r>
              <w:rPr>
                <w:rFonts w:ascii="Times New Roman" w:hAnsi="Times New Roman"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single" w:color="auto" w:sz="4" w:space="0"/>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Banana</w:t>
            </w:r>
          </w:p>
        </w:tc>
        <w:tc>
          <w:tcPr>
            <w:tcW w:w="1234" w:type="dxa"/>
            <w:tcBorders>
              <w:top w:val="single" w:color="auto" w:sz="4" w:space="0"/>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0.05</w:t>
            </w:r>
          </w:p>
        </w:tc>
        <w:tc>
          <w:tcPr>
            <w:tcW w:w="1134" w:type="dxa"/>
            <w:tcBorders>
              <w:top w:val="single" w:color="auto" w:sz="4" w:space="0"/>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560" w:type="dxa"/>
            <w:tcBorders>
              <w:top w:val="single" w:color="auto" w:sz="4" w:space="0"/>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Tangerine</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0.05</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560" w:type="dxa"/>
            <w:tcBorders>
              <w:top w:val="nil"/>
              <w:left w:val="nil"/>
              <w:bottom w:val="nil"/>
              <w:right w:val="nil"/>
            </w:tcBorders>
          </w:tcPr>
          <w:p>
            <w:pPr>
              <w:widowControl/>
              <w:jc w:val="left"/>
              <w:rPr>
                <w:rFonts w:ascii="等线" w:hAnsi="等线"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Peanut</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0.5</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0.2</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Bean</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0.2</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0.2</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Ginger</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3</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Garlic</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3</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Mango</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0.05</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Sweet potato</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0.2</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Corn</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0.2</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softHyphen/>
            </w: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nil"/>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Grapefruit</w:t>
            </w:r>
          </w:p>
        </w:tc>
        <w:tc>
          <w:tcPr>
            <w:tcW w:w="12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0.05</w:t>
            </w:r>
          </w:p>
        </w:tc>
        <w:tc>
          <w:tcPr>
            <w:tcW w:w="1134" w:type="dxa"/>
            <w:tcBorders>
              <w:top w:val="nil"/>
              <w:left w:val="nil"/>
              <w:bottom w:val="nil"/>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560" w:type="dxa"/>
            <w:tcBorders>
              <w:top w:val="nil"/>
              <w:left w:val="nil"/>
              <w:bottom w:val="nil"/>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jc w:val="center"/>
        </w:trPr>
        <w:tc>
          <w:tcPr>
            <w:tcW w:w="2168" w:type="dxa"/>
            <w:tcBorders>
              <w:top w:val="nil"/>
              <w:left w:val="nil"/>
              <w:bottom w:val="single" w:color="auto" w:sz="4" w:space="0"/>
              <w:right w:val="nil"/>
            </w:tcBorders>
            <w:noWrap/>
          </w:tcPr>
          <w:p>
            <w:pPr>
              <w:widowControl/>
              <w:jc w:val="left"/>
              <w:rPr>
                <w:rFonts w:hint="default" w:ascii="Times New Roman" w:hAnsi="Times New Roman" w:eastAsia="等线" w:cs="Times New Roman"/>
                <w:b w:val="0"/>
                <w:bCs w:val="0"/>
                <w:color w:val="000000"/>
                <w:kern w:val="0"/>
                <w:sz w:val="24"/>
                <w:szCs w:val="24"/>
                <w:lang w:val="en-US"/>
              </w:rPr>
            </w:pPr>
            <w:r>
              <w:rPr>
                <w:rFonts w:hint="default" w:ascii="Times New Roman" w:hAnsi="Times New Roman" w:eastAsia="等线" w:cs="Times New Roman"/>
                <w:b/>
                <w:bCs/>
                <w:color w:val="000000"/>
                <w:kern w:val="0"/>
                <w:sz w:val="24"/>
                <w:szCs w:val="24"/>
                <w:lang w:val="en-US"/>
              </w:rPr>
              <w:t>Loquat</w:t>
            </w:r>
          </w:p>
        </w:tc>
        <w:tc>
          <w:tcPr>
            <w:tcW w:w="1234" w:type="dxa"/>
            <w:tcBorders>
              <w:top w:val="nil"/>
              <w:left w:val="nil"/>
              <w:bottom w:val="single" w:color="auto" w:sz="4" w:space="0"/>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0.05</w:t>
            </w:r>
          </w:p>
        </w:tc>
        <w:tc>
          <w:tcPr>
            <w:tcW w:w="1134" w:type="dxa"/>
            <w:tcBorders>
              <w:top w:val="nil"/>
              <w:left w:val="nil"/>
              <w:bottom w:val="single" w:color="auto" w:sz="4" w:space="0"/>
              <w:right w:val="nil"/>
            </w:tcBorders>
            <w:noWrap/>
          </w:tcPr>
          <w:p>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kern w:val="0"/>
                <w:sz w:val="24"/>
                <w:szCs w:val="24"/>
                <w:lang w:val="en-US"/>
              </w:rPr>
              <w:t>0.1</w:t>
            </w:r>
          </w:p>
        </w:tc>
        <w:tc>
          <w:tcPr>
            <w:tcW w:w="1560" w:type="dxa"/>
            <w:tcBorders>
              <w:top w:val="nil"/>
              <w:left w:val="nil"/>
              <w:bottom w:val="single" w:color="auto" w:sz="4" w:space="0"/>
              <w:right w:val="nil"/>
            </w:tcBorders>
          </w:tcPr>
          <w:p>
            <w:pPr>
              <w:widowControl/>
              <w:jc w:val="left"/>
              <w:rPr>
                <w:rFonts w:ascii="Times New Roman" w:hAnsi="Times New Roman" w:eastAsia="等线" w:cs="Times New Roman"/>
                <w:color w:val="000000"/>
                <w:kern w:val="0"/>
                <w:sz w:val="24"/>
                <w:szCs w:val="24"/>
                <w:lang w:val="en-US"/>
              </w:rPr>
            </w:pPr>
            <w:r>
              <w:rPr>
                <w:rFonts w:hint="eastAsia" w:ascii="等线" w:hAnsi="等线" w:eastAsia="等线" w:cs="Times New Roman"/>
                <w:color w:val="000000"/>
                <w:kern w:val="0"/>
                <w:sz w:val="24"/>
                <w:szCs w:val="24"/>
                <w:lang w:val="en-US"/>
              </w:rPr>
              <w:t>—</w:t>
            </w:r>
          </w:p>
        </w:tc>
      </w:tr>
    </w:tbl>
    <w:p>
      <w:pPr>
        <w:autoSpaceDE w:val="0"/>
        <w:spacing w:line="360" w:lineRule="auto"/>
        <w:rPr>
          <w:rFonts w:ascii="Times New Roman" w:hAnsi="Times New Roman" w:eastAsia="等线" w:cs="Times New Roman"/>
          <w:sz w:val="24"/>
          <w:szCs w:val="24"/>
          <w:lang w:val="en-US"/>
        </w:rPr>
      </w:pPr>
    </w:p>
    <w:p>
      <w:pPr>
        <w:autoSpaceDE w:val="0"/>
        <w:spacing w:line="360" w:lineRule="auto"/>
        <w:rPr>
          <w:rFonts w:hint="eastAsia" w:ascii="Times New Roman" w:hAnsi="Times New Roman" w:eastAsia="等线" w:cs="Times New Roman"/>
          <w:sz w:val="24"/>
          <w:szCs w:val="24"/>
          <w:lang w:val="en-US"/>
        </w:rPr>
      </w:pPr>
    </w:p>
    <w:p>
      <w:pPr>
        <w:widowControl/>
        <w:jc w:val="center"/>
        <w:rPr>
          <w:rFonts w:ascii="Times New Roman" w:hAnsi="Times New Roman" w:eastAsia="等线" w:cs="Times New Roman"/>
          <w:sz w:val="18"/>
          <w:szCs w:val="18"/>
          <w:lang w:val="en-US"/>
        </w:rPr>
      </w:pPr>
      <w:r>
        <w:rPr>
          <w:rFonts w:ascii="Times New Roman" w:hAnsi="Times New Roman" w:eastAsia="等线" w:cs="Times New Roman"/>
          <w:b/>
          <w:bCs/>
          <w:sz w:val="18"/>
          <w:szCs w:val="18"/>
          <w:lang w:val="en-US"/>
        </w:rPr>
        <w:t>Table S</w:t>
      </w:r>
      <w:r>
        <w:rPr>
          <w:rFonts w:hint="eastAsia" w:ascii="Times New Roman" w:hAnsi="Times New Roman" w:eastAsia="等线" w:cs="Times New Roman"/>
          <w:b/>
          <w:bCs/>
          <w:sz w:val="18"/>
          <w:szCs w:val="18"/>
          <w:lang w:val="en-US"/>
        </w:rPr>
        <w:t>2</w:t>
      </w:r>
      <w:r>
        <w:rPr>
          <w:rFonts w:ascii="Times New Roman" w:hAnsi="Times New Roman" w:eastAsia="等线" w:cs="Times New Roman"/>
          <w:b/>
          <w:bCs/>
          <w:sz w:val="18"/>
          <w:szCs w:val="18"/>
          <w:lang w:val="en-US"/>
        </w:rPr>
        <w:t xml:space="preserve"> Ecological Risk grades according to the Eri and PER</w:t>
      </w:r>
    </w:p>
    <w:tbl>
      <w:tblPr>
        <w:tblStyle w:val="46"/>
        <w:tblW w:w="907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18"/>
        <w:gridCol w:w="2268"/>
        <w:gridCol w:w="992"/>
        <w:gridCol w:w="1417"/>
        <w:gridCol w:w="198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Grade</w:t>
            </w:r>
          </w:p>
        </w:tc>
        <w:tc>
          <w:tcPr>
            <w:tcW w:w="1418"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Value of Eri</w:t>
            </w:r>
          </w:p>
        </w:tc>
        <w:tc>
          <w:tcPr>
            <w:tcW w:w="2268"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Potential Ecological Risk</w:t>
            </w:r>
          </w:p>
        </w:tc>
        <w:tc>
          <w:tcPr>
            <w:tcW w:w="992"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softHyphen/>
            </w:r>
            <w:r>
              <w:rPr>
                <w:rFonts w:ascii="Times New Roman" w:hAnsi="Times New Roman" w:eastAsia="宋体" w:cs="Times New Roman"/>
                <w:b/>
                <w:bCs/>
                <w:sz w:val="24"/>
                <w:szCs w:val="24"/>
                <w:lang w:val="en-US"/>
              </w:rPr>
              <w:softHyphen/>
            </w:r>
            <w:r>
              <w:rPr>
                <w:rFonts w:ascii="Times New Roman" w:hAnsi="Times New Roman" w:eastAsia="宋体" w:cs="Times New Roman"/>
                <w:b/>
                <w:bCs/>
                <w:sz w:val="24"/>
                <w:szCs w:val="24"/>
                <w:lang w:val="en-US"/>
              </w:rPr>
              <w:softHyphen/>
            </w:r>
            <w:r>
              <w:rPr>
                <w:rFonts w:ascii="Times New Roman" w:hAnsi="Times New Roman" w:eastAsia="宋体" w:cs="Times New Roman"/>
                <w:b/>
                <w:bCs/>
                <w:sz w:val="24"/>
                <w:szCs w:val="24"/>
                <w:lang w:val="en-US"/>
              </w:rPr>
              <w:softHyphen/>
            </w:r>
            <w:r>
              <w:rPr>
                <w:rFonts w:ascii="Times New Roman" w:hAnsi="Times New Roman" w:eastAsia="宋体" w:cs="Times New Roman"/>
                <w:b/>
                <w:bCs/>
                <w:sz w:val="24"/>
                <w:szCs w:val="24"/>
                <w:lang w:val="en-US"/>
              </w:rPr>
              <w:softHyphen/>
            </w:r>
            <w:r>
              <w:rPr>
                <w:rFonts w:ascii="Times New Roman" w:hAnsi="Times New Roman" w:eastAsia="宋体" w:cs="Times New Roman"/>
                <w:b/>
                <w:bCs/>
                <w:sz w:val="24"/>
                <w:szCs w:val="24"/>
                <w:lang w:val="en-US"/>
              </w:rPr>
              <w:t>Grade</w:t>
            </w:r>
          </w:p>
        </w:tc>
        <w:tc>
          <w:tcPr>
            <w:tcW w:w="1417"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Value of PERI</w:t>
            </w:r>
          </w:p>
        </w:tc>
        <w:tc>
          <w:tcPr>
            <w:tcW w:w="1985" w:type="dxa"/>
            <w:tcBorders>
              <w:top w:val="single" w:color="auto" w:sz="4" w:space="0"/>
              <w:left w:val="nil"/>
              <w:bottom w:val="single" w:color="auto" w:sz="4" w:space="0"/>
              <w:right w:val="nil"/>
            </w:tcBorders>
          </w:tcPr>
          <w:p>
            <w:pPr>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S</w:t>
            </w:r>
            <w:r>
              <w:rPr>
                <w:rFonts w:hint="eastAsia" w:ascii="Times New Roman" w:hAnsi="Times New Roman" w:eastAsia="宋体" w:cs="Times New Roman"/>
                <w:b/>
                <w:bCs/>
                <w:sz w:val="24"/>
                <w:szCs w:val="24"/>
                <w:lang w:val="en-US"/>
              </w:rPr>
              <w:t>oil</w:t>
            </w:r>
            <w:r>
              <w:rPr>
                <w:rFonts w:ascii="Times New Roman" w:hAnsi="Times New Roman" w:eastAsia="宋体" w:cs="Times New Roman"/>
                <w:b/>
                <w:bCs/>
                <w:sz w:val="24"/>
                <w:szCs w:val="24"/>
                <w:lang w:val="en-US"/>
              </w:rPr>
              <w:t xml:space="preserve"> contamination degree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tcBorders>
              <w:top w:val="single" w:color="auto" w:sz="4" w:space="0"/>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1</w:t>
            </w:r>
          </w:p>
        </w:tc>
        <w:tc>
          <w:tcPr>
            <w:tcW w:w="1418" w:type="dxa"/>
            <w:tcBorders>
              <w:top w:val="single" w:color="auto" w:sz="4" w:space="0"/>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Eri &lt; 40</w:t>
            </w:r>
          </w:p>
        </w:tc>
        <w:tc>
          <w:tcPr>
            <w:tcW w:w="2268" w:type="dxa"/>
            <w:tcBorders>
              <w:top w:val="single" w:color="auto" w:sz="4" w:space="0"/>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color w:val="000000"/>
                <w:sz w:val="24"/>
                <w:szCs w:val="24"/>
                <w:lang w:val="en-US"/>
              </w:rPr>
              <w:t>Low ecological risk</w:t>
            </w:r>
          </w:p>
        </w:tc>
        <w:tc>
          <w:tcPr>
            <w:tcW w:w="992" w:type="dxa"/>
            <w:tcBorders>
              <w:top w:val="single" w:color="auto" w:sz="4" w:space="0"/>
              <w:left w:val="nil"/>
              <w:bottom w:val="nil"/>
              <w:right w:val="nil"/>
            </w:tcBorders>
          </w:tcPr>
          <w:p>
            <w:pPr>
              <w:rPr>
                <w:rFonts w:ascii="Times New Roman" w:hAnsi="Times New Roman" w:eastAsia="宋体" w:cs="Times New Roman"/>
                <w:b/>
                <w:bCs/>
                <w:color w:val="000000"/>
                <w:sz w:val="24"/>
                <w:szCs w:val="24"/>
                <w:lang w:val="en-US"/>
              </w:rPr>
            </w:pPr>
            <w:r>
              <w:rPr>
                <w:rFonts w:hint="eastAsia" w:ascii="Times New Roman" w:hAnsi="Times New Roman" w:eastAsia="宋体" w:cs="Times New Roman"/>
                <w:b/>
                <w:bCs/>
                <w:color w:val="000000"/>
                <w:sz w:val="24"/>
                <w:szCs w:val="24"/>
                <w:lang w:val="en-US"/>
              </w:rPr>
              <w:t>1</w:t>
            </w:r>
          </w:p>
        </w:tc>
        <w:tc>
          <w:tcPr>
            <w:tcW w:w="1417" w:type="dxa"/>
            <w:tcBorders>
              <w:top w:val="single" w:color="auto" w:sz="4" w:space="0"/>
              <w:left w:val="nil"/>
              <w:bottom w:val="nil"/>
              <w:right w:val="nil"/>
            </w:tcBorders>
          </w:tcPr>
          <w:p>
            <w:pPr>
              <w:jc w:val="left"/>
              <w:rPr>
                <w:rFonts w:ascii="Times New Roman" w:hAnsi="Times New Roman" w:eastAsia="宋体" w:cs="Times New Roman"/>
                <w:color w:val="000000"/>
                <w:sz w:val="24"/>
                <w:szCs w:val="24"/>
                <w:lang w:val="en-US"/>
              </w:rPr>
            </w:pPr>
            <w:r>
              <w:rPr>
                <w:rFonts w:ascii="Times New Roman" w:hAnsi="Times New Roman" w:eastAsia="宋体" w:cs="Times New Roman"/>
                <w:sz w:val="24"/>
                <w:szCs w:val="24"/>
                <w:lang w:val="en-US"/>
              </w:rPr>
              <w:t>PERI &lt; 95</w:t>
            </w:r>
          </w:p>
        </w:tc>
        <w:tc>
          <w:tcPr>
            <w:tcW w:w="1985" w:type="dxa"/>
            <w:tcBorders>
              <w:top w:val="single" w:color="auto" w:sz="4" w:space="0"/>
              <w:left w:val="nil"/>
              <w:bottom w:val="nil"/>
              <w:right w:val="nil"/>
            </w:tcBorders>
          </w:tcPr>
          <w:p>
            <w:pPr>
              <w:jc w:val="left"/>
              <w:rPr>
                <w:rFonts w:ascii="Times New Roman" w:hAnsi="Times New Roman" w:eastAsia="宋体" w:cs="Times New Roman"/>
                <w:color w:val="000000"/>
                <w:sz w:val="24"/>
                <w:szCs w:val="24"/>
                <w:lang w:val="en-US"/>
              </w:rPr>
            </w:pPr>
            <w:r>
              <w:rPr>
                <w:rFonts w:ascii="Times New Roman" w:hAnsi="Times New Roman" w:eastAsia="宋体" w:cs="Times New Roman"/>
                <w:color w:val="000000"/>
                <w:sz w:val="24"/>
                <w:szCs w:val="24"/>
                <w:lang w:val="en-US"/>
              </w:rPr>
              <w:t>Low ecological risk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2</w:t>
            </w:r>
          </w:p>
        </w:tc>
        <w:tc>
          <w:tcPr>
            <w:tcW w:w="141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40 ≤</w:t>
            </w:r>
            <w:r>
              <w:rPr>
                <w:rFonts w:hint="eastAsia" w:ascii="宋体" w:hAnsi="宋体" w:eastAsia="宋体" w:cs="Times New Roman"/>
                <w:sz w:val="24"/>
                <w:szCs w:val="24"/>
                <w:lang w:val="en-US"/>
              </w:rPr>
              <w:t xml:space="preserve"> </w:t>
            </w:r>
            <w:r>
              <w:rPr>
                <w:rFonts w:ascii="Times New Roman" w:hAnsi="Times New Roman" w:eastAsia="宋体" w:cs="Times New Roman"/>
                <w:sz w:val="24"/>
                <w:szCs w:val="24"/>
                <w:lang w:val="en-US"/>
              </w:rPr>
              <w:t>Eri &lt; 80</w:t>
            </w:r>
          </w:p>
        </w:tc>
        <w:tc>
          <w:tcPr>
            <w:tcW w:w="226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Moderate ecological risk</w:t>
            </w:r>
          </w:p>
        </w:tc>
        <w:tc>
          <w:tcPr>
            <w:tcW w:w="992"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2</w:t>
            </w:r>
          </w:p>
        </w:tc>
        <w:tc>
          <w:tcPr>
            <w:tcW w:w="1417"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95 ≤ PERI &lt; 190</w:t>
            </w:r>
          </w:p>
        </w:tc>
        <w:tc>
          <w:tcPr>
            <w:tcW w:w="1985"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Moderate ecological risk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993"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3</w:t>
            </w:r>
          </w:p>
        </w:tc>
        <w:tc>
          <w:tcPr>
            <w:tcW w:w="141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80 ≤ Eri &lt; 160</w:t>
            </w:r>
          </w:p>
        </w:tc>
        <w:tc>
          <w:tcPr>
            <w:tcW w:w="226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Considerable ecological risk</w:t>
            </w:r>
          </w:p>
        </w:tc>
        <w:tc>
          <w:tcPr>
            <w:tcW w:w="992"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3</w:t>
            </w:r>
          </w:p>
        </w:tc>
        <w:tc>
          <w:tcPr>
            <w:tcW w:w="1417"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190 ≤ PERI &lt; 380</w:t>
            </w:r>
          </w:p>
        </w:tc>
        <w:tc>
          <w:tcPr>
            <w:tcW w:w="1985"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Considerable ecological risk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4</w:t>
            </w:r>
          </w:p>
        </w:tc>
        <w:tc>
          <w:tcPr>
            <w:tcW w:w="141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160 ≤ Eri &lt; 320</w:t>
            </w:r>
          </w:p>
        </w:tc>
        <w:tc>
          <w:tcPr>
            <w:tcW w:w="2268"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High ecological risk</w:t>
            </w:r>
          </w:p>
        </w:tc>
        <w:tc>
          <w:tcPr>
            <w:tcW w:w="992" w:type="dxa"/>
            <w:tcBorders>
              <w:top w:val="nil"/>
              <w:left w:val="nil"/>
              <w:bottom w:val="nil"/>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4</w:t>
            </w:r>
          </w:p>
        </w:tc>
        <w:tc>
          <w:tcPr>
            <w:tcW w:w="1417"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PERI &gt; 380</w:t>
            </w:r>
          </w:p>
        </w:tc>
        <w:tc>
          <w:tcPr>
            <w:tcW w:w="1985" w:type="dxa"/>
            <w:tcBorders>
              <w:top w:val="nil"/>
              <w:left w:val="nil"/>
              <w:bottom w:val="nil"/>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Very high ecological risk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tcBorders>
              <w:top w:val="nil"/>
              <w:left w:val="nil"/>
              <w:bottom w:val="single" w:color="auto" w:sz="4" w:space="0"/>
              <w:right w:val="nil"/>
            </w:tcBorders>
          </w:tcPr>
          <w:p>
            <w:pP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t>5</w:t>
            </w:r>
          </w:p>
        </w:tc>
        <w:tc>
          <w:tcPr>
            <w:tcW w:w="1418" w:type="dxa"/>
            <w:tcBorders>
              <w:top w:val="nil"/>
              <w:left w:val="nil"/>
              <w:bottom w:val="single" w:color="auto" w:sz="4" w:space="0"/>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Eri ≥ 320</w:t>
            </w:r>
          </w:p>
        </w:tc>
        <w:tc>
          <w:tcPr>
            <w:tcW w:w="2268" w:type="dxa"/>
            <w:tcBorders>
              <w:top w:val="nil"/>
              <w:left w:val="nil"/>
              <w:bottom w:val="single" w:color="auto" w:sz="4" w:space="0"/>
              <w:right w:val="nil"/>
            </w:tcBorders>
          </w:tcPr>
          <w:p>
            <w:pPr>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Very serious ecological risk</w:t>
            </w:r>
          </w:p>
        </w:tc>
        <w:tc>
          <w:tcPr>
            <w:tcW w:w="992" w:type="dxa"/>
            <w:tcBorders>
              <w:top w:val="nil"/>
              <w:left w:val="nil"/>
              <w:bottom w:val="single" w:color="auto" w:sz="4" w:space="0"/>
              <w:right w:val="nil"/>
            </w:tcBorders>
          </w:tcPr>
          <w:p>
            <w:pPr>
              <w:rPr>
                <w:rFonts w:ascii="Times New Roman" w:hAnsi="Times New Roman" w:eastAsia="宋体" w:cs="Times New Roman"/>
                <w:b/>
                <w:bCs/>
                <w:sz w:val="24"/>
                <w:szCs w:val="24"/>
                <w:lang w:val="en-US"/>
              </w:rPr>
            </w:pPr>
          </w:p>
        </w:tc>
        <w:tc>
          <w:tcPr>
            <w:tcW w:w="1417" w:type="dxa"/>
            <w:tcBorders>
              <w:top w:val="nil"/>
              <w:left w:val="nil"/>
              <w:bottom w:val="single" w:color="auto" w:sz="4" w:space="0"/>
              <w:right w:val="nil"/>
            </w:tcBorders>
          </w:tcPr>
          <w:p>
            <w:pPr>
              <w:rPr>
                <w:rFonts w:ascii="Times New Roman" w:hAnsi="Times New Roman" w:eastAsia="宋体" w:cs="Times New Roman"/>
                <w:sz w:val="24"/>
                <w:szCs w:val="24"/>
                <w:lang w:val="en-US"/>
              </w:rPr>
            </w:pPr>
          </w:p>
        </w:tc>
        <w:tc>
          <w:tcPr>
            <w:tcW w:w="1985" w:type="dxa"/>
            <w:tcBorders>
              <w:top w:val="nil"/>
              <w:left w:val="nil"/>
              <w:bottom w:val="single" w:color="auto" w:sz="4" w:space="0"/>
              <w:right w:val="nil"/>
            </w:tcBorders>
          </w:tcPr>
          <w:p>
            <w:pPr>
              <w:rPr>
                <w:rFonts w:ascii="Times New Roman" w:hAnsi="Times New Roman" w:eastAsia="宋体" w:cs="Times New Roman"/>
                <w:sz w:val="24"/>
                <w:szCs w:val="24"/>
                <w:lang w:val="en-US"/>
              </w:rPr>
            </w:pPr>
          </w:p>
        </w:tc>
      </w:tr>
    </w:tbl>
    <w:p>
      <w:pPr>
        <w:rPr>
          <w:rFonts w:ascii="Times New Roman" w:hAnsi="Times New Roman" w:eastAsia="等线" w:cs="Times New Roman"/>
          <w:b/>
          <w:bCs/>
          <w:sz w:val="24"/>
          <w:szCs w:val="24"/>
          <w:lang w:val="en-US"/>
        </w:rPr>
      </w:pPr>
    </w:p>
    <w:p>
      <w:pPr>
        <w:widowControl/>
        <w:jc w:val="left"/>
        <w:rPr>
          <w:rFonts w:ascii="Times New Roman" w:hAnsi="Times New Roman" w:eastAsia="等线" w:cs="Times New Roman"/>
          <w:b/>
          <w:bCs/>
          <w:sz w:val="24"/>
          <w:szCs w:val="24"/>
          <w:lang w:val="en-US"/>
        </w:rPr>
      </w:pPr>
      <w:r>
        <w:rPr>
          <w:rFonts w:ascii="Times New Roman" w:hAnsi="Times New Roman" w:eastAsia="等线" w:cs="Times New Roman"/>
          <w:b/>
          <w:bCs/>
          <w:sz w:val="24"/>
          <w:szCs w:val="24"/>
          <w:lang w:val="en-US"/>
        </w:rPr>
        <w:br w:type="page"/>
      </w:r>
    </w:p>
    <w:p>
      <w:pPr>
        <w:rPr>
          <w:rFonts w:ascii="Times New Roman" w:hAnsi="Times New Roman" w:eastAsia="等线" w:cs="Times New Roman"/>
          <w:b/>
          <w:bCs/>
          <w:sz w:val="24"/>
          <w:szCs w:val="24"/>
          <w:lang w:val="en-US"/>
        </w:rPr>
      </w:pPr>
    </w:p>
    <w:p>
      <w:pPr>
        <w:jc w:val="center"/>
        <w:rPr>
          <w:rFonts w:ascii="Times New Roman" w:hAnsi="Times New Roman" w:eastAsia="等线" w:cs="Times New Roman"/>
          <w:b/>
          <w:bCs/>
          <w:sz w:val="18"/>
          <w:szCs w:val="18"/>
          <w:lang w:val="en-US"/>
        </w:rPr>
      </w:pPr>
      <w:r>
        <w:rPr>
          <w:rFonts w:ascii="Times New Roman" w:hAnsi="Times New Roman" w:eastAsia="等线" w:cs="Times New Roman"/>
          <w:b/>
          <w:bCs/>
          <w:sz w:val="18"/>
          <w:szCs w:val="18"/>
          <w:lang w:val="en-US"/>
        </w:rPr>
        <w:t>Table S</w:t>
      </w:r>
      <w:r>
        <w:rPr>
          <w:rFonts w:hint="eastAsia" w:ascii="Times New Roman" w:hAnsi="Times New Roman" w:eastAsia="等线" w:cs="Times New Roman"/>
          <w:b/>
          <w:bCs/>
          <w:sz w:val="18"/>
          <w:szCs w:val="18"/>
          <w:vertAlign w:val="subscript"/>
          <w:lang w:val="en-US"/>
        </w:rPr>
        <w:t>3</w:t>
      </w:r>
      <w:r>
        <w:rPr>
          <w:rFonts w:ascii="Times New Roman" w:hAnsi="Times New Roman" w:eastAsia="等线" w:cs="Times New Roman"/>
          <w:b/>
          <w:bCs/>
          <w:sz w:val="18"/>
          <w:szCs w:val="18"/>
          <w:lang w:val="en-US"/>
        </w:rPr>
        <w:t xml:space="preserve"> </w:t>
      </w:r>
      <w:bookmarkStart w:id="37" w:name="_Hlk113451861"/>
      <w:r>
        <w:rPr>
          <w:rFonts w:ascii="Times New Roman" w:hAnsi="Times New Roman" w:eastAsia="等线" w:cs="Times New Roman"/>
          <w:b/>
          <w:bCs/>
          <w:sz w:val="18"/>
          <w:szCs w:val="18"/>
          <w:lang w:val="en-US"/>
        </w:rPr>
        <w:t>Parameters used in the health risk assessment</w:t>
      </w:r>
      <w:bookmarkEnd w:id="37"/>
    </w:p>
    <w:tbl>
      <w:tblPr>
        <w:tblStyle w:val="48"/>
        <w:tblW w:w="5000" w:type="pct"/>
        <w:tblInd w:w="0" w:type="dxa"/>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Layout w:type="autofit"/>
        <w:tblCellMar>
          <w:top w:w="0" w:type="dxa"/>
          <w:left w:w="108" w:type="dxa"/>
          <w:bottom w:w="0" w:type="dxa"/>
          <w:right w:w="108" w:type="dxa"/>
        </w:tblCellMar>
      </w:tblPr>
      <w:tblGrid>
        <w:gridCol w:w="1309"/>
        <w:gridCol w:w="1983"/>
        <w:gridCol w:w="1267"/>
        <w:gridCol w:w="2339"/>
        <w:gridCol w:w="2344"/>
      </w:tblGrid>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300" w:hRule="atLeast"/>
        </w:trPr>
        <w:tc>
          <w:tcPr>
            <w:tcW w:w="703" w:type="pct"/>
            <w:tcBorders>
              <w:top w:val="single" w:color="auto" w:sz="4" w:space="0"/>
              <w:left w:val="nil"/>
              <w:bottom w:val="single" w:color="auto" w:sz="4" w:space="0"/>
              <w:right w:val="nil"/>
            </w:tcBorders>
          </w:tcPr>
          <w:p>
            <w:pPr>
              <w:widowControl/>
              <w:jc w:val="left"/>
              <w:rPr>
                <w:rFonts w:hint="default" w:ascii="Times New Roman" w:hAnsi="Times New Roman" w:eastAsia="宋体" w:cs="Times New Roman"/>
                <w:b w:val="0"/>
                <w:bCs w:val="0"/>
                <w:sz w:val="24"/>
                <w:szCs w:val="24"/>
                <w:lang w:val="en-US"/>
              </w:rPr>
            </w:pPr>
            <w:r>
              <w:rPr>
                <w:rFonts w:hint="default" w:ascii="Times New Roman" w:hAnsi="Times New Roman" w:eastAsia="宋体" w:cs="Times New Roman"/>
                <w:b/>
                <w:bCs/>
                <w:sz w:val="24"/>
                <w:szCs w:val="24"/>
                <w:lang w:val="en-US"/>
              </w:rPr>
              <w:t>Parameter</w:t>
            </w:r>
          </w:p>
        </w:tc>
        <w:tc>
          <w:tcPr>
            <w:tcW w:w="1077" w:type="pct"/>
            <w:tcBorders>
              <w:top w:val="single" w:color="auto" w:sz="4" w:space="0"/>
              <w:left w:val="nil"/>
              <w:bottom w:val="single" w:color="auto" w:sz="4" w:space="0"/>
              <w:right w:val="nil"/>
            </w:tcBorders>
          </w:tcPr>
          <w:p>
            <w:pPr>
              <w:widowControl/>
              <w:jc w:val="left"/>
              <w:rPr>
                <w:rFonts w:hint="default" w:ascii="Times New Roman" w:hAnsi="Times New Roman" w:eastAsia="宋体" w:cs="Times New Roman"/>
                <w:b w:val="0"/>
                <w:bCs w:val="0"/>
                <w:sz w:val="24"/>
                <w:szCs w:val="24"/>
                <w:lang w:val="en-US"/>
              </w:rPr>
            </w:pPr>
            <w:r>
              <w:rPr>
                <w:rFonts w:hint="default" w:ascii="Times New Roman" w:hAnsi="Times New Roman" w:eastAsia="宋体" w:cs="Times New Roman"/>
                <w:b/>
                <w:bCs/>
                <w:sz w:val="24"/>
                <w:szCs w:val="24"/>
                <w:lang w:val="en-US"/>
              </w:rPr>
              <w:t>Description</w:t>
            </w:r>
          </w:p>
        </w:tc>
        <w:tc>
          <w:tcPr>
            <w:tcW w:w="678" w:type="pct"/>
            <w:tcBorders>
              <w:top w:val="single" w:color="auto" w:sz="4" w:space="0"/>
              <w:left w:val="nil"/>
              <w:bottom w:val="single" w:color="auto" w:sz="4" w:space="0"/>
              <w:right w:val="nil"/>
            </w:tcBorders>
          </w:tcPr>
          <w:p>
            <w:pPr>
              <w:widowControl/>
              <w:jc w:val="left"/>
              <w:rPr>
                <w:rFonts w:hint="default" w:ascii="Times New Roman" w:hAnsi="Times New Roman" w:eastAsia="宋体" w:cs="Times New Roman"/>
                <w:b w:val="0"/>
                <w:bCs w:val="0"/>
                <w:sz w:val="24"/>
                <w:szCs w:val="24"/>
                <w:lang w:val="en-US"/>
              </w:rPr>
            </w:pPr>
            <w:r>
              <w:rPr>
                <w:rFonts w:hint="default" w:ascii="Times New Roman" w:hAnsi="Times New Roman" w:eastAsia="宋体" w:cs="Times New Roman"/>
                <w:b/>
                <w:bCs/>
                <w:sz w:val="24"/>
                <w:szCs w:val="24"/>
                <w:lang w:val="en-US"/>
              </w:rPr>
              <w:t>Unit</w:t>
            </w:r>
          </w:p>
        </w:tc>
        <w:tc>
          <w:tcPr>
            <w:tcW w:w="1270" w:type="pct"/>
            <w:tcBorders>
              <w:top w:val="single" w:color="auto" w:sz="4" w:space="0"/>
              <w:left w:val="nil"/>
              <w:bottom w:val="single" w:color="auto" w:sz="4" w:space="0"/>
              <w:right w:val="nil"/>
            </w:tcBorders>
          </w:tcPr>
          <w:p>
            <w:pPr>
              <w:widowControl/>
              <w:jc w:val="left"/>
              <w:rPr>
                <w:rFonts w:hint="default" w:ascii="Times New Roman" w:hAnsi="Times New Roman" w:eastAsia="宋体" w:cs="Times New Roman"/>
                <w:b w:val="0"/>
                <w:bCs w:val="0"/>
                <w:sz w:val="24"/>
                <w:szCs w:val="24"/>
                <w:lang w:val="en-US"/>
              </w:rPr>
            </w:pPr>
            <w:r>
              <w:rPr>
                <w:rFonts w:hint="default" w:ascii="Times New Roman" w:hAnsi="Times New Roman" w:eastAsia="宋体" w:cs="Times New Roman"/>
                <w:b/>
                <w:bCs/>
                <w:sz w:val="24"/>
                <w:szCs w:val="24"/>
                <w:lang w:val="en-US"/>
              </w:rPr>
              <w:t>Value</w:t>
            </w:r>
          </w:p>
        </w:tc>
        <w:tc>
          <w:tcPr>
            <w:tcW w:w="1272" w:type="pct"/>
            <w:tcBorders>
              <w:top w:val="single" w:color="auto" w:sz="4" w:space="0"/>
              <w:left w:val="nil"/>
              <w:bottom w:val="single" w:color="auto" w:sz="4" w:space="0"/>
              <w:right w:val="nil"/>
            </w:tcBorders>
          </w:tcPr>
          <w:p>
            <w:pPr>
              <w:widowControl/>
              <w:jc w:val="left"/>
              <w:rPr>
                <w:rFonts w:hint="default" w:ascii="Times New Roman" w:hAnsi="Times New Roman" w:eastAsia="宋体" w:cs="Times New Roman"/>
                <w:b w:val="0"/>
                <w:bCs w:val="0"/>
                <w:sz w:val="24"/>
                <w:szCs w:val="24"/>
                <w:lang w:val="en-US"/>
              </w:rPr>
            </w:pPr>
            <w:r>
              <w:rPr>
                <w:rFonts w:hint="default" w:ascii="Times New Roman" w:hAnsi="Times New Roman" w:eastAsia="宋体" w:cs="Times New Roman"/>
                <w:b/>
                <w:bCs/>
                <w:sz w:val="24"/>
                <w:szCs w:val="24"/>
                <w:lang w:val="en-US"/>
              </w:rPr>
              <w:t>Reference</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trPr>
        <w:tc>
          <w:tcPr>
            <w:tcW w:w="703" w:type="pct"/>
            <w:tcBorders>
              <w:top w:val="single" w:color="auto" w:sz="4" w:space="0"/>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EF</w:t>
            </w:r>
          </w:p>
        </w:tc>
        <w:tc>
          <w:tcPr>
            <w:tcW w:w="1077" w:type="pct"/>
            <w:tcBorders>
              <w:top w:val="single" w:color="auto" w:sz="4" w:space="0"/>
              <w:left w:val="nil"/>
              <w:bottom w:val="nil"/>
              <w:right w:val="nil"/>
            </w:tcBorders>
          </w:tcPr>
          <w:p>
            <w:pPr>
              <w:widowControl/>
              <w:jc w:val="left"/>
              <w:rPr>
                <w:rFonts w:ascii="Times New Roman" w:hAnsi="Times New Roman" w:eastAsia="宋体" w:cs="Times New Roman"/>
                <w:sz w:val="24"/>
                <w:szCs w:val="24"/>
                <w:lang w:val="en-US"/>
              </w:rPr>
            </w:pPr>
            <w:bookmarkStart w:id="38" w:name="_Hlk40994469"/>
            <w:r>
              <w:rPr>
                <w:rFonts w:ascii="Times New Roman" w:hAnsi="Times New Roman" w:eastAsia="宋体" w:cs="Times New Roman"/>
                <w:sz w:val="24"/>
                <w:szCs w:val="24"/>
                <w:lang w:val="en-US"/>
              </w:rPr>
              <w:t>exposure frequency</w:t>
            </w:r>
            <w:bookmarkEnd w:id="38"/>
          </w:p>
        </w:tc>
        <w:tc>
          <w:tcPr>
            <w:tcW w:w="678" w:type="pct"/>
            <w:tcBorders>
              <w:top w:val="single" w:color="auto" w:sz="4" w:space="0"/>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day/year</w:t>
            </w:r>
          </w:p>
        </w:tc>
        <w:tc>
          <w:tcPr>
            <w:tcW w:w="1270" w:type="pct"/>
            <w:tcBorders>
              <w:top w:val="single" w:color="auto" w:sz="4" w:space="0"/>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350</w:t>
            </w:r>
          </w:p>
        </w:tc>
        <w:tc>
          <w:tcPr>
            <w:tcW w:w="1272" w:type="pct"/>
            <w:tcBorders>
              <w:top w:val="single" w:color="auto" w:sz="4" w:space="0"/>
              <w:left w:val="nil"/>
              <w:bottom w:val="nil"/>
              <w:right w:val="nil"/>
            </w:tcBorders>
          </w:tcPr>
          <w:p>
            <w:pPr>
              <w:widowControl/>
              <w:jc w:val="left"/>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(Chen et al., 2019; Xiaoqing Kan, 2021)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41"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IngR</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ingestion rate of soil</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 xml:space="preserve"> Mg/day</w:t>
            </w:r>
          </w:p>
        </w:tc>
        <w:tc>
          <w:tcPr>
            <w:tcW w:w="1270" w:type="pct"/>
            <w:tcBorders>
              <w:top w:val="nil"/>
              <w:left w:val="nil"/>
              <w:bottom w:val="nil"/>
              <w:right w:val="nil"/>
            </w:tcBorders>
          </w:tcPr>
          <w:p>
            <w:pPr>
              <w:jc w:val="left"/>
              <w:rPr>
                <w:rFonts w:ascii="Times New Roman" w:hAnsi="Times New Roman" w:eastAsia="宋体" w:cs="Times New Roman"/>
                <w:kern w:val="0"/>
                <w:sz w:val="24"/>
                <w:szCs w:val="24"/>
                <w:lang w:val="en-US"/>
              </w:rPr>
            </w:pPr>
            <w:r>
              <w:rPr>
                <w:rFonts w:ascii="Times New Roman" w:hAnsi="Times New Roman" w:eastAsia="宋体" w:cs="Times New Roman"/>
                <w:kern w:val="0"/>
                <w:sz w:val="24"/>
                <w:szCs w:val="24"/>
                <w:lang w:val="en-US"/>
              </w:rPr>
              <w:t>200 for children</w:t>
            </w:r>
          </w:p>
          <w:p>
            <w:pPr>
              <w:jc w:val="left"/>
              <w:rPr>
                <w:rFonts w:ascii="Times New Roman" w:hAnsi="Times New Roman" w:eastAsia="等线" w:cs="Times New Roman"/>
                <w:sz w:val="24"/>
                <w:szCs w:val="24"/>
                <w:lang w:val="en-US"/>
              </w:rPr>
            </w:pPr>
            <w:r>
              <w:rPr>
                <w:rFonts w:ascii="Times New Roman" w:hAnsi="Times New Roman" w:eastAsia="宋体" w:cs="Times New Roman"/>
                <w:kern w:val="0"/>
                <w:sz w:val="24"/>
                <w:szCs w:val="24"/>
                <w:lang w:val="en-US"/>
              </w:rPr>
              <w:t>100 for adults</w:t>
            </w:r>
          </w:p>
          <w:p>
            <w:pPr>
              <w:jc w:val="left"/>
              <w:rPr>
                <w:rFonts w:ascii="Times New Roman" w:hAnsi="Times New Roman" w:eastAsia="等线" w:cs="Times New Roman"/>
                <w:sz w:val="24"/>
                <w:szCs w:val="24"/>
                <w:lang w:val="en-US"/>
              </w:rPr>
            </w:pP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(Xiaoqing Kan, 2021; Yang et al., 2019)</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ED</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exposure duration</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years</w:t>
            </w:r>
          </w:p>
        </w:tc>
        <w:tc>
          <w:tcPr>
            <w:tcW w:w="1270" w:type="pct"/>
            <w:tcBorders>
              <w:top w:val="nil"/>
              <w:left w:val="nil"/>
              <w:bottom w:val="nil"/>
              <w:right w:val="nil"/>
            </w:tcBorders>
          </w:tcPr>
          <w:p>
            <w:pPr>
              <w:jc w:val="left"/>
              <w:rPr>
                <w:rFonts w:ascii="Times New Roman" w:hAnsi="Times New Roman" w:eastAsia="宋体" w:cs="Times New Roman"/>
                <w:kern w:val="0"/>
                <w:sz w:val="24"/>
                <w:szCs w:val="24"/>
                <w:lang w:val="en-US"/>
              </w:rPr>
            </w:pPr>
            <w:r>
              <w:rPr>
                <w:rFonts w:ascii="Times New Roman" w:hAnsi="Times New Roman" w:eastAsia="宋体" w:cs="Times New Roman"/>
                <w:sz w:val="24"/>
                <w:szCs w:val="24"/>
                <w:lang w:val="en-US"/>
              </w:rPr>
              <w:t xml:space="preserve">6 </w:t>
            </w:r>
            <w:r>
              <w:rPr>
                <w:rFonts w:ascii="Times New Roman" w:hAnsi="Times New Roman" w:eastAsia="宋体" w:cs="Times New Roman"/>
                <w:kern w:val="0"/>
                <w:sz w:val="24"/>
                <w:szCs w:val="24"/>
                <w:lang w:val="en-US"/>
              </w:rPr>
              <w:t xml:space="preserve"> for children</w:t>
            </w:r>
          </w:p>
          <w:p>
            <w:pPr>
              <w:jc w:val="left"/>
              <w:rPr>
                <w:rFonts w:ascii="Times New Roman" w:hAnsi="Times New Roman" w:eastAsia="等线" w:cs="Times New Roman"/>
                <w:sz w:val="24"/>
                <w:szCs w:val="24"/>
                <w:lang w:val="en-US"/>
              </w:rPr>
            </w:pPr>
            <w:r>
              <w:rPr>
                <w:rFonts w:ascii="Times New Roman" w:hAnsi="Times New Roman" w:eastAsia="宋体" w:cs="Times New Roman"/>
                <w:kern w:val="0"/>
                <w:sz w:val="24"/>
                <w:szCs w:val="24"/>
                <w:lang w:val="en-US"/>
              </w:rPr>
              <w:t>24 for adults</w:t>
            </w:r>
          </w:p>
          <w:p>
            <w:pPr>
              <w:widowControl/>
              <w:jc w:val="left"/>
              <w:rPr>
                <w:rFonts w:ascii="Times New Roman" w:hAnsi="Times New Roman" w:eastAsia="宋体" w:cs="Times New Roman"/>
                <w:sz w:val="24"/>
                <w:szCs w:val="24"/>
                <w:lang w:val="en-US"/>
              </w:rPr>
            </w:pP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(MEP, 2014)</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PrEx>
        <w:trPr>
          <w:trHeight w:val="285"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eastAsia" w:ascii="Times New Roman" w:hAnsi="Times New Roman" w:eastAsia="宋体" w:cs="Times New Roman"/>
                <w:b/>
                <w:bCs/>
                <w:i/>
                <w:sz w:val="24"/>
                <w:szCs w:val="24"/>
                <w:lang w:val="en-US"/>
              </w:rPr>
              <w:t>F</w:t>
            </w:r>
            <w:r>
              <w:rPr>
                <w:rFonts w:hint="default" w:ascii="Times New Roman" w:hAnsi="Times New Roman" w:eastAsia="宋体" w:cs="Times New Roman"/>
                <w:b/>
                <w:bCs/>
                <w:i/>
                <w:sz w:val="24"/>
                <w:szCs w:val="24"/>
                <w:lang w:val="en-US"/>
              </w:rPr>
              <w:t>I</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bookmarkStart w:id="39" w:name="_Hlk91514301"/>
            <w:r>
              <w:rPr>
                <w:rFonts w:ascii="Times New Roman" w:hAnsi="Times New Roman" w:eastAsia="宋体" w:cs="Times New Roman"/>
                <w:sz w:val="24"/>
                <w:szCs w:val="24"/>
                <w:lang w:val="en-US"/>
              </w:rPr>
              <w:t>factor ingested from contamination source</w:t>
            </w:r>
            <w:bookmarkEnd w:id="39"/>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Georgia" w:hAnsi="Georgia" w:eastAsia="等线" w:cs="Times New Roman"/>
                <w:color w:val="2E2E2E"/>
                <w:sz w:val="24"/>
                <w:szCs w:val="24"/>
                <w:lang w:val="en-US"/>
              </w:rPr>
              <w:t>unitless</w:t>
            </w:r>
          </w:p>
        </w:tc>
        <w:tc>
          <w:tcPr>
            <w:tcW w:w="1270" w:type="pct"/>
            <w:tcBorders>
              <w:top w:val="nil"/>
              <w:left w:val="nil"/>
              <w:bottom w:val="nil"/>
              <w:right w:val="nil"/>
            </w:tcBorders>
          </w:tcPr>
          <w:p>
            <w:pPr>
              <w:jc w:val="left"/>
              <w:rPr>
                <w:rFonts w:ascii="Times New Roman" w:hAnsi="Times New Roman" w:eastAsia="宋体" w:cs="Times New Roman"/>
                <w:sz w:val="24"/>
                <w:szCs w:val="24"/>
                <w:lang w:val="en-US"/>
              </w:rPr>
            </w:pPr>
            <w:r>
              <w:rPr>
                <w:rFonts w:ascii="Georgia" w:hAnsi="Georgia" w:eastAsia="等线" w:cs="Times New Roman"/>
                <w:color w:val="2E2E2E"/>
                <w:sz w:val="24"/>
                <w:szCs w:val="24"/>
                <w:lang w:val="en-US"/>
              </w:rPr>
              <w:t>1</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(Xiaoqing Kan, 2021)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90"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PEF</w:t>
            </w:r>
          </w:p>
        </w:tc>
        <w:tc>
          <w:tcPr>
            <w:tcW w:w="1077" w:type="pct"/>
            <w:tcBorders>
              <w:top w:val="nil"/>
              <w:left w:val="nil"/>
              <w:bottom w:val="nil"/>
              <w:right w:val="nil"/>
            </w:tcBorders>
          </w:tcPr>
          <w:p>
            <w:pPr>
              <w:widowControl/>
              <w:jc w:val="left"/>
              <w:rPr>
                <w:rFonts w:ascii="Cambria Math" w:hAnsi="Cambria Math" w:eastAsia="宋体" w:cs="Times New Roman"/>
                <w:sz w:val="24"/>
                <w:szCs w:val="24"/>
                <w:lang w:val="en-US"/>
              </w:rPr>
            </w:pPr>
            <w:r>
              <w:rPr>
                <w:rFonts w:ascii="Times New Roman" w:hAnsi="Times New Roman" w:eastAsia="宋体" w:cs="Times New Roman"/>
                <w:sz w:val="24"/>
                <w:szCs w:val="24"/>
                <w:lang w:val="en-US"/>
              </w:rPr>
              <w:t>particle emission factor</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等线" w:cs="Times New Roman"/>
                <w:sz w:val="24"/>
                <w:szCs w:val="24"/>
                <w:lang w:val="en-US"/>
              </w:rPr>
              <w:t>m</w:t>
            </w:r>
            <w:r>
              <w:rPr>
                <w:rFonts w:ascii="Times New Roman" w:hAnsi="Times New Roman" w:eastAsia="等线" w:cs="Times New Roman"/>
                <w:sz w:val="24"/>
                <w:szCs w:val="24"/>
                <w:vertAlign w:val="superscript"/>
                <w:lang w:val="en-US"/>
              </w:rPr>
              <w:t>3</w:t>
            </w:r>
            <w:r>
              <w:rPr>
                <w:rFonts w:ascii="Times New Roman" w:hAnsi="Times New Roman" w:eastAsia="等线" w:cs="Times New Roman"/>
                <w:sz w:val="24"/>
                <w:szCs w:val="24"/>
                <w:lang w:val="en-US"/>
              </w:rPr>
              <w:t>/kg</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等线" w:cs="Times New Roman"/>
                <w:sz w:val="24"/>
                <w:szCs w:val="24"/>
                <w:lang w:val="en-US"/>
              </w:rPr>
              <w:t>1.36</w:t>
            </w:r>
            <w:r>
              <w:rPr>
                <w:rFonts w:hint="eastAsia" w:ascii="Times New Roman" w:hAnsi="Times New Roman" w:eastAsia="等线" w:cs="Times New Roman"/>
                <w:sz w:val="24"/>
                <w:szCs w:val="24"/>
                <w:lang w:val="en-US"/>
              </w:rPr>
              <w:t>×1</w:t>
            </w:r>
            <w:r>
              <w:rPr>
                <w:rFonts w:ascii="Times New Roman" w:hAnsi="Times New Roman" w:eastAsia="等线" w:cs="Times New Roman"/>
                <w:sz w:val="24"/>
                <w:szCs w:val="24"/>
                <w:lang w:val="en-US"/>
              </w:rPr>
              <w:t>0</w:t>
            </w:r>
            <w:r>
              <w:rPr>
                <w:rFonts w:ascii="Times New Roman" w:hAnsi="Times New Roman" w:eastAsia="等线" w:cs="Times New Roman"/>
                <w:sz w:val="24"/>
                <w:szCs w:val="24"/>
                <w:vertAlign w:val="superscript"/>
                <w:lang w:val="en-US"/>
              </w:rPr>
              <w:t>9</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(USEPA, 2011)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128"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BW</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average body weight</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kg</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29 for children</w:t>
            </w:r>
          </w:p>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70 for adults</w:t>
            </w:r>
          </w:p>
          <w:p>
            <w:pPr>
              <w:widowControl/>
              <w:jc w:val="left"/>
              <w:rPr>
                <w:rFonts w:ascii="Times New Roman" w:hAnsi="Times New Roman" w:eastAsia="宋体" w:cs="Times New Roman"/>
                <w:sz w:val="24"/>
                <w:szCs w:val="24"/>
                <w:lang w:val="en-US"/>
              </w:rPr>
            </w:pP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SEPAC (2013)</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04"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AT</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average time of exposure to contaminated soils</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day</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365</w:t>
            </w:r>
            <w:r>
              <w:rPr>
                <w:rFonts w:hint="eastAsia" w:ascii="Times New Roman" w:hAnsi="Times New Roman" w:eastAsia="等线" w:cs="Times New Roman"/>
                <w:sz w:val="24"/>
                <w:szCs w:val="24"/>
                <w:lang w:val="en-US"/>
              </w:rPr>
              <w:t>×E</w:t>
            </w:r>
            <w:r>
              <w:rPr>
                <w:rFonts w:ascii="Times New Roman" w:hAnsi="Times New Roman" w:eastAsia="等线" w:cs="Times New Roman"/>
                <w:sz w:val="24"/>
                <w:szCs w:val="24"/>
                <w:lang w:val="en-US"/>
              </w:rPr>
              <w:t>D</w:t>
            </w:r>
            <w:r>
              <w:rPr>
                <w:rFonts w:hint="eastAsia" w:ascii="宋体" w:hAnsi="宋体" w:eastAsia="宋体" w:cs="Times New Roman"/>
                <w:sz w:val="24"/>
                <w:szCs w:val="24"/>
                <w:lang w:val="en-US"/>
              </w:rPr>
              <w:t>（</w:t>
            </w:r>
            <w:r>
              <w:rPr>
                <w:rFonts w:ascii="Times New Roman" w:hAnsi="Times New Roman" w:eastAsia="宋体" w:cs="Times New Roman"/>
                <w:sz w:val="24"/>
                <w:szCs w:val="24"/>
                <w:lang w:val="en-US"/>
              </w:rPr>
              <w:t>non-carcinogenic</w:t>
            </w:r>
            <w:r>
              <w:rPr>
                <w:rFonts w:hint="eastAsia" w:ascii="宋体" w:hAnsi="宋体" w:eastAsia="宋体" w:cs="Times New Roman"/>
                <w:sz w:val="24"/>
                <w:szCs w:val="24"/>
                <w:lang w:val="en-US"/>
              </w:rPr>
              <w:t>）</w:t>
            </w:r>
          </w:p>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365</w:t>
            </w:r>
            <w:r>
              <w:rPr>
                <w:rFonts w:hint="eastAsia" w:ascii="Times New Roman" w:hAnsi="Times New Roman" w:eastAsia="等线" w:cs="Times New Roman"/>
                <w:sz w:val="24"/>
                <w:szCs w:val="24"/>
                <w:lang w:val="en-US"/>
              </w:rPr>
              <w:t>×</w:t>
            </w:r>
            <w:r>
              <w:rPr>
                <w:rFonts w:ascii="Times New Roman" w:hAnsi="Times New Roman" w:eastAsia="等线" w:cs="Times New Roman"/>
                <w:sz w:val="24"/>
                <w:szCs w:val="24"/>
                <w:lang w:val="en-US"/>
              </w:rPr>
              <w:t>76.6</w:t>
            </w:r>
            <w:r>
              <w:rPr>
                <w:rFonts w:hint="eastAsia" w:ascii="宋体" w:hAnsi="宋体" w:eastAsia="宋体" w:cs="Times New Roman"/>
                <w:sz w:val="24"/>
                <w:szCs w:val="24"/>
                <w:lang w:val="en-US"/>
              </w:rPr>
              <w:t>（</w:t>
            </w:r>
            <w:r>
              <w:rPr>
                <w:rFonts w:ascii="Times New Roman" w:hAnsi="Times New Roman" w:eastAsia="宋体" w:cs="Times New Roman"/>
                <w:sz w:val="24"/>
                <w:szCs w:val="24"/>
                <w:lang w:val="en-US"/>
              </w:rPr>
              <w:t>carcinogenic</w:t>
            </w:r>
            <w:r>
              <w:rPr>
                <w:rFonts w:hint="eastAsia" w:ascii="宋体" w:hAnsi="宋体" w:eastAsia="宋体" w:cs="Times New Roman"/>
                <w:sz w:val="24"/>
                <w:szCs w:val="24"/>
                <w:lang w:val="en-US"/>
              </w:rPr>
              <w:t>）</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(MEP, 2013; Xiaoqing Kan, 2021)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SA</w:t>
            </w:r>
          </w:p>
        </w:tc>
        <w:tc>
          <w:tcPr>
            <w:tcW w:w="1077" w:type="pct"/>
            <w:tcBorders>
              <w:top w:val="nil"/>
              <w:left w:val="nil"/>
              <w:bottom w:val="nil"/>
              <w:right w:val="nil"/>
            </w:tcBorders>
          </w:tcPr>
          <w:p>
            <w:pPr>
              <w:widowControl/>
              <w:jc w:val="left"/>
              <w:rPr>
                <w:rFonts w:ascii="Cambria Math" w:hAnsi="Cambria Math" w:eastAsia="宋体" w:cs="Times New Roman"/>
                <w:sz w:val="24"/>
                <w:szCs w:val="24"/>
                <w:lang w:val="en-US"/>
              </w:rPr>
            </w:pPr>
            <w:r>
              <w:rPr>
                <w:rFonts w:ascii="Times New Roman" w:hAnsi="Times New Roman" w:eastAsia="宋体" w:cs="Times New Roman"/>
                <w:sz w:val="24"/>
                <w:szCs w:val="24"/>
                <w:lang w:val="en-US"/>
              </w:rPr>
              <w:t>exposed skin area</w:t>
            </w:r>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m</w:t>
            </w:r>
            <w:r>
              <w:rPr>
                <w:rFonts w:ascii="Times New Roman" w:hAnsi="Times New Roman" w:eastAsia="宋体" w:cs="Times New Roman"/>
                <w:sz w:val="24"/>
                <w:szCs w:val="24"/>
                <w:vertAlign w:val="superscript"/>
                <w:lang w:val="en-US"/>
              </w:rPr>
              <w:t>2</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2800 for children</w:t>
            </w:r>
          </w:p>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5700 for adults</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(Huang et al., 2020)</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285"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eastAsia" w:ascii="Times New Roman" w:hAnsi="Times New Roman" w:eastAsia="宋体" w:cs="Times New Roman"/>
                <w:b/>
                <w:bCs/>
                <w:i/>
                <w:sz w:val="24"/>
                <w:szCs w:val="24"/>
                <w:lang w:val="en-US"/>
              </w:rPr>
              <w:t>A</w:t>
            </w:r>
            <w:r>
              <w:rPr>
                <w:rFonts w:hint="default" w:ascii="Times New Roman" w:hAnsi="Times New Roman" w:eastAsia="宋体" w:cs="Times New Roman"/>
                <w:b/>
                <w:bCs/>
                <w:i/>
                <w:sz w:val="24"/>
                <w:szCs w:val="24"/>
                <w:lang w:val="en-US"/>
              </w:rPr>
              <w:t>F</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bookmarkStart w:id="40" w:name="_Hlk91515240"/>
            <w:r>
              <w:rPr>
                <w:rFonts w:ascii="Times New Roman" w:hAnsi="Times New Roman" w:eastAsia="宋体" w:cs="Times New Roman"/>
                <w:sz w:val="24"/>
                <w:szCs w:val="24"/>
                <w:lang w:val="en-US"/>
              </w:rPr>
              <w:t>adherence factor</w:t>
            </w:r>
            <w:bookmarkEnd w:id="40"/>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Georgia" w:hAnsi="Georgia" w:eastAsia="等线" w:cs="Times New Roman"/>
                <w:color w:val="2E2E2E"/>
                <w:sz w:val="24"/>
                <w:szCs w:val="24"/>
                <w:lang w:val="en-US"/>
              </w:rPr>
              <w:t>mg/cm</w:t>
            </w:r>
            <w:r>
              <w:rPr>
                <w:rFonts w:ascii="Georgia" w:hAnsi="Georgia" w:eastAsia="等线" w:cs="Times New Roman"/>
                <w:color w:val="2E2E2E"/>
                <w:sz w:val="24"/>
                <w:szCs w:val="24"/>
                <w:vertAlign w:val="superscript"/>
                <w:lang w:val="en-US"/>
              </w:rPr>
              <w:t>2</w:t>
            </w:r>
            <w:r>
              <w:rPr>
                <w:rFonts w:ascii="Georgia" w:hAnsi="Georgia" w:eastAsia="等线" w:cs="Times New Roman"/>
                <w:color w:val="2E2E2E"/>
                <w:sz w:val="24"/>
                <w:szCs w:val="24"/>
                <w:lang w:val="en-US"/>
              </w:rPr>
              <w:t> h</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0.2 for children</w:t>
            </w:r>
          </w:p>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0.07 for adults</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(Xiaoqing Kan, 2021)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41" w:hRule="atLeast"/>
        </w:trPr>
        <w:tc>
          <w:tcPr>
            <w:tcW w:w="703" w:type="pct"/>
            <w:tcBorders>
              <w:top w:val="nil"/>
              <w:left w:val="nil"/>
              <w:bottom w:val="nil"/>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ABF</w:t>
            </w:r>
          </w:p>
        </w:tc>
        <w:tc>
          <w:tcPr>
            <w:tcW w:w="1077" w:type="pct"/>
            <w:tcBorders>
              <w:top w:val="nil"/>
              <w:left w:val="nil"/>
              <w:bottom w:val="nil"/>
              <w:right w:val="nil"/>
            </w:tcBorders>
          </w:tcPr>
          <w:p>
            <w:pPr>
              <w:widowControl/>
              <w:jc w:val="left"/>
              <w:rPr>
                <w:rFonts w:ascii="Times New Roman" w:hAnsi="Times New Roman" w:eastAsia="宋体" w:cs="Times New Roman"/>
                <w:sz w:val="24"/>
                <w:szCs w:val="24"/>
                <w:lang w:val="en-US"/>
              </w:rPr>
            </w:pPr>
            <w:bookmarkStart w:id="41" w:name="_Hlk91515648"/>
            <w:r>
              <w:rPr>
                <w:rFonts w:ascii="Times New Roman" w:hAnsi="Times New Roman" w:eastAsia="宋体" w:cs="Times New Roman"/>
                <w:sz w:val="24"/>
                <w:szCs w:val="24"/>
                <w:lang w:val="en-US"/>
              </w:rPr>
              <w:t>dermal adsorption factor</w:t>
            </w:r>
            <w:bookmarkEnd w:id="41"/>
          </w:p>
        </w:tc>
        <w:tc>
          <w:tcPr>
            <w:tcW w:w="678"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w:t>
            </w:r>
          </w:p>
        </w:tc>
        <w:tc>
          <w:tcPr>
            <w:tcW w:w="1270"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0.001</w:t>
            </w:r>
            <w:r>
              <w:rPr>
                <w:rFonts w:hint="eastAsia" w:ascii="宋体" w:hAnsi="宋体" w:eastAsia="宋体" w:cs="Times New Roman"/>
                <w:sz w:val="24"/>
                <w:szCs w:val="24"/>
                <w:lang w:val="en-US"/>
              </w:rPr>
              <w:t>（</w:t>
            </w:r>
            <w:r>
              <w:rPr>
                <w:rFonts w:ascii="Times New Roman" w:hAnsi="Times New Roman" w:eastAsia="宋体" w:cs="Times New Roman"/>
                <w:sz w:val="24"/>
                <w:szCs w:val="24"/>
                <w:lang w:val="en-US"/>
              </w:rPr>
              <w:t>non-carcinogenic</w:t>
            </w:r>
            <w:r>
              <w:rPr>
                <w:rFonts w:hint="eastAsia" w:ascii="宋体" w:hAnsi="宋体" w:eastAsia="宋体" w:cs="Times New Roman"/>
                <w:sz w:val="24"/>
                <w:szCs w:val="24"/>
                <w:lang w:val="en-US"/>
              </w:rPr>
              <w:t>）</w:t>
            </w:r>
          </w:p>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0.01</w:t>
            </w:r>
            <w:r>
              <w:rPr>
                <w:rFonts w:hint="eastAsia" w:ascii="宋体" w:hAnsi="宋体" w:eastAsia="宋体" w:cs="Times New Roman"/>
                <w:sz w:val="24"/>
                <w:szCs w:val="24"/>
                <w:lang w:val="en-US"/>
              </w:rPr>
              <w:t>（</w:t>
            </w:r>
            <w:r>
              <w:rPr>
                <w:rFonts w:ascii="Times New Roman" w:hAnsi="Times New Roman" w:eastAsia="宋体" w:cs="Times New Roman"/>
                <w:sz w:val="24"/>
                <w:szCs w:val="24"/>
                <w:lang w:val="en-US"/>
              </w:rPr>
              <w:t>carcinogenic</w:t>
            </w:r>
            <w:r>
              <w:rPr>
                <w:rFonts w:hint="eastAsia" w:ascii="宋体" w:hAnsi="宋体" w:eastAsia="宋体" w:cs="Times New Roman"/>
                <w:sz w:val="24"/>
                <w:szCs w:val="24"/>
                <w:lang w:val="en-US"/>
              </w:rPr>
              <w:t>）</w:t>
            </w:r>
          </w:p>
        </w:tc>
        <w:tc>
          <w:tcPr>
            <w:tcW w:w="1272" w:type="pct"/>
            <w:tcBorders>
              <w:top w:val="nil"/>
              <w:left w:val="nil"/>
              <w:bottom w:val="nil"/>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(USEPA, 2011)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41" w:hRule="atLeast"/>
        </w:trPr>
        <w:tc>
          <w:tcPr>
            <w:tcW w:w="703" w:type="pct"/>
            <w:tcBorders>
              <w:top w:val="nil"/>
              <w:left w:val="nil"/>
              <w:bottom w:val="single" w:color="auto" w:sz="4" w:space="0"/>
              <w:right w:val="nil"/>
            </w:tcBorders>
          </w:tcPr>
          <w:p>
            <w:pPr>
              <w:widowControl/>
              <w:jc w:val="left"/>
              <w:rPr>
                <w:rFonts w:hint="default" w:ascii="Times New Roman" w:hAnsi="Times New Roman" w:eastAsia="宋体" w:cs="Times New Roman"/>
                <w:b w:val="0"/>
                <w:bCs w:val="0"/>
                <w:i/>
                <w:sz w:val="24"/>
                <w:szCs w:val="24"/>
                <w:lang w:val="en-US"/>
              </w:rPr>
            </w:pPr>
            <w:r>
              <w:rPr>
                <w:rFonts w:hint="default" w:ascii="Times New Roman" w:hAnsi="Times New Roman" w:eastAsia="宋体" w:cs="Times New Roman"/>
                <w:b/>
                <w:bCs/>
                <w:i/>
                <w:sz w:val="24"/>
                <w:szCs w:val="24"/>
                <w:lang w:val="en-US"/>
              </w:rPr>
              <w:t>ET</w:t>
            </w:r>
          </w:p>
        </w:tc>
        <w:tc>
          <w:tcPr>
            <w:tcW w:w="1077" w:type="pct"/>
            <w:tcBorders>
              <w:top w:val="nil"/>
              <w:left w:val="nil"/>
              <w:bottom w:val="single" w:color="auto" w:sz="4" w:space="0"/>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exposure time</w:t>
            </w:r>
          </w:p>
        </w:tc>
        <w:tc>
          <w:tcPr>
            <w:tcW w:w="678" w:type="pct"/>
            <w:tcBorders>
              <w:top w:val="nil"/>
              <w:left w:val="nil"/>
              <w:bottom w:val="single" w:color="auto" w:sz="4" w:space="0"/>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h/day</w:t>
            </w:r>
          </w:p>
        </w:tc>
        <w:tc>
          <w:tcPr>
            <w:tcW w:w="1270" w:type="pct"/>
            <w:tcBorders>
              <w:top w:val="nil"/>
              <w:left w:val="nil"/>
              <w:bottom w:val="single" w:color="auto" w:sz="4" w:space="0"/>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8</w:t>
            </w:r>
          </w:p>
        </w:tc>
        <w:tc>
          <w:tcPr>
            <w:tcW w:w="1272" w:type="pct"/>
            <w:tcBorders>
              <w:top w:val="nil"/>
              <w:left w:val="nil"/>
              <w:bottom w:val="single" w:color="auto" w:sz="4" w:space="0"/>
              <w:right w:val="nil"/>
            </w:tcBorders>
          </w:tcPr>
          <w:p>
            <w:pPr>
              <w:widowControl/>
              <w:jc w:val="left"/>
              <w:rPr>
                <w:rFonts w:ascii="Times New Roman" w:hAnsi="Times New Roman" w:eastAsia="宋体" w:cs="Times New Roman"/>
                <w:sz w:val="24"/>
                <w:szCs w:val="24"/>
                <w:lang w:val="en-US"/>
              </w:rPr>
            </w:pPr>
            <w:r>
              <w:rPr>
                <w:rFonts w:ascii="Times New Roman" w:hAnsi="Times New Roman" w:eastAsia="宋体" w:cs="Times New Roman"/>
                <w:color w:val="0000FF"/>
                <w:sz w:val="24"/>
                <w:szCs w:val="24"/>
              </w:rPr>
              <w:t>(Xiaoqing Kan, 2021)</w:t>
            </w:r>
          </w:p>
        </w:tc>
      </w:tr>
    </w:tbl>
    <w:p>
      <w:pPr>
        <w:rPr>
          <w:sz w:val="24"/>
          <w:szCs w:val="24"/>
          <w:lang w:val="en-US"/>
        </w:rPr>
      </w:pPr>
    </w:p>
    <w:p>
      <w:pPr>
        <w:jc w:val="center"/>
        <w:rPr>
          <w:rFonts w:ascii="Times New Roman" w:hAnsi="Times New Roman" w:eastAsia="等线" w:cs="Times New Roman"/>
          <w:b/>
          <w:bCs/>
          <w:sz w:val="18"/>
          <w:szCs w:val="18"/>
          <w:lang w:val="en-US"/>
        </w:rPr>
      </w:pPr>
      <w:r>
        <w:rPr>
          <w:rFonts w:ascii="Times New Roman" w:hAnsi="Times New Roman" w:eastAsia="等线" w:cs="Times New Roman"/>
          <w:b/>
          <w:bCs/>
          <w:sz w:val="18"/>
          <w:szCs w:val="18"/>
          <w:lang w:val="en-US"/>
        </w:rPr>
        <w:t>Table S</w:t>
      </w:r>
      <w:r>
        <w:rPr>
          <w:rFonts w:hint="eastAsia" w:ascii="Times New Roman" w:hAnsi="Times New Roman" w:eastAsia="等线" w:cs="Times New Roman"/>
          <w:b/>
          <w:bCs/>
          <w:sz w:val="18"/>
          <w:szCs w:val="18"/>
          <w:lang w:val="en-US"/>
        </w:rPr>
        <w:t>4</w:t>
      </w:r>
      <w:r>
        <w:rPr>
          <w:rFonts w:ascii="Times New Roman" w:hAnsi="Times New Roman" w:eastAsia="等线" w:cs="Times New Roman"/>
          <w:b/>
          <w:bCs/>
          <w:sz w:val="18"/>
          <w:szCs w:val="18"/>
          <w:lang w:val="en-US"/>
        </w:rPr>
        <w:t xml:space="preserve"> Reference dose (RfD) and slope factor (SF) of metal(loid)s in health risk assessment</w:t>
      </w:r>
    </w:p>
    <w:tbl>
      <w:tblPr>
        <w:tblStyle w:val="49"/>
        <w:tblW w:w="9468" w:type="dxa"/>
        <w:jc w:val="center"/>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Layout w:type="fixed"/>
        <w:tblCellMar>
          <w:top w:w="0" w:type="dxa"/>
          <w:left w:w="108" w:type="dxa"/>
          <w:bottom w:w="0" w:type="dxa"/>
          <w:right w:w="108" w:type="dxa"/>
        </w:tblCellMar>
      </w:tblPr>
      <w:tblGrid>
        <w:gridCol w:w="1110"/>
        <w:gridCol w:w="1050"/>
        <w:gridCol w:w="1156"/>
        <w:gridCol w:w="1373"/>
        <w:gridCol w:w="754"/>
        <w:gridCol w:w="992"/>
        <w:gridCol w:w="1417"/>
        <w:gridCol w:w="1616"/>
      </w:tblGrid>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Element</w:t>
            </w:r>
          </w:p>
        </w:tc>
        <w:tc>
          <w:tcPr>
            <w:tcW w:w="1050"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Ing RfD</w:t>
            </w:r>
          </w:p>
        </w:tc>
        <w:tc>
          <w:tcPr>
            <w:tcW w:w="1156"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Dermal RfD</w:t>
            </w:r>
          </w:p>
        </w:tc>
        <w:tc>
          <w:tcPr>
            <w:tcW w:w="1373"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Inhalation</w:t>
            </w:r>
          </w:p>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RfD</w:t>
            </w:r>
          </w:p>
        </w:tc>
        <w:tc>
          <w:tcPr>
            <w:tcW w:w="754"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Ing SF</w:t>
            </w:r>
          </w:p>
        </w:tc>
        <w:tc>
          <w:tcPr>
            <w:tcW w:w="992"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Dermal SF</w:t>
            </w:r>
          </w:p>
        </w:tc>
        <w:tc>
          <w:tcPr>
            <w:tcW w:w="1417"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Inhalation</w:t>
            </w:r>
          </w:p>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SF</w:t>
            </w:r>
          </w:p>
        </w:tc>
        <w:tc>
          <w:tcPr>
            <w:tcW w:w="1616" w:type="dxa"/>
            <w:tcBorders>
              <w:top w:val="single" w:color="auto" w:sz="4" w:space="0"/>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Reference</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single" w:color="auto" w:sz="4" w:space="0"/>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As</w:t>
            </w:r>
          </w:p>
        </w:tc>
        <w:tc>
          <w:tcPr>
            <w:tcW w:w="1050"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0.0003</w:t>
            </w:r>
          </w:p>
        </w:tc>
        <w:tc>
          <w:tcPr>
            <w:tcW w:w="1156"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0.000123</w:t>
            </w:r>
          </w:p>
        </w:tc>
        <w:tc>
          <w:tcPr>
            <w:tcW w:w="1373"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0.0003</w:t>
            </w:r>
          </w:p>
        </w:tc>
        <w:tc>
          <w:tcPr>
            <w:tcW w:w="754"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w:t>
            </w:r>
          </w:p>
        </w:tc>
        <w:tc>
          <w:tcPr>
            <w:tcW w:w="992"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3.66</w:t>
            </w:r>
          </w:p>
        </w:tc>
        <w:tc>
          <w:tcPr>
            <w:tcW w:w="1417" w:type="dxa"/>
            <w:tcBorders>
              <w:top w:val="single" w:color="auto" w:sz="4" w:space="0"/>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15.1</w:t>
            </w:r>
          </w:p>
        </w:tc>
        <w:tc>
          <w:tcPr>
            <w:tcW w:w="1616" w:type="dxa"/>
            <w:tcBorders>
              <w:top w:val="single" w:color="auto" w:sz="4" w:space="0"/>
              <w:left w:val="nil"/>
              <w:bottom w:val="nil"/>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trHeight w:val="311" w:hRule="atLeast"/>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Cd</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0.001</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0.00001</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0.00001</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6.1</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6.1</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6.3</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USEPA</w:t>
            </w:r>
            <w:r>
              <w:rPr>
                <w:rFonts w:hint="eastAsia" w:ascii="Times New Roman" w:hAnsi="Times New Roman" w:eastAsia="宋体" w:cs="Times New Roman"/>
                <w:color w:val="0000FF"/>
                <w:sz w:val="24"/>
                <w:szCs w:val="24"/>
              </w:rPr>
              <w:t>(</w:t>
            </w:r>
            <w:r>
              <w:rPr>
                <w:rFonts w:ascii="Times New Roman" w:hAnsi="Times New Roman" w:eastAsia="宋体" w:cs="Times New Roman"/>
                <w:color w:val="0000FF"/>
                <w:sz w:val="24"/>
                <w:szCs w:val="24"/>
              </w:rPr>
              <w:t>2011)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Cr</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0.003</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0.00006</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0.0000286</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0.5</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20</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42</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Huang (2020)</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Cu</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0.04</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0.012</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0.0402</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1.7</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42.5</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Hg</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0.0003</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0.000021</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0.0000857</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Ni</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0.02</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0.0054</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0.00009</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1.7</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42.5</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0.84</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nil"/>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Pb</w:t>
            </w:r>
          </w:p>
        </w:tc>
        <w:tc>
          <w:tcPr>
            <w:tcW w:w="1050"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0.0035</w:t>
            </w:r>
          </w:p>
        </w:tc>
        <w:tc>
          <w:tcPr>
            <w:tcW w:w="1156"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0.000525</w:t>
            </w:r>
          </w:p>
        </w:tc>
        <w:tc>
          <w:tcPr>
            <w:tcW w:w="1373"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0.00352</w:t>
            </w:r>
          </w:p>
        </w:tc>
        <w:tc>
          <w:tcPr>
            <w:tcW w:w="754" w:type="dxa"/>
            <w:tcBorders>
              <w:top w:val="nil"/>
              <w:left w:val="nil"/>
              <w:bottom w:val="nil"/>
              <w:right w:val="nil"/>
            </w:tcBorders>
          </w:tcPr>
          <w:p>
            <w:pPr>
              <w:jc w:val="left"/>
              <w:rPr>
                <w:rFonts w:ascii="Times New Roman" w:hAnsi="Times New Roman" w:eastAsia="等线" w:cs="Times New Roman"/>
                <w:sz w:val="24"/>
                <w:szCs w:val="24"/>
                <w:lang w:val="en-US"/>
              </w:rPr>
            </w:pPr>
            <w:r>
              <w:rPr>
                <w:rFonts w:hint="eastAsia" w:ascii="等线" w:hAnsi="等线" w:eastAsia="等线" w:cs="Times New Roman"/>
                <w:sz w:val="24"/>
                <w:szCs w:val="24"/>
                <w:lang w:val="en-US"/>
              </w:rPr>
              <w:t>—</w:t>
            </w:r>
          </w:p>
        </w:tc>
        <w:tc>
          <w:tcPr>
            <w:tcW w:w="992"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417" w:type="dxa"/>
            <w:tcBorders>
              <w:top w:val="nil"/>
              <w:left w:val="nil"/>
              <w:bottom w:val="nil"/>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616" w:type="dxa"/>
            <w:tcBorders>
              <w:top w:val="nil"/>
              <w:left w:val="nil"/>
              <w:bottom w:val="nil"/>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r>
        <w:tblPrEx>
          <w:tblBorders>
            <w:top w:val="single" w:color="auto" w:sz="4" w:space="0"/>
            <w:left w:val="none" w:color="auto" w:sz="0" w:space="0"/>
            <w:bottom w:val="single" w:color="auto" w:sz="4" w:space="0"/>
            <w:right w:val="none" w:color="auto" w:sz="0" w:space="0"/>
            <w:insideH w:val="single" w:color="999999" w:sz="4" w:space="0"/>
            <w:insideV w:val="single" w:color="999999" w:sz="4" w:space="0"/>
          </w:tblBorders>
          <w:tblCellMar>
            <w:top w:w="0" w:type="dxa"/>
            <w:left w:w="108" w:type="dxa"/>
            <w:bottom w:w="0" w:type="dxa"/>
            <w:right w:w="108" w:type="dxa"/>
          </w:tblCellMar>
        </w:tblPrEx>
        <w:trPr>
          <w:jc w:val="center"/>
        </w:trPr>
        <w:tc>
          <w:tcPr>
            <w:tcW w:w="1110" w:type="dxa"/>
            <w:tcBorders>
              <w:top w:val="nil"/>
              <w:left w:val="nil"/>
              <w:bottom w:val="single" w:color="auto" w:sz="4" w:space="0"/>
              <w:right w:val="nil"/>
            </w:tcBorders>
          </w:tcPr>
          <w:p>
            <w:pPr>
              <w:jc w:val="left"/>
              <w:rPr>
                <w:rFonts w:hint="default" w:ascii="Times New Roman" w:hAnsi="Times New Roman" w:eastAsia="等线" w:cs="Times New Roman"/>
                <w:b w:val="0"/>
                <w:bCs w:val="0"/>
                <w:sz w:val="24"/>
                <w:szCs w:val="24"/>
                <w:lang w:val="en-US"/>
              </w:rPr>
            </w:pPr>
            <w:r>
              <w:rPr>
                <w:rFonts w:hint="default" w:ascii="Times New Roman" w:hAnsi="Times New Roman" w:eastAsia="等线" w:cs="Times New Roman"/>
                <w:b/>
                <w:bCs/>
                <w:sz w:val="24"/>
                <w:szCs w:val="24"/>
                <w:lang w:val="en-US"/>
              </w:rPr>
              <w:t>Zn</w:t>
            </w:r>
          </w:p>
        </w:tc>
        <w:tc>
          <w:tcPr>
            <w:tcW w:w="1050"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0.3</w:t>
            </w:r>
          </w:p>
        </w:tc>
        <w:tc>
          <w:tcPr>
            <w:tcW w:w="1156"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0.06</w:t>
            </w:r>
          </w:p>
        </w:tc>
        <w:tc>
          <w:tcPr>
            <w:tcW w:w="1373"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0.3</w:t>
            </w:r>
          </w:p>
        </w:tc>
        <w:tc>
          <w:tcPr>
            <w:tcW w:w="754"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992"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417" w:type="dxa"/>
            <w:tcBorders>
              <w:top w:val="nil"/>
              <w:left w:val="nil"/>
              <w:bottom w:val="single" w:color="auto" w:sz="4" w:space="0"/>
              <w:right w:val="nil"/>
            </w:tcBorders>
          </w:tcPr>
          <w:p>
            <w:pPr>
              <w:jc w:val="left"/>
              <w:rPr>
                <w:rFonts w:ascii="Times New Roman" w:hAnsi="Times New Roman" w:eastAsia="等线" w:cs="Times New Roman"/>
                <w:sz w:val="24"/>
                <w:szCs w:val="24"/>
                <w:lang w:val="en-US"/>
              </w:rPr>
            </w:pPr>
            <w:r>
              <w:rPr>
                <w:rFonts w:ascii="Times New Roman" w:hAnsi="Times New Roman" w:eastAsia="等线" w:cs="Times New Roman"/>
                <w:sz w:val="24"/>
                <w:szCs w:val="24"/>
                <w:lang w:val="en-US"/>
              </w:rPr>
              <w:t>—</w:t>
            </w:r>
          </w:p>
        </w:tc>
        <w:tc>
          <w:tcPr>
            <w:tcW w:w="1616" w:type="dxa"/>
            <w:tcBorders>
              <w:top w:val="nil"/>
              <w:left w:val="nil"/>
              <w:bottom w:val="single" w:color="auto" w:sz="4" w:space="0"/>
              <w:right w:val="nil"/>
            </w:tcBorders>
          </w:tcPr>
          <w:p>
            <w:pPr>
              <w:jc w:val="left"/>
              <w:rPr>
                <w:rFonts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U</w:t>
            </w:r>
            <w:r>
              <w:rPr>
                <w:rFonts w:ascii="Times New Roman" w:hAnsi="Times New Roman" w:eastAsia="宋体" w:cs="Times New Roman"/>
                <w:color w:val="0000FF"/>
                <w:sz w:val="24"/>
                <w:szCs w:val="24"/>
              </w:rPr>
              <w:t>SEPA(2001)</w:t>
            </w:r>
          </w:p>
        </w:tc>
      </w:tr>
    </w:tbl>
    <w:p>
      <w:pPr>
        <w:pStyle w:val="5"/>
        <w:rPr>
          <w:rFonts w:ascii="Times New Roman" w:hAnsi="Times New Roman" w:eastAsia="黑体" w:cs="Times New Roman"/>
          <w:sz w:val="24"/>
          <w:szCs w:val="24"/>
          <w:lang w:val="en-US"/>
        </w:rPr>
      </w:pPr>
      <w:r>
        <w:rPr>
          <w:rFonts w:hint="eastAsia" w:ascii="Times New Roman" w:hAnsi="Times New Roman" w:eastAsia="黑体" w:cs="Times New Roman"/>
          <w:sz w:val="24"/>
          <w:szCs w:val="24"/>
          <w:lang w:val="en-US"/>
        </w:rPr>
        <w:t>2</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Supplementary</w:t>
      </w:r>
      <w:r>
        <w:rPr>
          <w:rFonts w:hint="eastAsia" w:ascii="Times New Roman" w:hAnsi="Times New Roman" w:eastAsia="黑体" w:cs="Times New Roman"/>
          <w:sz w:val="24"/>
          <w:szCs w:val="24"/>
          <w:lang w:val="en-US"/>
        </w:rPr>
        <w:t xml:space="preserve"> figure and table  </w:t>
      </w:r>
    </w:p>
    <w:p>
      <w:pPr>
        <w:autoSpaceDE w:val="0"/>
        <w:spacing w:line="360" w:lineRule="auto"/>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 xml:space="preserve">Table S1.  </w:t>
      </w:r>
      <w:r>
        <w:rPr>
          <w:rFonts w:hint="eastAsia" w:ascii="Times New Roman" w:hAnsi="Times New Roman" w:eastAsia="等线" w:cs="Times New Roman"/>
          <w:color w:val="000000"/>
          <w:sz w:val="24"/>
          <w:szCs w:val="24"/>
          <w:lang w:val="en-US"/>
        </w:rPr>
        <w:t>Environmental survey data in 1998 and 2011</w:t>
      </w:r>
    </w:p>
    <w:p>
      <w:pPr>
        <w:autoSpaceDE w:val="0"/>
        <w:spacing w:line="360" w:lineRule="auto"/>
        <w:rPr>
          <w:rFonts w:ascii="Times New Roman" w:hAnsi="Times New Roman" w:eastAsia="等线" w:cs="Times New Roman"/>
          <w:sz w:val="24"/>
          <w:szCs w:val="24"/>
          <w:lang w:val="en-US"/>
        </w:rPr>
      </w:pPr>
      <w:r>
        <w:rPr>
          <w:rFonts w:hint="eastAsia" w:ascii="Times New Roman" w:hAnsi="Times New Roman" w:eastAsia="等线" w:cs="Times New Roman"/>
          <w:b/>
          <w:bCs/>
          <w:color w:val="000000"/>
          <w:sz w:val="24"/>
          <w:szCs w:val="24"/>
          <w:lang w:val="en-US"/>
        </w:rPr>
        <w:t>SF</w:t>
      </w:r>
      <w:r>
        <w:rPr>
          <w:rFonts w:ascii="Times New Roman" w:hAnsi="Times New Roman" w:eastAsia="等线" w:cs="Times New Roman"/>
          <w:b/>
          <w:bCs/>
          <w:color w:val="000000"/>
          <w:sz w:val="24"/>
          <w:szCs w:val="24"/>
          <w:lang w:val="en-US"/>
        </w:rPr>
        <w:t>.</w:t>
      </w:r>
      <w:r>
        <w:rPr>
          <w:rFonts w:hint="eastAsia" w:ascii="Times New Roman" w:hAnsi="Times New Roman" w:eastAsia="等线" w:cs="Times New Roman"/>
          <w:b/>
          <w:bCs/>
          <w:color w:val="000000"/>
          <w:sz w:val="24"/>
          <w:szCs w:val="24"/>
          <w:lang w:val="en-US"/>
        </w:rPr>
        <w:t>1</w:t>
      </w:r>
      <w:r>
        <w:rPr>
          <w:rFonts w:ascii="Times New Roman" w:hAnsi="Times New Roman" w:eastAsia="等线" w:cs="Times New Roman"/>
          <w:sz w:val="24"/>
          <w:szCs w:val="24"/>
          <w:lang w:val="en-US"/>
        </w:rPr>
        <w:t xml:space="preserve"> Evaluation index and evaluation system.</w:t>
      </w:r>
    </w:p>
    <w:p>
      <w:pPr>
        <w:autoSpaceDE w:val="0"/>
        <w:spacing w:line="360" w:lineRule="auto"/>
        <w:rPr>
          <w:rFonts w:ascii="Times New Roman" w:hAnsi="Times New Roman" w:eastAsia="等线" w:cs="Times New Roman"/>
          <w:sz w:val="24"/>
          <w:szCs w:val="24"/>
          <w:lang w:val="en-US"/>
        </w:rPr>
      </w:pPr>
      <w:r>
        <w:rPr>
          <w:rFonts w:ascii="Times New Roman" w:hAnsi="Times New Roman" w:eastAsia="等线" w:cs="Times New Roman"/>
          <w:b/>
          <w:bCs/>
          <w:sz w:val="24"/>
          <w:szCs w:val="24"/>
          <w:lang w:val="en-US"/>
        </w:rPr>
        <w:t>SF.2</w:t>
      </w:r>
      <w:r>
        <w:rPr>
          <w:rFonts w:ascii="Times New Roman" w:hAnsi="Times New Roman" w:eastAsia="等线" w:cs="Times New Roman"/>
          <w:sz w:val="24"/>
          <w:szCs w:val="24"/>
          <w:lang w:val="en-US"/>
        </w:rPr>
        <w:t xml:space="preserve"> Boxplots of the surface soil metal(loid) concentrations (mg kg</w:t>
      </w:r>
      <w:r>
        <w:rPr>
          <w:rFonts w:ascii="Times New Roman" w:hAnsi="Times New Roman" w:eastAsia="等线" w:cs="Times New Roman"/>
          <w:sz w:val="24"/>
          <w:szCs w:val="24"/>
          <w:vertAlign w:val="superscript"/>
          <w:lang w:val="en-US"/>
        </w:rPr>
        <w:t>-1</w:t>
      </w:r>
      <w:r>
        <w:rPr>
          <w:rFonts w:ascii="Times New Roman" w:hAnsi="Times New Roman" w:eastAsia="等线" w:cs="Times New Roman"/>
          <w:sz w:val="24"/>
          <w:szCs w:val="24"/>
          <w:lang w:val="en-US"/>
        </w:rPr>
        <w:t>) in different regions.</w:t>
      </w:r>
    </w:p>
    <w:p>
      <w:pPr>
        <w:autoSpaceDE w:val="0"/>
        <w:spacing w:line="360" w:lineRule="auto"/>
        <w:rPr>
          <w:rFonts w:ascii="Times New Roman" w:hAnsi="Times New Roman" w:eastAsia="等线" w:cs="Times New Roman"/>
          <w:sz w:val="24"/>
          <w:szCs w:val="24"/>
          <w:lang w:val="en-US"/>
        </w:rPr>
      </w:pPr>
      <w:bookmarkStart w:id="42" w:name="_Hlk113455334"/>
      <w:r>
        <w:rPr>
          <w:rFonts w:ascii="Times New Roman" w:hAnsi="Times New Roman" w:eastAsia="等线" w:cs="Times New Roman"/>
          <w:b/>
          <w:bCs/>
          <w:sz w:val="24"/>
          <w:szCs w:val="24"/>
          <w:lang w:val="en-US"/>
        </w:rPr>
        <w:t>SF.</w:t>
      </w:r>
      <w:r>
        <w:rPr>
          <w:rFonts w:hint="eastAsia" w:ascii="Times New Roman" w:hAnsi="Times New Roman" w:eastAsia="等线" w:cs="Times New Roman"/>
          <w:b/>
          <w:bCs/>
          <w:sz w:val="24"/>
          <w:szCs w:val="24"/>
          <w:lang w:val="en-US"/>
        </w:rPr>
        <w:t xml:space="preserve">3 </w:t>
      </w:r>
      <w:r>
        <w:rPr>
          <w:rFonts w:hint="eastAsia" w:ascii="Times New Roman" w:hAnsi="Times New Roman" w:eastAsia="等线" w:cs="Times New Roman"/>
          <w:sz w:val="24"/>
          <w:szCs w:val="24"/>
          <w:lang w:val="en-US"/>
        </w:rPr>
        <w:t>Distribution of different  Contamination Factor  grades (%).</w:t>
      </w:r>
    </w:p>
    <w:p>
      <w:pPr>
        <w:spacing w:line="360" w:lineRule="auto"/>
        <w:rPr>
          <w:rFonts w:ascii="Times New Roman" w:hAnsi="Times New Roman" w:eastAsia="等线" w:cs="Times New Roman"/>
          <w:sz w:val="24"/>
          <w:szCs w:val="24"/>
          <w:lang w:val="en-US"/>
        </w:rPr>
      </w:pPr>
      <w:r>
        <w:rPr>
          <w:rFonts w:ascii="Times New Roman" w:hAnsi="Times New Roman" w:eastAsia="等线" w:cs="Times New Roman"/>
          <w:b/>
          <w:bCs/>
          <w:sz w:val="24"/>
          <w:szCs w:val="24"/>
          <w:lang w:val="en-US"/>
        </w:rPr>
        <w:t>SF.</w:t>
      </w:r>
      <w:r>
        <w:rPr>
          <w:rFonts w:hint="eastAsia" w:ascii="Times New Roman" w:hAnsi="Times New Roman" w:eastAsia="等线" w:cs="Times New Roman"/>
          <w:b/>
          <w:bCs/>
          <w:sz w:val="24"/>
          <w:szCs w:val="24"/>
          <w:lang w:val="en-US"/>
        </w:rPr>
        <w:t xml:space="preserve">4 </w:t>
      </w:r>
      <w:r>
        <w:rPr>
          <w:rFonts w:hint="eastAsia" w:ascii="Times New Roman" w:hAnsi="Times New Roman" w:eastAsia="等线" w:cs="Times New Roman"/>
          <w:sz w:val="24"/>
          <w:szCs w:val="24"/>
          <w:lang w:val="en-US"/>
        </w:rPr>
        <w:t>Distribution of different ecological risk index and potential ecological risk index grades (%).</w:t>
      </w:r>
    </w:p>
    <w:p>
      <w:pPr>
        <w:autoSpaceDE w:val="0"/>
        <w:spacing w:line="360" w:lineRule="auto"/>
        <w:rPr>
          <w:rFonts w:ascii="Times New Roman" w:hAnsi="Times New Roman" w:eastAsia="等线" w:cs="Times New Roman"/>
          <w:sz w:val="24"/>
          <w:szCs w:val="24"/>
          <w:lang w:val="en-US"/>
        </w:rPr>
      </w:pPr>
      <w:r>
        <w:rPr>
          <w:rFonts w:ascii="Times New Roman" w:hAnsi="Times New Roman" w:eastAsia="等线" w:cs="Times New Roman"/>
          <w:b/>
          <w:bCs/>
          <w:sz w:val="24"/>
          <w:szCs w:val="24"/>
          <w:lang w:val="en-US"/>
        </w:rPr>
        <w:t>SF.</w:t>
      </w:r>
      <w:r>
        <w:rPr>
          <w:rFonts w:hint="eastAsia" w:ascii="Times New Roman" w:hAnsi="Times New Roman" w:eastAsia="等线" w:cs="Times New Roman"/>
          <w:b/>
          <w:bCs/>
          <w:sz w:val="24"/>
          <w:szCs w:val="24"/>
          <w:lang w:val="en-US"/>
        </w:rPr>
        <w:t xml:space="preserve">5 </w:t>
      </w:r>
      <w:r>
        <w:rPr>
          <w:rFonts w:ascii="Times New Roman" w:hAnsi="Times New Roman" w:eastAsia="等线" w:cs="Times New Roman"/>
          <w:sz w:val="24"/>
          <w:szCs w:val="24"/>
          <w:lang w:val="en-US"/>
        </w:rPr>
        <w:t>The mean values of the non-carcinogenic hazard index (HI: Tal) and Hazard quotient (HQ) in different regions.</w:t>
      </w:r>
    </w:p>
    <w:bookmarkEnd w:id="42"/>
    <w:p>
      <w:pPr>
        <w:autoSpaceDE w:val="0"/>
        <w:spacing w:line="360" w:lineRule="auto"/>
        <w:rPr>
          <w:rFonts w:ascii="Times New Roman" w:hAnsi="Times New Roman" w:eastAsia="等线" w:cs="Times New Roman"/>
          <w:sz w:val="24"/>
          <w:szCs w:val="24"/>
          <w:lang w:val="en-US"/>
        </w:rPr>
      </w:pPr>
      <w:bookmarkStart w:id="43" w:name="_Hlk113455501"/>
      <w:r>
        <w:rPr>
          <w:rFonts w:ascii="Times New Roman" w:hAnsi="Times New Roman" w:eastAsia="等线" w:cs="Times New Roman"/>
          <w:b/>
          <w:bCs/>
          <w:sz w:val="24"/>
          <w:szCs w:val="24"/>
          <w:lang w:val="en-US"/>
        </w:rPr>
        <w:t>SF.</w:t>
      </w:r>
      <w:r>
        <w:rPr>
          <w:rFonts w:hint="eastAsia" w:ascii="Times New Roman" w:hAnsi="Times New Roman" w:eastAsia="等线" w:cs="Times New Roman"/>
          <w:b/>
          <w:bCs/>
          <w:sz w:val="24"/>
          <w:szCs w:val="24"/>
          <w:lang w:val="en-US"/>
        </w:rPr>
        <w:t>6</w:t>
      </w:r>
      <w:r>
        <w:rPr>
          <w:rFonts w:ascii="Times New Roman" w:hAnsi="Times New Roman" w:eastAsia="等线" w:cs="Times New Roman"/>
          <w:b/>
          <w:bCs/>
          <w:sz w:val="24"/>
          <w:szCs w:val="24"/>
          <w:lang w:val="en-US"/>
        </w:rPr>
        <w:t xml:space="preserve"> </w:t>
      </w:r>
      <w:r>
        <w:rPr>
          <w:rFonts w:ascii="Times New Roman" w:hAnsi="Times New Roman" w:eastAsia="等线" w:cs="Times New Roman"/>
          <w:sz w:val="24"/>
          <w:szCs w:val="24"/>
          <w:lang w:val="en-US"/>
        </w:rPr>
        <w:t>The mean of Carcinogenic Risk (CR) in different regions</w:t>
      </w:r>
      <w:bookmarkEnd w:id="43"/>
      <w:r>
        <w:rPr>
          <w:rFonts w:ascii="Times New Roman" w:hAnsi="Times New Roman" w:eastAsia="等线" w:cs="Times New Roman"/>
          <w:sz w:val="24"/>
          <w:szCs w:val="24"/>
          <w:lang w:val="en-US"/>
        </w:rPr>
        <w:t>.</w:t>
      </w:r>
    </w:p>
    <w:p>
      <w:pPr>
        <w:rPr>
          <w:sz w:val="24"/>
          <w:szCs w:val="24"/>
          <w:lang w:val="en-US"/>
        </w:rPr>
      </w:pPr>
    </w:p>
    <w:p>
      <w:pPr>
        <w:jc w:val="center"/>
        <w:rPr>
          <w:rFonts w:ascii="Times New Roman" w:hAnsi="Times New Roman" w:eastAsia="宋体" w:cs="Times New Roman"/>
          <w:b/>
          <w:bCs/>
          <w:color w:val="1A1A1A" w:themeColor="background1" w:themeShade="1A"/>
          <w:sz w:val="18"/>
          <w:szCs w:val="18"/>
        </w:rPr>
      </w:pPr>
      <w:r>
        <w:rPr>
          <w:rFonts w:ascii="Times New Roman" w:hAnsi="Times New Roman" w:eastAsia="宋体" w:cs="Times New Roman"/>
          <w:b/>
          <w:bCs/>
          <w:color w:val="1A1A1A" w:themeColor="background1" w:themeShade="1A"/>
          <w:sz w:val="18"/>
          <w:szCs w:val="18"/>
        </w:rPr>
        <w:t>Table</w:t>
      </w:r>
      <w:r>
        <w:rPr>
          <w:rFonts w:ascii="Times New Roman" w:hAnsi="Times New Roman" w:eastAsia="宋体" w:cs="Times New Roman"/>
          <w:b/>
          <w:bCs/>
          <w:color w:val="1A1A1A" w:themeColor="background1" w:themeShade="1A"/>
          <w:sz w:val="18"/>
          <w:szCs w:val="18"/>
          <w:lang w:val="en-US"/>
        </w:rPr>
        <w:t xml:space="preserve"> </w:t>
      </w:r>
      <w:r>
        <w:rPr>
          <w:rFonts w:hint="eastAsia" w:ascii="Times New Roman" w:hAnsi="Times New Roman" w:eastAsia="宋体" w:cs="Times New Roman"/>
          <w:b/>
          <w:bCs/>
          <w:color w:val="1A1A1A" w:themeColor="background1" w:themeShade="1A"/>
          <w:sz w:val="18"/>
          <w:szCs w:val="18"/>
          <w:lang w:val="en-US"/>
        </w:rPr>
        <w:t>S1</w:t>
      </w:r>
      <w:r>
        <w:rPr>
          <w:rFonts w:ascii="Times New Roman" w:hAnsi="Times New Roman" w:eastAsia="宋体" w:cs="Times New Roman"/>
          <w:b/>
          <w:bCs/>
          <w:color w:val="1A1A1A" w:themeColor="background1" w:themeShade="1A"/>
          <w:sz w:val="18"/>
          <w:szCs w:val="18"/>
          <w:lang w:val="en-US"/>
        </w:rPr>
        <w:t>.</w:t>
      </w:r>
      <w:r>
        <w:rPr>
          <w:rFonts w:ascii="Times New Roman" w:hAnsi="Times New Roman" w:eastAsia="宋体" w:cs="Times New Roman"/>
          <w:b/>
          <w:bCs/>
          <w:color w:val="1A1A1A" w:themeColor="background1" w:themeShade="1A"/>
          <w:sz w:val="18"/>
          <w:szCs w:val="18"/>
        </w:rPr>
        <w:t xml:space="preserve">  </w:t>
      </w:r>
      <w:r>
        <w:rPr>
          <w:rFonts w:hint="eastAsia" w:ascii="Times New Roman" w:hAnsi="Times New Roman" w:eastAsia="宋体" w:cs="Times New Roman"/>
          <w:b/>
          <w:bCs/>
          <w:color w:val="1A1A1A" w:themeColor="background1" w:themeShade="1A"/>
          <w:sz w:val="18"/>
          <w:szCs w:val="18"/>
          <w:lang w:val="en-US"/>
        </w:rPr>
        <w:t>E</w:t>
      </w:r>
      <w:r>
        <w:rPr>
          <w:rFonts w:ascii="Times New Roman" w:hAnsi="Times New Roman" w:eastAsia="宋体" w:cs="Times New Roman"/>
          <w:b/>
          <w:bCs/>
          <w:color w:val="1A1A1A" w:themeColor="background1" w:themeShade="1A"/>
          <w:sz w:val="18"/>
          <w:szCs w:val="18"/>
        </w:rPr>
        <w:t>nvironmental survey data in 1998 and 2011</w:t>
      </w:r>
    </w:p>
    <w:tbl>
      <w:tblPr>
        <w:tblStyle w:val="15"/>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43"/>
        <w:gridCol w:w="2610"/>
        <w:gridCol w:w="1785"/>
        <w:gridCol w:w="237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p>
        </w:tc>
        <w:tc>
          <w:tcPr>
            <w:tcW w:w="4395" w:type="dxa"/>
            <w:gridSpan w:val="2"/>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r>
              <w:rPr>
                <w:rFonts w:ascii="Times New Roman" w:hAnsi="Times New Roman" w:eastAsia="等线" w:cs="Times New Roman"/>
                <w:b/>
                <w:bCs/>
                <w:color w:val="000000"/>
                <w:sz w:val="24"/>
                <w:szCs w:val="24"/>
              </w:rPr>
              <w:t>investigation of 1998</w:t>
            </w:r>
          </w:p>
        </w:tc>
        <w:tc>
          <w:tcPr>
            <w:tcW w:w="2370"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r>
              <w:rPr>
                <w:rFonts w:ascii="Times New Roman" w:hAnsi="Times New Roman" w:eastAsia="等线" w:cs="Times New Roman"/>
                <w:b/>
                <w:bCs/>
                <w:color w:val="000000"/>
                <w:sz w:val="24"/>
                <w:szCs w:val="24"/>
              </w:rPr>
              <w:t>investigation of 2011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643"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r>
              <w:rPr>
                <w:rFonts w:ascii="Times New Roman" w:hAnsi="Times New Roman" w:eastAsia="等线" w:cs="Times New Roman"/>
                <w:b/>
                <w:bCs/>
                <w:color w:val="000000"/>
                <w:sz w:val="24"/>
                <w:szCs w:val="24"/>
              </w:rPr>
              <w:t>Elements</w:t>
            </w:r>
          </w:p>
        </w:tc>
        <w:tc>
          <w:tcPr>
            <w:tcW w:w="2610"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r>
              <w:rPr>
                <w:rFonts w:hint="eastAsia" w:ascii="Times New Roman" w:hAnsi="Times New Roman" w:eastAsia="等线" w:cs="Times New Roman"/>
                <w:b/>
                <w:bCs/>
                <w:color w:val="000000"/>
                <w:sz w:val="24"/>
                <w:szCs w:val="24"/>
                <w:lang w:val="en-US"/>
              </w:rPr>
              <w:t>W</w:t>
            </w:r>
            <w:r>
              <w:rPr>
                <w:rFonts w:ascii="Times New Roman" w:hAnsi="Times New Roman" w:eastAsia="等线" w:cs="Times New Roman"/>
                <w:b/>
                <w:bCs/>
                <w:color w:val="000000"/>
                <w:sz w:val="24"/>
                <w:szCs w:val="24"/>
              </w:rPr>
              <w:t xml:space="preserve">ater of </w:t>
            </w:r>
            <w:r>
              <w:rPr>
                <w:rFonts w:hint="eastAsia" w:ascii="Times New Roman" w:hAnsi="Times New Roman" w:eastAsia="等线" w:cs="Times New Roman"/>
                <w:b/>
                <w:bCs/>
                <w:color w:val="000000"/>
                <w:sz w:val="24"/>
                <w:szCs w:val="24"/>
                <w:lang w:val="en-US"/>
              </w:rPr>
              <w:t>D</w:t>
            </w:r>
            <w:r>
              <w:rPr>
                <w:rFonts w:ascii="Times New Roman" w:hAnsi="Times New Roman" w:eastAsia="等线" w:cs="Times New Roman"/>
                <w:b/>
                <w:bCs/>
                <w:color w:val="000000"/>
                <w:sz w:val="24"/>
                <w:szCs w:val="24"/>
              </w:rPr>
              <w:t>aqiao reiver</w:t>
            </w:r>
          </w:p>
        </w:tc>
        <w:tc>
          <w:tcPr>
            <w:tcW w:w="1785"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rPr>
            </w:pPr>
            <w:r>
              <w:rPr>
                <w:rFonts w:hint="eastAsia" w:ascii="Times New Roman" w:hAnsi="Times New Roman" w:eastAsia="等线" w:cs="Times New Roman"/>
                <w:b/>
                <w:bCs/>
                <w:color w:val="000000"/>
                <w:sz w:val="24"/>
                <w:szCs w:val="24"/>
                <w:lang w:val="en-US"/>
              </w:rPr>
              <w:t>R</w:t>
            </w:r>
            <w:r>
              <w:rPr>
                <w:rFonts w:ascii="Times New Roman" w:hAnsi="Times New Roman" w:eastAsia="等线" w:cs="Times New Roman"/>
                <w:b/>
                <w:bCs/>
                <w:color w:val="000000"/>
                <w:sz w:val="24"/>
                <w:szCs w:val="24"/>
              </w:rPr>
              <w:t>egional soil</w:t>
            </w:r>
          </w:p>
        </w:tc>
        <w:tc>
          <w:tcPr>
            <w:tcW w:w="2370" w:type="dxa"/>
            <w:tcBorders>
              <w:top w:val="single" w:color="auto" w:sz="4" w:space="0"/>
              <w:bottom w:val="single" w:color="auto" w:sz="4" w:space="0"/>
            </w:tcBorders>
            <w:noWrap/>
          </w:tcPr>
          <w:p>
            <w:pPr>
              <w:widowControl/>
              <w:spacing w:line="360" w:lineRule="auto"/>
              <w:jc w:val="center"/>
              <w:rPr>
                <w:rFonts w:ascii="Times New Roman" w:hAnsi="Times New Roman" w:eastAsia="等线" w:cs="Times New Roman"/>
                <w:b/>
                <w:bCs/>
                <w:color w:val="000000"/>
                <w:sz w:val="24"/>
                <w:szCs w:val="24"/>
                <w:lang w:val="en-US"/>
              </w:rPr>
            </w:pPr>
            <w:r>
              <w:rPr>
                <w:rFonts w:hint="eastAsia" w:ascii="Times New Roman" w:hAnsi="Times New Roman" w:eastAsia="等线" w:cs="Times New Roman"/>
                <w:b/>
                <w:bCs/>
                <w:color w:val="000000"/>
                <w:sz w:val="24"/>
                <w:szCs w:val="24"/>
                <w:lang w:val="en-US"/>
              </w:rPr>
              <w:t>F</w:t>
            </w:r>
            <w:r>
              <w:rPr>
                <w:rFonts w:hint="eastAsia" w:ascii="Times New Roman" w:hAnsi="Times New Roman" w:eastAsia="等线" w:cs="Times New Roman"/>
                <w:b/>
                <w:bCs/>
                <w:color w:val="000000"/>
                <w:sz w:val="24"/>
                <w:szCs w:val="24"/>
              </w:rPr>
              <w:t>luvial sedimen</w:t>
            </w:r>
            <w:r>
              <w:rPr>
                <w:rFonts w:hint="eastAsia" w:ascii="Times New Roman" w:hAnsi="Times New Roman" w:eastAsia="等线" w:cs="Times New Roman"/>
                <w:b/>
                <w:bCs/>
                <w:color w:val="000000"/>
                <w:sz w:val="24"/>
                <w:szCs w:val="24"/>
                <w:lang w:val="en-US"/>
              </w:rPr>
              <w:t>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tcBorders>
              <w:top w:val="single" w:color="auto" w:sz="4" w:space="0"/>
            </w:tcBorders>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Cd</w:t>
            </w:r>
          </w:p>
        </w:tc>
        <w:tc>
          <w:tcPr>
            <w:tcW w:w="2610" w:type="dxa"/>
            <w:tcBorders>
              <w:top w:val="single" w:color="auto" w:sz="4" w:space="0"/>
            </w:tcBorders>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32.0-76.2</w:t>
            </w:r>
          </w:p>
        </w:tc>
        <w:tc>
          <w:tcPr>
            <w:tcW w:w="1785" w:type="dxa"/>
            <w:tcBorders>
              <w:top w:val="single" w:color="auto" w:sz="4" w:space="0"/>
            </w:tcBorders>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0.93-6.67</w:t>
            </w:r>
          </w:p>
        </w:tc>
        <w:tc>
          <w:tcPr>
            <w:tcW w:w="2370" w:type="dxa"/>
            <w:tcBorders>
              <w:top w:val="single" w:color="auto" w:sz="4" w:space="0"/>
            </w:tcBorders>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Pb</w:t>
            </w:r>
          </w:p>
        </w:tc>
        <w:tc>
          <w:tcPr>
            <w:tcW w:w="261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2.97-33.8</w:t>
            </w:r>
          </w:p>
        </w:tc>
        <w:tc>
          <w:tcPr>
            <w:tcW w:w="1785"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63.0-178</w:t>
            </w:r>
          </w:p>
        </w:tc>
        <w:tc>
          <w:tcPr>
            <w:tcW w:w="237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5.99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Zn</w:t>
            </w:r>
          </w:p>
        </w:tc>
        <w:tc>
          <w:tcPr>
            <w:tcW w:w="261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1.22-3.35</w:t>
            </w:r>
          </w:p>
        </w:tc>
        <w:tc>
          <w:tcPr>
            <w:tcW w:w="1785"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237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Hg</w:t>
            </w:r>
          </w:p>
        </w:tc>
        <w:tc>
          <w:tcPr>
            <w:tcW w:w="261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785"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237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43"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As</w:t>
            </w:r>
          </w:p>
        </w:tc>
        <w:tc>
          <w:tcPr>
            <w:tcW w:w="261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785"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2370" w:type="dxa"/>
            <w:noWrap/>
          </w:tcPr>
          <w:p>
            <w:pPr>
              <w:widowControl/>
              <w:spacing w:line="360" w:lineRule="auto"/>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5.01</w:t>
            </w:r>
          </w:p>
        </w:tc>
      </w:tr>
    </w:tbl>
    <w:p>
      <w:pPr>
        <w:rPr>
          <w:rFonts w:ascii="Times New Roman" w:hAnsi="Times New Roman" w:eastAsia="宋体" w:cs="Times New Roman"/>
          <w:b/>
          <w:bCs/>
          <w:color w:val="1A1A1A" w:themeColor="background1" w:themeShade="1A"/>
          <w:sz w:val="18"/>
          <w:szCs w:val="18"/>
        </w:rPr>
      </w:pPr>
      <w:r>
        <w:rPr>
          <w:rFonts w:hint="eastAsia" w:ascii="Times New Roman" w:hAnsi="Times New Roman" w:eastAsia="宋体" w:cs="Times New Roman"/>
          <w:b/>
          <w:bCs/>
          <w:color w:val="1A1A1A" w:themeColor="background1" w:themeShade="1A"/>
          <w:sz w:val="18"/>
          <w:szCs w:val="18"/>
        </w:rPr>
        <w:t>Note: d</w:t>
      </w:r>
      <w:r>
        <w:rPr>
          <w:rFonts w:ascii="Times New Roman" w:hAnsi="Times New Roman" w:eastAsia="宋体" w:cs="Times New Roman"/>
          <w:b/>
          <w:bCs/>
          <w:color w:val="1A1A1A" w:themeColor="background1" w:themeShade="1A"/>
          <w:sz w:val="18"/>
          <w:szCs w:val="18"/>
        </w:rPr>
        <w:t xml:space="preserve">isplay </w:t>
      </w:r>
      <w:r>
        <w:rPr>
          <w:rFonts w:hint="eastAsia" w:ascii="Times New Roman" w:hAnsi="Times New Roman" w:eastAsia="宋体" w:cs="Times New Roman"/>
          <w:b/>
          <w:bCs/>
          <w:color w:val="1A1A1A" w:themeColor="background1" w:themeShade="1A"/>
          <w:sz w:val="18"/>
          <w:szCs w:val="18"/>
        </w:rPr>
        <w:t>with</w:t>
      </w:r>
      <w:r>
        <w:rPr>
          <w:rFonts w:ascii="Times New Roman" w:hAnsi="Times New Roman" w:eastAsia="宋体" w:cs="Times New Roman"/>
          <w:b/>
          <w:bCs/>
          <w:color w:val="1A1A1A" w:themeColor="background1" w:themeShade="1A"/>
          <w:sz w:val="18"/>
          <w:szCs w:val="18"/>
        </w:rPr>
        <w:t xml:space="preserve"> multiples</w:t>
      </w:r>
      <w:r>
        <w:rPr>
          <w:rFonts w:hint="eastAsia" w:ascii="Times New Roman" w:hAnsi="Times New Roman" w:eastAsia="宋体" w:cs="Times New Roman"/>
          <w:b/>
          <w:bCs/>
          <w:color w:val="1A1A1A" w:themeColor="background1" w:themeShade="1A"/>
          <w:sz w:val="18"/>
          <w:szCs w:val="18"/>
        </w:rPr>
        <w:t xml:space="preserve"> of</w:t>
      </w:r>
      <w:r>
        <w:rPr>
          <w:rFonts w:ascii="Times New Roman" w:hAnsi="Times New Roman" w:eastAsia="宋体" w:cs="Times New Roman"/>
          <w:b/>
          <w:bCs/>
          <w:color w:val="1A1A1A" w:themeColor="background1" w:themeShade="1A"/>
          <w:sz w:val="18"/>
          <w:szCs w:val="18"/>
        </w:rPr>
        <w:t xml:space="preserve"> the national Standard Value.</w:t>
      </w:r>
    </w:p>
    <w:p>
      <w:pPr>
        <w:widowControl/>
        <w:jc w:val="left"/>
        <w:rPr>
          <w:sz w:val="24"/>
          <w:szCs w:val="24"/>
          <w:lang w:val="en-US"/>
        </w:rPr>
      </w:pPr>
    </w:p>
    <w:p>
      <w:pPr>
        <w:ind w:firstLine="210"/>
        <w:rPr>
          <w:sz w:val="24"/>
          <w:szCs w:val="24"/>
          <w:lang w:val="en-US"/>
        </w:rPr>
        <w:sectPr>
          <w:pgSz w:w="11906" w:h="16838"/>
          <w:pgMar w:top="1440" w:right="1440" w:bottom="1440" w:left="1440" w:header="851" w:footer="992" w:gutter="0"/>
          <w:cols w:space="425" w:num="1"/>
          <w:docGrid w:type="lines" w:linePitch="312" w:charSpace="0"/>
        </w:sectPr>
      </w:pPr>
    </w:p>
    <w:p>
      <w:pPr>
        <w:ind w:firstLine="210"/>
        <w:rPr>
          <w:sz w:val="24"/>
          <w:szCs w:val="24"/>
          <w:lang w:val="en-US"/>
        </w:rPr>
      </w:pPr>
    </w:p>
    <w:p>
      <w:pPr>
        <w:ind w:firstLine="210"/>
        <w:rPr>
          <w:sz w:val="24"/>
          <w:szCs w:val="24"/>
          <w:lang w:val="en-US"/>
        </w:rPr>
      </w:pPr>
      <w:r>
        <w:rPr>
          <w:sz w:val="24"/>
          <w:szCs w:val="24"/>
        </w:rPr>
        <w:drawing>
          <wp:inline distT="0" distB="0" distL="0" distR="0">
            <wp:extent cx="8653145" cy="30765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8682446" cy="3086837"/>
                    </a:xfrm>
                    <a:prstGeom prst="rect">
                      <a:avLst/>
                    </a:prstGeom>
                  </pic:spPr>
                </pic:pic>
              </a:graphicData>
            </a:graphic>
          </wp:inline>
        </w:drawing>
      </w:r>
    </w:p>
    <w:p>
      <w:pPr>
        <w:jc w:val="center"/>
        <w:rPr>
          <w:rFonts w:ascii="Times New Roman" w:hAnsi="Times New Roman" w:eastAsia="宋体" w:cs="Times New Roman"/>
          <w:b/>
          <w:bCs/>
          <w:sz w:val="18"/>
          <w:szCs w:val="18"/>
          <w:lang w:val="en-US"/>
        </w:rPr>
      </w:pPr>
      <w:r>
        <w:rPr>
          <w:rFonts w:hint="eastAsia" w:ascii="Times New Roman" w:hAnsi="Times New Roman" w:eastAsia="宋体" w:cs="Times New Roman"/>
          <w:b/>
          <w:bCs/>
          <w:sz w:val="18"/>
          <w:szCs w:val="18"/>
          <w:lang w:val="en-US"/>
        </w:rPr>
        <w:t>SF</w:t>
      </w:r>
      <w:r>
        <w:rPr>
          <w:rFonts w:ascii="Times New Roman" w:hAnsi="Times New Roman" w:eastAsia="宋体" w:cs="Times New Roman"/>
          <w:b/>
          <w:bCs/>
          <w:sz w:val="18"/>
          <w:szCs w:val="18"/>
          <w:lang w:val="en-US"/>
        </w:rPr>
        <w:t xml:space="preserve">. </w:t>
      </w:r>
      <w:r>
        <w:rPr>
          <w:rFonts w:hint="eastAsia" w:ascii="Times New Roman" w:hAnsi="Times New Roman" w:eastAsia="宋体" w:cs="Times New Roman"/>
          <w:b/>
          <w:bCs/>
          <w:sz w:val="18"/>
          <w:szCs w:val="18"/>
          <w:lang w:val="en-US"/>
        </w:rPr>
        <w:t>1</w:t>
      </w:r>
      <w:r>
        <w:rPr>
          <w:rFonts w:ascii="Times New Roman" w:hAnsi="Times New Roman" w:eastAsia="宋体" w:cs="Times New Roman"/>
          <w:b/>
          <w:bCs/>
          <w:sz w:val="18"/>
          <w:szCs w:val="18"/>
          <w:lang w:val="en-US"/>
        </w:rPr>
        <w:t xml:space="preserve"> Evaluation index and evaluation system</w:t>
      </w:r>
    </w:p>
    <w:p>
      <w:pPr>
        <w:widowControl/>
        <w:jc w:val="left"/>
        <w:rPr>
          <w:rFonts w:ascii="Times New Roman" w:hAnsi="Times New Roman" w:eastAsia="宋体" w:cs="Times New Roman"/>
          <w:b/>
          <w:bCs/>
          <w:sz w:val="24"/>
          <w:szCs w:val="24"/>
          <w:lang w:val="en-US"/>
        </w:rPr>
        <w:sectPr>
          <w:pgSz w:w="16838" w:h="11906" w:orient="landscape"/>
          <w:pgMar w:top="1440" w:right="1440" w:bottom="1440" w:left="1440" w:header="851" w:footer="992" w:gutter="0"/>
          <w:cols w:space="425" w:num="1"/>
          <w:docGrid w:type="linesAndChars" w:linePitch="312" w:charSpace="0"/>
        </w:sectPr>
      </w:pPr>
      <w:r>
        <w:rPr>
          <w:rFonts w:ascii="Times New Roman" w:hAnsi="Times New Roman" w:eastAsia="宋体" w:cs="Times New Roman"/>
          <w:b/>
          <w:bCs/>
          <w:sz w:val="24"/>
          <w:szCs w:val="24"/>
          <w:lang w:val="en-US"/>
        </w:rPr>
        <w:br w:type="page"/>
      </w:r>
    </w:p>
    <w:p>
      <w:pPr>
        <w:jc w:val="center"/>
        <w:rPr>
          <w:rFonts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rPr>
        <w:drawing>
          <wp:inline distT="0" distB="0" distL="114300" distR="114300">
            <wp:extent cx="5718175" cy="8402955"/>
            <wp:effectExtent l="0" t="0" r="15875" b="17145"/>
            <wp:docPr id="6" name="图片 6" descr="f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93"/>
                    <pic:cNvPicPr>
                      <a:picLocks noChangeAspect="1"/>
                    </pic:cNvPicPr>
                  </pic:nvPicPr>
                  <pic:blipFill>
                    <a:blip r:embed="rId5"/>
                    <a:stretch>
                      <a:fillRect/>
                    </a:stretch>
                  </pic:blipFill>
                  <pic:spPr>
                    <a:xfrm>
                      <a:off x="0" y="0"/>
                      <a:ext cx="5718175" cy="8402955"/>
                    </a:xfrm>
                    <a:prstGeom prst="rect">
                      <a:avLst/>
                    </a:prstGeom>
                  </pic:spPr>
                </pic:pic>
              </a:graphicData>
            </a:graphic>
          </wp:inline>
        </w:drawing>
      </w:r>
    </w:p>
    <w:p>
      <w:pPr>
        <w:jc w:val="center"/>
        <w:rPr>
          <w:rFonts w:ascii="Times New Roman" w:hAnsi="Times New Roman" w:eastAsia="宋体" w:cs="Times New Roman"/>
          <w:b/>
          <w:bCs/>
          <w:color w:val="1A1A1A"/>
          <w:sz w:val="18"/>
          <w:szCs w:val="18"/>
          <w:lang w:val="en-US"/>
        </w:rPr>
      </w:pPr>
      <w:bookmarkStart w:id="44" w:name="_Hlk113454055"/>
      <w:r>
        <w:rPr>
          <w:rFonts w:hint="eastAsia" w:ascii="Times New Roman" w:hAnsi="Times New Roman" w:eastAsia="宋体" w:cs="Times New Roman"/>
          <w:b/>
          <w:bCs/>
          <w:color w:val="1A1A1A"/>
          <w:sz w:val="18"/>
          <w:szCs w:val="18"/>
          <w:lang w:val="en-US"/>
        </w:rPr>
        <w:t>SF</w:t>
      </w:r>
      <w:r>
        <w:rPr>
          <w:rFonts w:ascii="Times New Roman" w:hAnsi="Times New Roman" w:eastAsia="宋体" w:cs="Times New Roman"/>
          <w:b/>
          <w:bCs/>
          <w:color w:val="1A1A1A"/>
          <w:sz w:val="18"/>
          <w:szCs w:val="18"/>
          <w:lang w:val="en-US"/>
        </w:rPr>
        <w:t>.2 Boxplots of the surface soil metal(loid) concentrations (mg kg</w:t>
      </w:r>
      <w:r>
        <w:rPr>
          <w:rFonts w:ascii="Times New Roman" w:hAnsi="Times New Roman" w:eastAsia="宋体" w:cs="Times New Roman"/>
          <w:b/>
          <w:bCs/>
          <w:color w:val="1A1A1A"/>
          <w:sz w:val="18"/>
          <w:szCs w:val="18"/>
          <w:vertAlign w:val="superscript"/>
          <w:lang w:val="en-US"/>
        </w:rPr>
        <w:t>-1</w:t>
      </w:r>
      <w:r>
        <w:rPr>
          <w:rFonts w:ascii="Times New Roman" w:hAnsi="Times New Roman" w:eastAsia="宋体" w:cs="Times New Roman"/>
          <w:b/>
          <w:bCs/>
          <w:color w:val="1A1A1A"/>
          <w:sz w:val="18"/>
          <w:szCs w:val="18"/>
          <w:lang w:val="en-US"/>
        </w:rPr>
        <w:t>) in different regions</w:t>
      </w:r>
      <w:bookmarkEnd w:id="44"/>
      <w:r>
        <w:rPr>
          <w:rFonts w:ascii="Times New Roman" w:hAnsi="Times New Roman" w:eastAsia="宋体" w:cs="Times New Roman"/>
          <w:b/>
          <w:bCs/>
          <w:color w:val="1A1A1A"/>
          <w:sz w:val="18"/>
          <w:szCs w:val="18"/>
          <w:lang w:val="en-US"/>
        </w:rPr>
        <w:t>.</w:t>
      </w:r>
    </w:p>
    <w:p>
      <w:pPr>
        <w:jc w:val="center"/>
        <w:rPr>
          <w:rFonts w:ascii="Times New Roman" w:hAnsi="Times New Roman" w:eastAsia="宋体" w:cs="Times New Roman"/>
          <w:b/>
          <w:bCs/>
          <w:color w:val="1A1A1A"/>
          <w:sz w:val="18"/>
          <w:szCs w:val="18"/>
          <w:lang w:val="en-US"/>
        </w:rPr>
      </w:pPr>
    </w:p>
    <w:p>
      <w:pPr>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b/>
          <w:bCs/>
          <w:color w:val="1A1A1A"/>
          <w:sz w:val="18"/>
          <w:szCs w:val="18"/>
          <w:lang w:val="en-US"/>
        </w:rPr>
        <w:drawing>
          <wp:inline distT="0" distB="0" distL="114300" distR="114300">
            <wp:extent cx="5721985" cy="4872990"/>
            <wp:effectExtent l="0" t="0" r="12065" b="3810"/>
            <wp:docPr id="2" name="图片 2" descr="微信图片_2022092909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929093156"/>
                    <pic:cNvPicPr>
                      <a:picLocks noChangeAspect="1"/>
                    </pic:cNvPicPr>
                  </pic:nvPicPr>
                  <pic:blipFill>
                    <a:blip r:embed="rId6"/>
                    <a:stretch>
                      <a:fillRect/>
                    </a:stretch>
                  </pic:blipFill>
                  <pic:spPr>
                    <a:xfrm>
                      <a:off x="0" y="0"/>
                      <a:ext cx="5721985" cy="4872990"/>
                    </a:xfrm>
                    <a:prstGeom prst="rect">
                      <a:avLst/>
                    </a:prstGeom>
                  </pic:spPr>
                </pic:pic>
              </a:graphicData>
            </a:graphic>
          </wp:inline>
        </w:drawing>
      </w:r>
    </w:p>
    <w:p>
      <w:pPr>
        <w:spacing w:line="360" w:lineRule="auto"/>
        <w:jc w:val="center"/>
        <w:rPr>
          <w:rFonts w:ascii="Times New Roman" w:hAnsi="Times New Roman" w:eastAsia="宋体" w:cs="Times New Roman"/>
          <w:b/>
          <w:bCs/>
          <w:color w:val="000000" w:themeColor="text1"/>
          <w:sz w:val="18"/>
          <w:szCs w:val="18"/>
          <w14:textFill>
            <w14:solidFill>
              <w14:schemeClr w14:val="tx1"/>
            </w14:solidFill>
          </w14:textFill>
        </w:rPr>
      </w:pPr>
      <w:r>
        <w:rPr>
          <w:rFonts w:hint="eastAsia" w:ascii="Times New Roman" w:hAnsi="Times New Roman" w:eastAsia="宋体" w:cs="Times New Roman"/>
          <w:b/>
          <w:bCs/>
          <w:color w:val="000000" w:themeColor="text1"/>
          <w:sz w:val="18"/>
          <w:szCs w:val="18"/>
          <w:lang w:val="en-US"/>
          <w14:textFill>
            <w14:solidFill>
              <w14:schemeClr w14:val="tx1"/>
            </w14:solidFill>
          </w14:textFill>
        </w:rPr>
        <w:t>SF</w:t>
      </w:r>
      <w:r>
        <w:rPr>
          <w:rFonts w:ascii="Times New Roman" w:hAnsi="Times New Roman" w:eastAsia="宋体" w:cs="Times New Roman"/>
          <w:b/>
          <w:bCs/>
          <w:color w:val="000000" w:themeColor="text1"/>
          <w:sz w:val="18"/>
          <w:szCs w:val="18"/>
          <w14:textFill>
            <w14:solidFill>
              <w14:schemeClr w14:val="tx1"/>
            </w14:solidFill>
          </w14:textFill>
        </w:rPr>
        <w:t xml:space="preserve">. </w:t>
      </w:r>
      <w:r>
        <w:rPr>
          <w:rFonts w:hint="eastAsia" w:ascii="Times New Roman" w:hAnsi="Times New Roman" w:eastAsia="宋体" w:cs="Times New Roman"/>
          <w:b/>
          <w:bCs/>
          <w:color w:val="000000" w:themeColor="text1"/>
          <w:sz w:val="18"/>
          <w:szCs w:val="18"/>
          <w:lang w:val="en-US"/>
          <w14:textFill>
            <w14:solidFill>
              <w14:schemeClr w14:val="tx1"/>
            </w14:solidFill>
          </w14:textFill>
        </w:rPr>
        <w:t xml:space="preserve">3 </w:t>
      </w:r>
      <w:r>
        <w:rPr>
          <w:rFonts w:ascii="Times New Roman" w:hAnsi="Times New Roman" w:eastAsia="宋体" w:cs="Times New Roman"/>
          <w:b/>
          <w:bCs/>
          <w:color w:val="000000" w:themeColor="text1"/>
          <w:sz w:val="18"/>
          <w:szCs w:val="18"/>
          <w14:textFill>
            <w14:solidFill>
              <w14:schemeClr w14:val="tx1"/>
            </w14:solidFill>
          </w14:textFill>
        </w:rPr>
        <w:t xml:space="preserve"> Distribution of different </w:t>
      </w:r>
      <w:r>
        <w:rPr>
          <w:rFonts w:ascii="Times New Roman" w:hAnsi="Times New Roman" w:eastAsia="宋体" w:cs="Times New Roman"/>
          <w:b/>
          <w:bCs/>
          <w:color w:val="000000" w:themeColor="text1"/>
          <w:sz w:val="18"/>
          <w:szCs w:val="18"/>
          <w:lang w:val="en-US"/>
          <w14:textFill>
            <w14:solidFill>
              <w14:schemeClr w14:val="tx1"/>
            </w14:solidFill>
          </w14:textFill>
        </w:rPr>
        <w:t xml:space="preserve"> Contamination Factor </w:t>
      </w:r>
      <w:r>
        <w:rPr>
          <w:rFonts w:ascii="Times New Roman" w:hAnsi="Times New Roman" w:eastAsia="宋体" w:cs="Times New Roman"/>
          <w:b/>
          <w:bCs/>
          <w:color w:val="000000" w:themeColor="text1"/>
          <w:sz w:val="18"/>
          <w:szCs w:val="18"/>
          <w14:textFill>
            <w14:solidFill>
              <w14:schemeClr w14:val="tx1"/>
            </w14:solidFill>
          </w14:textFill>
        </w:rPr>
        <w:t xml:space="preserve"> grades (%).</w:t>
      </w:r>
    </w:p>
    <w:p>
      <w:pPr>
        <w:spacing w:line="360" w:lineRule="auto"/>
        <w:rPr>
          <w:rFonts w:ascii="Times New Roman" w:hAnsi="Times New Roman" w:eastAsia="宋体" w:cs="Times New Roman"/>
          <w:b/>
          <w:bCs/>
          <w:color w:val="000000" w:themeColor="text1"/>
          <w:sz w:val="18"/>
          <w:szCs w:val="18"/>
          <w14:textFill>
            <w14:solidFill>
              <w14:schemeClr w14:val="tx1"/>
            </w14:solidFill>
          </w14:textFill>
        </w:rPr>
      </w:pPr>
      <w:r>
        <w:rPr>
          <w:rFonts w:hint="eastAsia" w:ascii="Times New Roman" w:hAnsi="Times New Roman" w:eastAsia="宋体" w:cs="Times New Roman"/>
          <w:b/>
          <w:bCs/>
          <w:color w:val="000000" w:themeColor="text1"/>
          <w:sz w:val="18"/>
          <w:szCs w:val="18"/>
          <w14:textFill>
            <w14:solidFill>
              <w14:schemeClr w14:val="tx1"/>
            </w14:solidFill>
          </w14:textFill>
        </w:rPr>
        <w:drawing>
          <wp:inline distT="0" distB="0" distL="114300" distR="114300">
            <wp:extent cx="5695950" cy="3095625"/>
            <wp:effectExtent l="0" t="0" r="0" b="9525"/>
            <wp:docPr id="8" name="图片 8"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a"/>
                    <pic:cNvPicPr>
                      <a:picLocks noChangeAspect="1"/>
                    </pic:cNvPicPr>
                  </pic:nvPicPr>
                  <pic:blipFill>
                    <a:blip r:embed="rId7"/>
                    <a:stretch>
                      <a:fillRect/>
                    </a:stretch>
                  </pic:blipFill>
                  <pic:spPr>
                    <a:xfrm>
                      <a:off x="0" y="0"/>
                      <a:ext cx="5695950" cy="3095625"/>
                    </a:xfrm>
                    <a:prstGeom prst="rect">
                      <a:avLst/>
                    </a:prstGeom>
                  </pic:spPr>
                </pic:pic>
              </a:graphicData>
            </a:graphic>
          </wp:inline>
        </w:drawing>
      </w:r>
    </w:p>
    <w:p>
      <w:pPr>
        <w:spacing w:line="360" w:lineRule="auto"/>
        <w:jc w:val="center"/>
        <w:rPr>
          <w:rFonts w:ascii="Times New Roman" w:hAnsi="Times New Roman" w:eastAsia="宋体" w:cs="Times New Roman"/>
          <w:b/>
          <w:bCs/>
          <w:color w:val="1A1A1A"/>
          <w:sz w:val="24"/>
          <w:szCs w:val="24"/>
          <w:lang w:val="en-US"/>
        </w:rPr>
      </w:pPr>
      <w:r>
        <w:rPr>
          <w:rFonts w:hint="eastAsia" w:ascii="Times New Roman" w:hAnsi="Times New Roman" w:eastAsia="宋体" w:cs="Times New Roman"/>
          <w:b/>
          <w:bCs/>
          <w:color w:val="000000" w:themeColor="text1"/>
          <w:sz w:val="18"/>
          <w:szCs w:val="18"/>
          <w:lang w:val="en-US"/>
          <w14:textFill>
            <w14:solidFill>
              <w14:schemeClr w14:val="tx1"/>
            </w14:solidFill>
          </w14:textFill>
        </w:rPr>
        <w:t>SF</w:t>
      </w:r>
      <w:r>
        <w:rPr>
          <w:rFonts w:ascii="Times New Roman" w:hAnsi="Times New Roman" w:eastAsia="宋体" w:cs="Times New Roman"/>
          <w:b/>
          <w:bCs/>
          <w:color w:val="000000" w:themeColor="text1"/>
          <w:sz w:val="18"/>
          <w:szCs w:val="18"/>
          <w14:textFill>
            <w14:solidFill>
              <w14:schemeClr w14:val="tx1"/>
            </w14:solidFill>
          </w14:textFill>
        </w:rPr>
        <w:t>.</w:t>
      </w:r>
      <w:r>
        <w:rPr>
          <w:rFonts w:hint="eastAsia" w:ascii="Times New Roman" w:hAnsi="Times New Roman" w:eastAsia="宋体" w:cs="Times New Roman"/>
          <w:b/>
          <w:bCs/>
          <w:color w:val="000000" w:themeColor="text1"/>
          <w:sz w:val="18"/>
          <w:szCs w:val="18"/>
          <w:lang w:val="en-US"/>
          <w14:textFill>
            <w14:solidFill>
              <w14:schemeClr w14:val="tx1"/>
            </w14:solidFill>
          </w14:textFill>
        </w:rPr>
        <w:t xml:space="preserve"> 4</w:t>
      </w:r>
      <w:r>
        <w:rPr>
          <w:rFonts w:ascii="Times New Roman" w:hAnsi="Times New Roman" w:eastAsia="宋体" w:cs="Times New Roman"/>
          <w:b/>
          <w:bCs/>
          <w:color w:val="000000" w:themeColor="text1"/>
          <w:sz w:val="18"/>
          <w:szCs w:val="18"/>
          <w14:textFill>
            <w14:solidFill>
              <w14:schemeClr w14:val="tx1"/>
            </w14:solidFill>
          </w14:textFill>
        </w:rPr>
        <w:t xml:space="preserve"> Distribution of different ecological risk index and potential ecological risk index grades (%).</w:t>
      </w:r>
      <w:bookmarkStart w:id="45" w:name="_Hlk113455112"/>
    </w:p>
    <w:bookmarkEnd w:id="45"/>
    <w:p>
      <w:pPr>
        <w:jc w:val="center"/>
        <w:rPr>
          <w:rFonts w:ascii="Times New Roman" w:hAnsi="Times New Roman" w:eastAsia="宋体" w:cs="Times New Roman"/>
          <w:b/>
          <w:bCs/>
          <w:color w:val="1A1A1A"/>
          <w:sz w:val="24"/>
          <w:szCs w:val="24"/>
          <w:lang w:val="en-US"/>
        </w:rPr>
      </w:pPr>
      <w:r>
        <w:rPr>
          <w:rFonts w:hint="eastAsia" w:ascii="Times New Roman" w:hAnsi="Times New Roman" w:eastAsia="宋体" w:cs="Times New Roman"/>
          <w:b/>
          <w:bCs/>
          <w:color w:val="1A1A1A"/>
          <w:sz w:val="24"/>
          <w:szCs w:val="24"/>
          <w:lang w:val="en-US"/>
        </w:rPr>
        <w:drawing>
          <wp:inline distT="0" distB="0" distL="114300" distR="114300">
            <wp:extent cx="5488940" cy="3696970"/>
            <wp:effectExtent l="0" t="0" r="16510" b="17780"/>
            <wp:docPr id="4" name="图片 4" descr="s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f5"/>
                    <pic:cNvPicPr>
                      <a:picLocks noChangeAspect="1"/>
                    </pic:cNvPicPr>
                  </pic:nvPicPr>
                  <pic:blipFill>
                    <a:blip r:embed="rId8"/>
                    <a:stretch>
                      <a:fillRect/>
                    </a:stretch>
                  </pic:blipFill>
                  <pic:spPr>
                    <a:xfrm>
                      <a:off x="0" y="0"/>
                      <a:ext cx="5488940" cy="3696970"/>
                    </a:xfrm>
                    <a:prstGeom prst="rect">
                      <a:avLst/>
                    </a:prstGeom>
                  </pic:spPr>
                </pic:pic>
              </a:graphicData>
            </a:graphic>
          </wp:inline>
        </w:drawing>
      </w:r>
    </w:p>
    <w:p>
      <w:pPr>
        <w:jc w:val="center"/>
        <w:rPr>
          <w:rFonts w:hint="eastAsia" w:ascii="Times New Roman" w:hAnsi="Times New Roman" w:eastAsia="宋体" w:cs="Times New Roman"/>
          <w:b/>
          <w:bCs/>
          <w:color w:val="1A1A1A" w:themeColor="background1" w:themeShade="1A"/>
          <w:sz w:val="18"/>
          <w:szCs w:val="18"/>
        </w:rPr>
      </w:pPr>
      <w:bookmarkStart w:id="46" w:name="_Hlk113038955"/>
      <w:bookmarkStart w:id="47" w:name="_Hlk113455187"/>
      <w:r>
        <w:rPr>
          <w:rFonts w:ascii="Times New Roman" w:hAnsi="Times New Roman" w:eastAsia="宋体" w:cs="Times New Roman"/>
          <w:b/>
          <w:bCs/>
          <w:color w:val="1A1A1A" w:themeColor="background1" w:themeShade="1A"/>
          <w:sz w:val="18"/>
          <w:szCs w:val="18"/>
        </w:rPr>
        <w:t xml:space="preserve">SF. </w:t>
      </w:r>
      <w:bookmarkEnd w:id="46"/>
      <w:r>
        <w:rPr>
          <w:rFonts w:hint="eastAsia" w:ascii="Times New Roman" w:hAnsi="Times New Roman" w:eastAsia="宋体" w:cs="Times New Roman"/>
          <w:b/>
          <w:bCs/>
          <w:color w:val="1A1A1A" w:themeColor="background1" w:themeShade="1A"/>
          <w:sz w:val="18"/>
          <w:szCs w:val="18"/>
          <w:lang w:val="en-US"/>
        </w:rPr>
        <w:t xml:space="preserve">5 </w:t>
      </w:r>
      <w:r>
        <w:rPr>
          <w:rFonts w:ascii="Times New Roman" w:hAnsi="Times New Roman" w:eastAsia="宋体" w:cs="Times New Roman"/>
          <w:b/>
          <w:bCs/>
          <w:color w:val="1A1A1A" w:themeColor="background1" w:themeShade="1A"/>
          <w:sz w:val="18"/>
          <w:szCs w:val="18"/>
        </w:rPr>
        <w:t xml:space="preserve"> </w:t>
      </w:r>
      <w:bookmarkStart w:id="48" w:name="_Hlk91662162"/>
      <w:r>
        <w:rPr>
          <w:rFonts w:ascii="Times New Roman" w:hAnsi="Times New Roman" w:eastAsia="宋体" w:cs="Times New Roman"/>
          <w:b/>
          <w:bCs/>
          <w:color w:val="1A1A1A" w:themeColor="background1" w:themeShade="1A"/>
          <w:sz w:val="18"/>
          <w:szCs w:val="18"/>
        </w:rPr>
        <w:t>Mean non-carcinogenic hazard index (HI: Tal) and Hazard quotient (HQ)</w:t>
      </w:r>
      <w:bookmarkEnd w:id="48"/>
      <w:r>
        <w:rPr>
          <w:rFonts w:ascii="Times New Roman" w:hAnsi="Times New Roman" w:eastAsia="宋体" w:cs="Times New Roman"/>
          <w:b/>
          <w:bCs/>
          <w:color w:val="1A1A1A" w:themeColor="background1" w:themeShade="1A"/>
          <w:sz w:val="18"/>
          <w:szCs w:val="18"/>
        </w:rPr>
        <w:t xml:space="preserve"> in different regions.</w:t>
      </w:r>
    </w:p>
    <w:p>
      <w:pPr>
        <w:jc w:val="center"/>
        <w:rPr>
          <w:rFonts w:ascii="Times New Roman" w:hAnsi="Times New Roman" w:eastAsia="宋体" w:cs="Times New Roman"/>
          <w:color w:val="1A1A1A" w:themeColor="background1" w:themeShade="1A"/>
          <w:sz w:val="24"/>
          <w:szCs w:val="24"/>
        </w:rPr>
      </w:pPr>
      <w:r>
        <w:rPr>
          <w:rFonts w:hint="eastAsia" w:ascii="Times New Roman" w:hAnsi="Times New Roman" w:eastAsia="宋体" w:cs="Times New Roman"/>
          <w:b/>
          <w:bCs/>
          <w:color w:val="1A1A1A" w:themeColor="background1" w:themeShade="1A"/>
          <w:sz w:val="18"/>
          <w:szCs w:val="18"/>
        </w:rPr>
        <w:drawing>
          <wp:inline distT="0" distB="0" distL="114300" distR="114300">
            <wp:extent cx="5399405" cy="4236720"/>
            <wp:effectExtent l="0" t="0" r="10795" b="11430"/>
            <wp:docPr id="7" name="图片 7"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1"/>
                    <pic:cNvPicPr>
                      <a:picLocks noChangeAspect="1"/>
                    </pic:cNvPicPr>
                  </pic:nvPicPr>
                  <pic:blipFill>
                    <a:blip r:embed="rId9"/>
                    <a:stretch>
                      <a:fillRect/>
                    </a:stretch>
                  </pic:blipFill>
                  <pic:spPr>
                    <a:xfrm>
                      <a:off x="0" y="0"/>
                      <a:ext cx="5399405" cy="4236720"/>
                    </a:xfrm>
                    <a:prstGeom prst="rect">
                      <a:avLst/>
                    </a:prstGeom>
                  </pic:spPr>
                </pic:pic>
              </a:graphicData>
            </a:graphic>
          </wp:inline>
        </w:drawing>
      </w:r>
    </w:p>
    <w:p>
      <w:pPr>
        <w:widowControl/>
        <w:jc w:val="center"/>
        <w:rPr>
          <w:rFonts w:ascii="Times New Roman" w:hAnsi="Times New Roman" w:eastAsia="宋体" w:cs="Times New Roman"/>
          <w:color w:val="1A1A1A" w:themeColor="background1" w:themeShade="1A"/>
          <w:sz w:val="24"/>
          <w:szCs w:val="24"/>
          <w:lang w:val="en-US"/>
        </w:rPr>
      </w:pPr>
      <w:r>
        <w:rPr>
          <w:rFonts w:ascii="Times New Roman" w:hAnsi="Times New Roman" w:eastAsia="宋体" w:cs="Times New Roman"/>
          <w:b/>
          <w:bCs/>
          <w:color w:val="1A1A1A" w:themeColor="background1" w:themeShade="1A"/>
          <w:sz w:val="18"/>
          <w:szCs w:val="18"/>
        </w:rPr>
        <w:t>SF.</w:t>
      </w:r>
      <w:r>
        <w:rPr>
          <w:rFonts w:hint="eastAsia" w:ascii="Times New Roman" w:hAnsi="Times New Roman" w:eastAsia="宋体" w:cs="Times New Roman"/>
          <w:b/>
          <w:bCs/>
          <w:color w:val="1A1A1A" w:themeColor="background1" w:themeShade="1A"/>
          <w:sz w:val="18"/>
          <w:szCs w:val="18"/>
          <w:lang w:val="en-US"/>
        </w:rPr>
        <w:t>6</w:t>
      </w:r>
      <w:r>
        <w:rPr>
          <w:rFonts w:ascii="Times New Roman" w:hAnsi="Times New Roman" w:eastAsia="宋体" w:cs="Times New Roman"/>
          <w:b/>
          <w:bCs/>
          <w:color w:val="1A1A1A" w:themeColor="background1" w:themeShade="1A"/>
          <w:sz w:val="18"/>
          <w:szCs w:val="18"/>
        </w:rPr>
        <w:t xml:space="preserve"> Mean Carcinogenic Risk (CR) in different regio</w:t>
      </w:r>
      <w:r>
        <w:rPr>
          <w:rFonts w:hint="eastAsia" w:ascii="Times New Roman" w:hAnsi="Times New Roman" w:eastAsia="宋体" w:cs="Times New Roman"/>
          <w:b/>
          <w:bCs/>
          <w:color w:val="1A1A1A" w:themeColor="background1" w:themeShade="1A"/>
          <w:sz w:val="18"/>
          <w:szCs w:val="18"/>
          <w:lang w:val="en-US"/>
        </w:rPr>
        <w:t>n</w:t>
      </w:r>
    </w:p>
    <w:bookmarkEnd w:id="47"/>
    <w:p>
      <w:pPr>
        <w:pStyle w:val="3"/>
        <w:rPr>
          <w:rFonts w:ascii="Times New Roman" w:hAnsi="Times New Roman" w:cs="Times New Roman"/>
          <w:sz w:val="24"/>
          <w:szCs w:val="24"/>
        </w:rPr>
      </w:pPr>
      <w:r>
        <w:rPr>
          <w:rFonts w:ascii="Times New Roman" w:hAnsi="Times New Roman" w:cs="Times New Roman"/>
          <w:sz w:val="24"/>
          <w:szCs w:val="24"/>
        </w:rPr>
        <w:t>References</w:t>
      </w:r>
    </w:p>
    <w:p>
      <w:pPr>
        <w:pStyle w:val="41"/>
        <w:ind w:left="720" w:hanging="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Pr>
          <w:rFonts w:ascii="Times New Roman" w:hAnsi="Times New Roman" w:cs="Times New Roman"/>
          <w:sz w:val="24"/>
          <w:szCs w:val="24"/>
        </w:rPr>
        <w:t>Cheng, Z., Chen, L.J., Li, H.H., Lin, J.Q., Yang, Z.B., Yang, Y.X., et al. (2018). Characteristics and health risk assessment of heavy metals exposure via household dust from urban area in Chengdu, China. Sci Total Environ, 619-620, 621-629, doi:10.1016/j.scitotenv.2017.11.144.</w:t>
      </w:r>
    </w:p>
    <w:p>
      <w:pPr>
        <w:pStyle w:val="41"/>
        <w:ind w:left="720" w:hanging="720"/>
        <w:rPr>
          <w:rFonts w:ascii="Times New Roman" w:hAnsi="Times New Roman" w:cs="Times New Roman"/>
          <w:sz w:val="24"/>
          <w:szCs w:val="24"/>
        </w:rPr>
      </w:pPr>
      <w:r>
        <w:rPr>
          <w:rFonts w:ascii="Times New Roman" w:hAnsi="Times New Roman" w:cs="Times New Roman"/>
          <w:sz w:val="24"/>
          <w:szCs w:val="24"/>
        </w:rPr>
        <w:t>Hakanson, L. (1980). An ecological risk index for aquatic pollution control.a sedimentological approach. Water Research, 14(8), 975-1001.</w:t>
      </w:r>
    </w:p>
    <w:p>
      <w:pPr>
        <w:pStyle w:val="41"/>
        <w:ind w:left="720" w:hanging="720"/>
        <w:rPr>
          <w:rFonts w:ascii="Times New Roman" w:hAnsi="Times New Roman" w:cs="Times New Roman"/>
          <w:sz w:val="24"/>
          <w:szCs w:val="24"/>
        </w:rPr>
      </w:pPr>
      <w:r>
        <w:rPr>
          <w:rFonts w:ascii="Times New Roman" w:hAnsi="Times New Roman" w:cs="Times New Roman"/>
          <w:sz w:val="24"/>
          <w:szCs w:val="24"/>
        </w:rPr>
        <w:t>Huang, Y., Chen, Q., Deng, M., Japenga, J., Li, T., Yang, X., et al. (2018). Heavy metal pollution and health risk assessment of agricultural soils in a typical peri-urban area in southeast China. J Environ Manage, 207, 159-168, doi:10.1016/j.jenvman.2017.10.072.</w:t>
      </w:r>
    </w:p>
    <w:p>
      <w:pPr>
        <w:pStyle w:val="41"/>
        <w:ind w:left="720" w:hanging="720"/>
        <w:rPr>
          <w:rFonts w:ascii="Times New Roman" w:hAnsi="Times New Roman" w:cs="Times New Roman"/>
          <w:sz w:val="24"/>
          <w:szCs w:val="24"/>
        </w:rPr>
      </w:pPr>
      <w:r>
        <w:rPr>
          <w:rFonts w:ascii="Times New Roman" w:hAnsi="Times New Roman" w:cs="Times New Roman"/>
          <w:sz w:val="24"/>
          <w:szCs w:val="24"/>
        </w:rPr>
        <w:t>Li, P., Lin, C., Cheng, H., Duan, X., &amp; Lei, K. (2015). Contamination and health risks of soil heavy metals around a lead/zinc smelter in southwestern China. Ecotoxicol Environ Saf, 113, 391-399, doi:10.1016/j.ecoenv.2014.12.025.</w:t>
      </w:r>
    </w:p>
    <w:p>
      <w:pPr>
        <w:pStyle w:val="41"/>
        <w:ind w:left="720" w:hanging="720"/>
        <w:rPr>
          <w:rFonts w:ascii="Times New Roman" w:hAnsi="Times New Roman" w:cs="Times New Roman"/>
          <w:sz w:val="24"/>
          <w:szCs w:val="24"/>
        </w:rPr>
      </w:pPr>
      <w:r>
        <w:rPr>
          <w:rFonts w:ascii="Times New Roman" w:hAnsi="Times New Roman" w:cs="Times New Roman"/>
          <w:sz w:val="24"/>
          <w:szCs w:val="24"/>
        </w:rPr>
        <w:t>MEP, 2013. Soil and sediment - Determination of mercury, arsenic, selenium, bismuth, antimony - Microwave dissolution/Atomic Fluorescence Spectrometry. Ministry of Environmental Protection of China.</w:t>
      </w:r>
    </w:p>
    <w:p>
      <w:pPr>
        <w:pStyle w:val="41"/>
        <w:ind w:left="720" w:hanging="720"/>
        <w:rPr>
          <w:rFonts w:ascii="Times New Roman" w:hAnsi="Times New Roman" w:cs="Times New Roman"/>
          <w:sz w:val="24"/>
          <w:szCs w:val="24"/>
        </w:rPr>
      </w:pPr>
      <w:r>
        <w:rPr>
          <w:rFonts w:ascii="Times New Roman" w:hAnsi="Times New Roman" w:cs="Times New Roman"/>
          <w:sz w:val="24"/>
          <w:szCs w:val="24"/>
        </w:rPr>
        <w:t>Nazeer, S., Hashmi, M.Z., &amp; Malik, R.N. (2014). Heavy metals distribution, risk assessment and water quality characterization by water quality index of the River Soan, Pakistan. Ecological Indicators, 43, 262-270, doi:10.1016/j.ecolind.2014.03.010.</w:t>
      </w:r>
    </w:p>
    <w:p>
      <w:pPr>
        <w:pStyle w:val="41"/>
        <w:ind w:left="720" w:hanging="720"/>
        <w:rPr>
          <w:rFonts w:ascii="Times New Roman" w:hAnsi="Times New Roman" w:cs="Times New Roman"/>
          <w:sz w:val="24"/>
          <w:szCs w:val="24"/>
        </w:rPr>
      </w:pPr>
      <w:r>
        <w:rPr>
          <w:rFonts w:ascii="Times New Roman" w:hAnsi="Times New Roman" w:cs="Times New Roman"/>
          <w:sz w:val="24"/>
          <w:szCs w:val="24"/>
        </w:rPr>
        <w:t>Rehman, I.U., Ishaq, M., Ali, L., Khan, S., Ahmad, I., Din, I.U., et al. (2018). Enrichment, spatial distribution of potential ecological and human health risk assessment via toxic metals in soil and surface water ingestion in the vicinity of Sewakht mines, district Chitral, Northern Pakistan. Ecotoxicol Environ Saf, 154, 127-136, doi:10.1016/j.ecoenv.2018.02.033.</w:t>
      </w:r>
    </w:p>
    <w:p>
      <w:pPr>
        <w:pStyle w:val="41"/>
        <w:ind w:left="720" w:hanging="720"/>
        <w:rPr>
          <w:rFonts w:ascii="Times New Roman" w:hAnsi="Times New Roman" w:cs="Times New Roman"/>
          <w:sz w:val="24"/>
          <w:szCs w:val="24"/>
        </w:rPr>
      </w:pPr>
      <w:r>
        <w:rPr>
          <w:rFonts w:ascii="Times New Roman" w:hAnsi="Times New Roman" w:cs="Times New Roman"/>
          <w:sz w:val="24"/>
          <w:szCs w:val="24"/>
        </w:rPr>
        <w:t>Sharifinia, M., Taherizadeh, M., Namin, J.I., &amp; Kamrani, E. (2018). Ecological risk assessment of trace metals in the surface sediments of the Persian Gulf and Gulf of Oman: Evidence from subtropical estuaries of the Iranian coastal waters. Chemosphere, 191, 485-493, doi:10.1016/j.chemosphere.2017.10.077.</w:t>
      </w:r>
    </w:p>
    <w:p>
      <w:pPr>
        <w:pStyle w:val="41"/>
        <w:ind w:left="720" w:hanging="720"/>
        <w:rPr>
          <w:rFonts w:ascii="Times New Roman" w:hAnsi="Times New Roman" w:cs="Times New Roman"/>
          <w:sz w:val="24"/>
          <w:szCs w:val="24"/>
        </w:rPr>
      </w:pPr>
      <w:r>
        <w:rPr>
          <w:rFonts w:ascii="Times New Roman" w:hAnsi="Times New Roman" w:cs="Times New Roman"/>
          <w:sz w:val="24"/>
          <w:szCs w:val="24"/>
        </w:rPr>
        <w:t>Shi, H., Wang, J., Yuan, J., Tan, X., Wang, X., Chen, C., et al. (2020). Biomonitoring human urinary levels of 26 metal elements in multi-race coexistence region of Xinjiang, China. Sci Total Environ, 711, 134752, doi:10.1016/j.scitotenv.2019.134752.</w:t>
      </w:r>
    </w:p>
    <w:p>
      <w:pPr>
        <w:pStyle w:val="41"/>
        <w:ind w:left="720" w:hanging="720"/>
        <w:rPr>
          <w:rFonts w:ascii="Times New Roman" w:hAnsi="Times New Roman" w:cs="Times New Roman"/>
          <w:sz w:val="24"/>
          <w:szCs w:val="24"/>
        </w:rPr>
      </w:pPr>
      <w:r>
        <w:rPr>
          <w:rFonts w:hint="eastAsia" w:ascii="Times New Roman" w:hAnsi="Times New Roman" w:cs="Times New Roman"/>
          <w:sz w:val="24"/>
          <w:szCs w:val="24"/>
        </w:rPr>
        <w:t>USEPA, 1989. Risk Assessment Guidance for Superfund Volume I: Human Health Evaluation Manual (Part A). U.S. Environment Protection Agency (Washington DC).</w:t>
      </w:r>
    </w:p>
    <w:p>
      <w:pPr>
        <w:pStyle w:val="41"/>
        <w:ind w:left="720" w:hanging="720"/>
        <w:rPr>
          <w:rFonts w:ascii="Times New Roman" w:hAnsi="Times New Roman" w:cs="Times New Roman"/>
          <w:sz w:val="24"/>
          <w:szCs w:val="24"/>
        </w:rPr>
      </w:pPr>
      <w:r>
        <w:rPr>
          <w:rFonts w:hint="eastAsia" w:ascii="Times New Roman" w:hAnsi="Times New Roman" w:cs="Times New Roman"/>
          <w:sz w:val="24"/>
          <w:szCs w:val="24"/>
        </w:rPr>
        <w:t>USEPA, 2009. Risk Assessment Guidance for Superfund (RAGS). U.S. Environment Protection Agency (Washington DC).</w:t>
      </w:r>
    </w:p>
    <w:p>
      <w:pPr>
        <w:pStyle w:val="41"/>
        <w:ind w:left="720" w:hanging="720"/>
        <w:rPr>
          <w:rFonts w:ascii="Times New Roman" w:hAnsi="Times New Roman" w:cs="Times New Roman"/>
          <w:sz w:val="24"/>
          <w:szCs w:val="24"/>
        </w:rPr>
      </w:pPr>
      <w:r>
        <w:rPr>
          <w:rFonts w:hint="eastAsia" w:ascii="Times New Roman" w:hAnsi="Times New Roman" w:cs="Times New Roman"/>
          <w:sz w:val="24"/>
          <w:szCs w:val="24"/>
        </w:rPr>
        <w:t>USEPA, 2011. Exposure Factors Handbook, Final ed. U.S. Environment Protection Agency (Washington DC).</w:t>
      </w:r>
    </w:p>
    <w:p>
      <w:pPr>
        <w:pStyle w:val="41"/>
        <w:ind w:left="720" w:hanging="720"/>
        <w:rPr>
          <w:rFonts w:ascii="Times New Roman" w:hAnsi="Times New Roman" w:cs="Times New Roman"/>
          <w:sz w:val="24"/>
          <w:szCs w:val="24"/>
        </w:rPr>
      </w:pPr>
      <w:r>
        <w:rPr>
          <w:rFonts w:ascii="Times New Roman" w:hAnsi="Times New Roman" w:cs="Times New Roman"/>
          <w:sz w:val="24"/>
          <w:szCs w:val="24"/>
        </w:rPr>
        <w:t>Wu, S., Peng, S., Zhang, X., Wu, D., Luo, W., Zhang, T., et al. (2015). Levels and health risk assessments of heavy metals in urban soils in Dongguan, China. Journal of Geochemical Exploration, 148, 71-78, doi:10.1016/j.gexplo.2014.08.009.</w:t>
      </w:r>
    </w:p>
    <w:p>
      <w:pPr>
        <w:pStyle w:val="41"/>
        <w:ind w:left="720" w:hanging="720"/>
        <w:rPr>
          <w:rFonts w:ascii="Times New Roman" w:hAnsi="Times New Roman" w:cs="Times New Roman"/>
          <w:sz w:val="24"/>
          <w:szCs w:val="24"/>
        </w:rPr>
      </w:pPr>
      <w:r>
        <w:rPr>
          <w:rFonts w:ascii="Times New Roman" w:hAnsi="Times New Roman" w:cs="Times New Roman"/>
          <w:sz w:val="24"/>
          <w:szCs w:val="24"/>
        </w:rPr>
        <w:t>Xiao, X., Zhang, J., Wang, H., Han, X., Ma, J., Ma, Y., et al. (2020). Distribution and health risk assessment of potentially toxic elements in soils around coal industrial areas: A global meta-analysis. Science of the Total Environment, 713, doi:10.1016/j.scitotenv.2019.135292.</w:t>
      </w:r>
    </w:p>
    <w:p>
      <w:pPr>
        <w:pStyle w:val="41"/>
        <w:ind w:left="720" w:hanging="720"/>
        <w:rPr>
          <w:rFonts w:ascii="Times New Roman" w:hAnsi="Times New Roman" w:cs="Times New Roman"/>
          <w:sz w:val="24"/>
          <w:szCs w:val="24"/>
        </w:rPr>
      </w:pPr>
      <w:r>
        <w:rPr>
          <w:rFonts w:ascii="Times New Roman" w:hAnsi="Times New Roman" w:cs="Times New Roman"/>
          <w:sz w:val="24"/>
          <w:szCs w:val="24"/>
        </w:rPr>
        <w:t>Xiaoqing Kan, Y.D., Lu Feng, Min Zhou, Haobo Hou, . (2021). Contamination and health risk assessment of heavy metals in China’s leadezinc mine tailings: A metaeanalysis. Chemosphere, 267.</w:t>
      </w:r>
    </w:p>
    <w:p>
      <w:pPr>
        <w:pStyle w:val="41"/>
        <w:ind w:left="720" w:hanging="720"/>
        <w:rPr>
          <w:rFonts w:ascii="Times New Roman" w:hAnsi="Times New Roman" w:cs="Times New Roman"/>
          <w:sz w:val="24"/>
          <w:szCs w:val="24"/>
        </w:rPr>
      </w:pPr>
      <w:r>
        <w:rPr>
          <w:rFonts w:ascii="Times New Roman" w:hAnsi="Times New Roman" w:cs="Times New Roman"/>
          <w:sz w:val="24"/>
          <w:szCs w:val="24"/>
        </w:rPr>
        <w:t>Zhang, Y., O'Connor, D., Xu, W., &amp; Hou, D. (2020). Blood lead levels among Chinese children: The shifting influence of industry, traffic, and e-waste over three decades. Environ Int, 135, 105379, doi:10.1016/j.envint.2019.105379.</w:t>
      </w:r>
    </w:p>
    <w:p>
      <w:pPr>
        <w:pStyle w:val="41"/>
        <w:ind w:left="720" w:hanging="720"/>
        <w:rPr>
          <w:rFonts w:ascii="Times New Roman" w:hAnsi="Times New Roman" w:eastAsia="宋体" w:cs="Times New Roman"/>
          <w:sz w:val="24"/>
          <w:szCs w:val="24"/>
        </w:rPr>
      </w:pPr>
      <w:r>
        <w:rPr>
          <w:rFonts w:ascii="Times New Roman" w:hAnsi="Times New Roman" w:cs="Times New Roman"/>
          <w:sz w:val="24"/>
          <w:szCs w:val="24"/>
        </w:rPr>
        <w:fldChar w:fldCharType="end"/>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4ZjQwMTM0MmY5ODg1YTAxMTNjOTk3OWE0NzMxMjcifQ=="/>
    <w:docVar w:name="EN.InstantFormat" w:val="&lt;ENInstantFormat&gt;&lt;Enabled&gt;1&lt;/Enabled&gt;&lt;ScanUnformatted&gt;1&lt;/ScanUnformatted&gt;&lt;ScanChanges&gt;1&lt;/ScanChanges&gt;&lt;Suspended&gt;0&lt;/Suspended&gt;&lt;/ENInstantFormat&gt;"/>
    <w:docVar w:name="EN.Layout" w:val="&lt;ENLayout&gt;&lt;Style&gt;Child Adolescent Social Work&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9rsf9t4052rsezxelvsv2z5efxzzf5r95r&quot;&gt;My EndNote Library&lt;record-ids&gt;&lt;item&gt;282&lt;/item&gt;&lt;item&gt;475&lt;/item&gt;&lt;item&gt;476&lt;/item&gt;&lt;item&gt;516&lt;/item&gt;&lt;item&gt;518&lt;/item&gt;&lt;item&gt;526&lt;/item&gt;&lt;item&gt;533&lt;/item&gt;&lt;item&gt;550&lt;/item&gt;&lt;item&gt;551&lt;/item&gt;&lt;item&gt;552&lt;/item&gt;&lt;item&gt;553&lt;/item&gt;&lt;item&gt;554&lt;/item&gt;&lt;/record-ids&gt;&lt;/item&gt;&lt;/Libraries&gt;"/>
  </w:docVars>
  <w:rsids>
    <w:rsidRoot w:val="00171281"/>
    <w:rsid w:val="000010E6"/>
    <w:rsid w:val="00002D19"/>
    <w:rsid w:val="00004587"/>
    <w:rsid w:val="00004730"/>
    <w:rsid w:val="00004967"/>
    <w:rsid w:val="000049B4"/>
    <w:rsid w:val="00004EEC"/>
    <w:rsid w:val="00007428"/>
    <w:rsid w:val="00012118"/>
    <w:rsid w:val="00012894"/>
    <w:rsid w:val="0001578C"/>
    <w:rsid w:val="00020195"/>
    <w:rsid w:val="000201F1"/>
    <w:rsid w:val="00022C74"/>
    <w:rsid w:val="00022DAB"/>
    <w:rsid w:val="00024A8E"/>
    <w:rsid w:val="00026F0C"/>
    <w:rsid w:val="000311E9"/>
    <w:rsid w:val="00031962"/>
    <w:rsid w:val="00032810"/>
    <w:rsid w:val="00034DAE"/>
    <w:rsid w:val="00037D98"/>
    <w:rsid w:val="00042548"/>
    <w:rsid w:val="00043D12"/>
    <w:rsid w:val="00044479"/>
    <w:rsid w:val="00044BD1"/>
    <w:rsid w:val="00045394"/>
    <w:rsid w:val="000469A9"/>
    <w:rsid w:val="000507CF"/>
    <w:rsid w:val="00053B01"/>
    <w:rsid w:val="000548EE"/>
    <w:rsid w:val="00054A91"/>
    <w:rsid w:val="0005597B"/>
    <w:rsid w:val="00055F3B"/>
    <w:rsid w:val="00056664"/>
    <w:rsid w:val="00056B5B"/>
    <w:rsid w:val="00056E13"/>
    <w:rsid w:val="00056E1F"/>
    <w:rsid w:val="00060BC4"/>
    <w:rsid w:val="0006194E"/>
    <w:rsid w:val="00063ED1"/>
    <w:rsid w:val="00066565"/>
    <w:rsid w:val="00067258"/>
    <w:rsid w:val="00067C62"/>
    <w:rsid w:val="00067F11"/>
    <w:rsid w:val="00070278"/>
    <w:rsid w:val="00070FC0"/>
    <w:rsid w:val="0007577F"/>
    <w:rsid w:val="000767AD"/>
    <w:rsid w:val="000770A1"/>
    <w:rsid w:val="000779CB"/>
    <w:rsid w:val="000819FD"/>
    <w:rsid w:val="0008481C"/>
    <w:rsid w:val="00090283"/>
    <w:rsid w:val="000910BF"/>
    <w:rsid w:val="00091DFA"/>
    <w:rsid w:val="0009384F"/>
    <w:rsid w:val="000957A7"/>
    <w:rsid w:val="00097B95"/>
    <w:rsid w:val="000A16D7"/>
    <w:rsid w:val="000A17CF"/>
    <w:rsid w:val="000A2A02"/>
    <w:rsid w:val="000A3594"/>
    <w:rsid w:val="000A5D2E"/>
    <w:rsid w:val="000A782E"/>
    <w:rsid w:val="000B0BF5"/>
    <w:rsid w:val="000B1236"/>
    <w:rsid w:val="000B424D"/>
    <w:rsid w:val="000B523B"/>
    <w:rsid w:val="000B6400"/>
    <w:rsid w:val="000B697A"/>
    <w:rsid w:val="000C085E"/>
    <w:rsid w:val="000C18DC"/>
    <w:rsid w:val="000C26F9"/>
    <w:rsid w:val="000C2D0D"/>
    <w:rsid w:val="000C2D93"/>
    <w:rsid w:val="000C2F0C"/>
    <w:rsid w:val="000C45CF"/>
    <w:rsid w:val="000C4612"/>
    <w:rsid w:val="000C4D08"/>
    <w:rsid w:val="000C6958"/>
    <w:rsid w:val="000C7BA5"/>
    <w:rsid w:val="000D1555"/>
    <w:rsid w:val="000D27CD"/>
    <w:rsid w:val="000D2CBF"/>
    <w:rsid w:val="000D35B3"/>
    <w:rsid w:val="000D3717"/>
    <w:rsid w:val="000D37FE"/>
    <w:rsid w:val="000D4665"/>
    <w:rsid w:val="000D644E"/>
    <w:rsid w:val="000D6D61"/>
    <w:rsid w:val="000D756F"/>
    <w:rsid w:val="000D77B8"/>
    <w:rsid w:val="000E016C"/>
    <w:rsid w:val="000E0FB9"/>
    <w:rsid w:val="000E1D9F"/>
    <w:rsid w:val="000E3640"/>
    <w:rsid w:val="000E4A86"/>
    <w:rsid w:val="000E646A"/>
    <w:rsid w:val="000E79DD"/>
    <w:rsid w:val="000F0F58"/>
    <w:rsid w:val="000F2AFB"/>
    <w:rsid w:val="000F4A1F"/>
    <w:rsid w:val="00102007"/>
    <w:rsid w:val="001038BF"/>
    <w:rsid w:val="0010498A"/>
    <w:rsid w:val="00106050"/>
    <w:rsid w:val="00107310"/>
    <w:rsid w:val="00110668"/>
    <w:rsid w:val="00110AAE"/>
    <w:rsid w:val="00110B07"/>
    <w:rsid w:val="00110C44"/>
    <w:rsid w:val="00111375"/>
    <w:rsid w:val="00112263"/>
    <w:rsid w:val="00115692"/>
    <w:rsid w:val="00115CBB"/>
    <w:rsid w:val="001169FF"/>
    <w:rsid w:val="00116AF3"/>
    <w:rsid w:val="00120732"/>
    <w:rsid w:val="001212A8"/>
    <w:rsid w:val="0012234B"/>
    <w:rsid w:val="00122EFC"/>
    <w:rsid w:val="001249A9"/>
    <w:rsid w:val="001341BA"/>
    <w:rsid w:val="00135BC7"/>
    <w:rsid w:val="00136F39"/>
    <w:rsid w:val="001419BA"/>
    <w:rsid w:val="001424B8"/>
    <w:rsid w:val="00145E93"/>
    <w:rsid w:val="00145F05"/>
    <w:rsid w:val="00150805"/>
    <w:rsid w:val="001509B8"/>
    <w:rsid w:val="00151092"/>
    <w:rsid w:val="00151719"/>
    <w:rsid w:val="001525BA"/>
    <w:rsid w:val="00152BF2"/>
    <w:rsid w:val="00153846"/>
    <w:rsid w:val="00153BE8"/>
    <w:rsid w:val="00155B69"/>
    <w:rsid w:val="001576B8"/>
    <w:rsid w:val="001579D3"/>
    <w:rsid w:val="0016188F"/>
    <w:rsid w:val="00164614"/>
    <w:rsid w:val="0016613D"/>
    <w:rsid w:val="00166C65"/>
    <w:rsid w:val="00166D8F"/>
    <w:rsid w:val="00166E51"/>
    <w:rsid w:val="00170812"/>
    <w:rsid w:val="00171281"/>
    <w:rsid w:val="001728ED"/>
    <w:rsid w:val="001746D8"/>
    <w:rsid w:val="00174B10"/>
    <w:rsid w:val="00177292"/>
    <w:rsid w:val="0018039D"/>
    <w:rsid w:val="00180F19"/>
    <w:rsid w:val="001821A6"/>
    <w:rsid w:val="00182A50"/>
    <w:rsid w:val="00183D34"/>
    <w:rsid w:val="00183E95"/>
    <w:rsid w:val="00184A96"/>
    <w:rsid w:val="00187AFA"/>
    <w:rsid w:val="00187F7D"/>
    <w:rsid w:val="00190B87"/>
    <w:rsid w:val="00191E8B"/>
    <w:rsid w:val="00192E52"/>
    <w:rsid w:val="001963AE"/>
    <w:rsid w:val="00196CAD"/>
    <w:rsid w:val="00197338"/>
    <w:rsid w:val="00197F58"/>
    <w:rsid w:val="001A14E4"/>
    <w:rsid w:val="001A2413"/>
    <w:rsid w:val="001A32B1"/>
    <w:rsid w:val="001A3990"/>
    <w:rsid w:val="001A3AE4"/>
    <w:rsid w:val="001A4015"/>
    <w:rsid w:val="001A426A"/>
    <w:rsid w:val="001A529B"/>
    <w:rsid w:val="001A60AC"/>
    <w:rsid w:val="001A735C"/>
    <w:rsid w:val="001B00EF"/>
    <w:rsid w:val="001B04D3"/>
    <w:rsid w:val="001B38E4"/>
    <w:rsid w:val="001B58A8"/>
    <w:rsid w:val="001B796B"/>
    <w:rsid w:val="001C0C24"/>
    <w:rsid w:val="001C21DA"/>
    <w:rsid w:val="001C24E7"/>
    <w:rsid w:val="001C499A"/>
    <w:rsid w:val="001C6526"/>
    <w:rsid w:val="001D0068"/>
    <w:rsid w:val="001D09F2"/>
    <w:rsid w:val="001D32D4"/>
    <w:rsid w:val="001D3A32"/>
    <w:rsid w:val="001D71C7"/>
    <w:rsid w:val="001E24C7"/>
    <w:rsid w:val="001E2F6B"/>
    <w:rsid w:val="001E461D"/>
    <w:rsid w:val="001E6657"/>
    <w:rsid w:val="001E6B60"/>
    <w:rsid w:val="001F0C0E"/>
    <w:rsid w:val="001F0F0C"/>
    <w:rsid w:val="001F346F"/>
    <w:rsid w:val="001F45BE"/>
    <w:rsid w:val="001F5796"/>
    <w:rsid w:val="001F59E2"/>
    <w:rsid w:val="0020101D"/>
    <w:rsid w:val="00202204"/>
    <w:rsid w:val="00202AFA"/>
    <w:rsid w:val="0020371C"/>
    <w:rsid w:val="00204F1C"/>
    <w:rsid w:val="00206F54"/>
    <w:rsid w:val="00210B03"/>
    <w:rsid w:val="0021267E"/>
    <w:rsid w:val="00212A94"/>
    <w:rsid w:val="00212D6E"/>
    <w:rsid w:val="002134B3"/>
    <w:rsid w:val="002146BB"/>
    <w:rsid w:val="00216364"/>
    <w:rsid w:val="00217FB5"/>
    <w:rsid w:val="002225CB"/>
    <w:rsid w:val="00223557"/>
    <w:rsid w:val="0022403D"/>
    <w:rsid w:val="00225D71"/>
    <w:rsid w:val="00226435"/>
    <w:rsid w:val="002264CF"/>
    <w:rsid w:val="002319C0"/>
    <w:rsid w:val="00232C64"/>
    <w:rsid w:val="002338BA"/>
    <w:rsid w:val="00233BCC"/>
    <w:rsid w:val="002343AB"/>
    <w:rsid w:val="00235E20"/>
    <w:rsid w:val="0023605D"/>
    <w:rsid w:val="0023797C"/>
    <w:rsid w:val="002406B7"/>
    <w:rsid w:val="002417E5"/>
    <w:rsid w:val="002432EC"/>
    <w:rsid w:val="002438E4"/>
    <w:rsid w:val="00243D86"/>
    <w:rsid w:val="00244A2C"/>
    <w:rsid w:val="00246101"/>
    <w:rsid w:val="00250007"/>
    <w:rsid w:val="0025169C"/>
    <w:rsid w:val="0025182F"/>
    <w:rsid w:val="0025251F"/>
    <w:rsid w:val="00252766"/>
    <w:rsid w:val="00254DC4"/>
    <w:rsid w:val="0025715E"/>
    <w:rsid w:val="00257E2D"/>
    <w:rsid w:val="00257FF5"/>
    <w:rsid w:val="002609EA"/>
    <w:rsid w:val="00261A12"/>
    <w:rsid w:val="00261C7E"/>
    <w:rsid w:val="00261D56"/>
    <w:rsid w:val="002633F1"/>
    <w:rsid w:val="0026353F"/>
    <w:rsid w:val="00264A47"/>
    <w:rsid w:val="00264BB8"/>
    <w:rsid w:val="00264D19"/>
    <w:rsid w:val="00265155"/>
    <w:rsid w:val="002652BB"/>
    <w:rsid w:val="002669A2"/>
    <w:rsid w:val="00271970"/>
    <w:rsid w:val="002722B9"/>
    <w:rsid w:val="0027309F"/>
    <w:rsid w:val="0027554E"/>
    <w:rsid w:val="00276020"/>
    <w:rsid w:val="002834CE"/>
    <w:rsid w:val="002842FB"/>
    <w:rsid w:val="00284A7B"/>
    <w:rsid w:val="00284CBE"/>
    <w:rsid w:val="0028616D"/>
    <w:rsid w:val="00286640"/>
    <w:rsid w:val="00287493"/>
    <w:rsid w:val="002875A5"/>
    <w:rsid w:val="00290287"/>
    <w:rsid w:val="0029038E"/>
    <w:rsid w:val="0029202F"/>
    <w:rsid w:val="00292402"/>
    <w:rsid w:val="00292B4A"/>
    <w:rsid w:val="00293135"/>
    <w:rsid w:val="002938C8"/>
    <w:rsid w:val="0029561B"/>
    <w:rsid w:val="00295983"/>
    <w:rsid w:val="002977E0"/>
    <w:rsid w:val="002A18B4"/>
    <w:rsid w:val="002A20C3"/>
    <w:rsid w:val="002A20D2"/>
    <w:rsid w:val="002A226B"/>
    <w:rsid w:val="002A2C39"/>
    <w:rsid w:val="002A2C5E"/>
    <w:rsid w:val="002A3224"/>
    <w:rsid w:val="002A4A00"/>
    <w:rsid w:val="002A6FC0"/>
    <w:rsid w:val="002A71C2"/>
    <w:rsid w:val="002A72AE"/>
    <w:rsid w:val="002B08C2"/>
    <w:rsid w:val="002B1269"/>
    <w:rsid w:val="002B1B47"/>
    <w:rsid w:val="002B278E"/>
    <w:rsid w:val="002B3B08"/>
    <w:rsid w:val="002B5094"/>
    <w:rsid w:val="002B5614"/>
    <w:rsid w:val="002B6620"/>
    <w:rsid w:val="002B76BD"/>
    <w:rsid w:val="002B7CB3"/>
    <w:rsid w:val="002C19F6"/>
    <w:rsid w:val="002C1D24"/>
    <w:rsid w:val="002C1D85"/>
    <w:rsid w:val="002C2B7E"/>
    <w:rsid w:val="002C43EF"/>
    <w:rsid w:val="002C5B03"/>
    <w:rsid w:val="002C6659"/>
    <w:rsid w:val="002C7AE0"/>
    <w:rsid w:val="002D0BD3"/>
    <w:rsid w:val="002D18C4"/>
    <w:rsid w:val="002D3798"/>
    <w:rsid w:val="002D595C"/>
    <w:rsid w:val="002D5FB6"/>
    <w:rsid w:val="002D6D3E"/>
    <w:rsid w:val="002E00D1"/>
    <w:rsid w:val="002E0719"/>
    <w:rsid w:val="002E1EF4"/>
    <w:rsid w:val="002E5128"/>
    <w:rsid w:val="002E58EC"/>
    <w:rsid w:val="002E7549"/>
    <w:rsid w:val="002F019F"/>
    <w:rsid w:val="002F06B6"/>
    <w:rsid w:val="002F182A"/>
    <w:rsid w:val="002F2993"/>
    <w:rsid w:val="002F3F9D"/>
    <w:rsid w:val="002F4645"/>
    <w:rsid w:val="002F4D04"/>
    <w:rsid w:val="003023C9"/>
    <w:rsid w:val="00304CA6"/>
    <w:rsid w:val="00305324"/>
    <w:rsid w:val="0030559F"/>
    <w:rsid w:val="00306D94"/>
    <w:rsid w:val="003070C7"/>
    <w:rsid w:val="00312BA3"/>
    <w:rsid w:val="00313225"/>
    <w:rsid w:val="003153D2"/>
    <w:rsid w:val="00317F92"/>
    <w:rsid w:val="0032054E"/>
    <w:rsid w:val="00320AC9"/>
    <w:rsid w:val="00321DAD"/>
    <w:rsid w:val="00322949"/>
    <w:rsid w:val="00322E4A"/>
    <w:rsid w:val="003249D6"/>
    <w:rsid w:val="0032568D"/>
    <w:rsid w:val="0033003A"/>
    <w:rsid w:val="00330145"/>
    <w:rsid w:val="003317AD"/>
    <w:rsid w:val="00332DF2"/>
    <w:rsid w:val="0033496F"/>
    <w:rsid w:val="00334C1A"/>
    <w:rsid w:val="0033688B"/>
    <w:rsid w:val="00340DE2"/>
    <w:rsid w:val="00344B1F"/>
    <w:rsid w:val="0034557D"/>
    <w:rsid w:val="0034671D"/>
    <w:rsid w:val="0034713C"/>
    <w:rsid w:val="00347315"/>
    <w:rsid w:val="00347985"/>
    <w:rsid w:val="003510AA"/>
    <w:rsid w:val="003512E9"/>
    <w:rsid w:val="00353235"/>
    <w:rsid w:val="00353922"/>
    <w:rsid w:val="00355092"/>
    <w:rsid w:val="003552AE"/>
    <w:rsid w:val="00357124"/>
    <w:rsid w:val="00362DBD"/>
    <w:rsid w:val="00363F40"/>
    <w:rsid w:val="003647D7"/>
    <w:rsid w:val="00364F87"/>
    <w:rsid w:val="00365C02"/>
    <w:rsid w:val="00367003"/>
    <w:rsid w:val="003707F3"/>
    <w:rsid w:val="00371CD4"/>
    <w:rsid w:val="003752B8"/>
    <w:rsid w:val="00376222"/>
    <w:rsid w:val="00376C34"/>
    <w:rsid w:val="00376DFD"/>
    <w:rsid w:val="00377886"/>
    <w:rsid w:val="00377D6F"/>
    <w:rsid w:val="003819B8"/>
    <w:rsid w:val="003863A6"/>
    <w:rsid w:val="003870A9"/>
    <w:rsid w:val="00387148"/>
    <w:rsid w:val="003878A6"/>
    <w:rsid w:val="003879C3"/>
    <w:rsid w:val="00387ED2"/>
    <w:rsid w:val="00390CCD"/>
    <w:rsid w:val="0039251B"/>
    <w:rsid w:val="00394343"/>
    <w:rsid w:val="00397479"/>
    <w:rsid w:val="003A2126"/>
    <w:rsid w:val="003A4CAF"/>
    <w:rsid w:val="003A77F0"/>
    <w:rsid w:val="003B000E"/>
    <w:rsid w:val="003B0865"/>
    <w:rsid w:val="003B09B4"/>
    <w:rsid w:val="003B4821"/>
    <w:rsid w:val="003B4AF2"/>
    <w:rsid w:val="003B5205"/>
    <w:rsid w:val="003B55DD"/>
    <w:rsid w:val="003B5C53"/>
    <w:rsid w:val="003B6360"/>
    <w:rsid w:val="003B7CFC"/>
    <w:rsid w:val="003B7D0D"/>
    <w:rsid w:val="003C2D13"/>
    <w:rsid w:val="003C2F0B"/>
    <w:rsid w:val="003C30B0"/>
    <w:rsid w:val="003C5962"/>
    <w:rsid w:val="003C5C05"/>
    <w:rsid w:val="003C706F"/>
    <w:rsid w:val="003C7779"/>
    <w:rsid w:val="003C7A45"/>
    <w:rsid w:val="003D0A98"/>
    <w:rsid w:val="003D1559"/>
    <w:rsid w:val="003D19C9"/>
    <w:rsid w:val="003D3001"/>
    <w:rsid w:val="003D4AE5"/>
    <w:rsid w:val="003D4CB7"/>
    <w:rsid w:val="003D592C"/>
    <w:rsid w:val="003D6570"/>
    <w:rsid w:val="003E00E1"/>
    <w:rsid w:val="003E20AA"/>
    <w:rsid w:val="003E35A5"/>
    <w:rsid w:val="003E7156"/>
    <w:rsid w:val="003F0422"/>
    <w:rsid w:val="003F0ED0"/>
    <w:rsid w:val="003F3231"/>
    <w:rsid w:val="003F3731"/>
    <w:rsid w:val="003F476C"/>
    <w:rsid w:val="003F4F6A"/>
    <w:rsid w:val="003F5769"/>
    <w:rsid w:val="003F660E"/>
    <w:rsid w:val="003F6982"/>
    <w:rsid w:val="00400210"/>
    <w:rsid w:val="00403172"/>
    <w:rsid w:val="00405617"/>
    <w:rsid w:val="0040637C"/>
    <w:rsid w:val="004067A4"/>
    <w:rsid w:val="00407838"/>
    <w:rsid w:val="00411FD9"/>
    <w:rsid w:val="00411FE0"/>
    <w:rsid w:val="00413A76"/>
    <w:rsid w:val="00415094"/>
    <w:rsid w:val="00415939"/>
    <w:rsid w:val="004161D4"/>
    <w:rsid w:val="00416DB3"/>
    <w:rsid w:val="00417233"/>
    <w:rsid w:val="0041759B"/>
    <w:rsid w:val="00420E2A"/>
    <w:rsid w:val="00420E62"/>
    <w:rsid w:val="00421876"/>
    <w:rsid w:val="00422110"/>
    <w:rsid w:val="00423D99"/>
    <w:rsid w:val="00425612"/>
    <w:rsid w:val="0042587E"/>
    <w:rsid w:val="0042636E"/>
    <w:rsid w:val="00426619"/>
    <w:rsid w:val="00426A46"/>
    <w:rsid w:val="00427529"/>
    <w:rsid w:val="004305CF"/>
    <w:rsid w:val="00431B54"/>
    <w:rsid w:val="004321DF"/>
    <w:rsid w:val="004333AD"/>
    <w:rsid w:val="00433F23"/>
    <w:rsid w:val="00434A41"/>
    <w:rsid w:val="00435050"/>
    <w:rsid w:val="004353CC"/>
    <w:rsid w:val="00436783"/>
    <w:rsid w:val="00436F08"/>
    <w:rsid w:val="004418C9"/>
    <w:rsid w:val="00442B0F"/>
    <w:rsid w:val="0044384A"/>
    <w:rsid w:val="004440BB"/>
    <w:rsid w:val="00445532"/>
    <w:rsid w:val="00445B81"/>
    <w:rsid w:val="00445EE5"/>
    <w:rsid w:val="00445FB9"/>
    <w:rsid w:val="00447DBB"/>
    <w:rsid w:val="00454ED9"/>
    <w:rsid w:val="00455BE7"/>
    <w:rsid w:val="004605A6"/>
    <w:rsid w:val="00460C1C"/>
    <w:rsid w:val="00460CEC"/>
    <w:rsid w:val="00461213"/>
    <w:rsid w:val="00461EB6"/>
    <w:rsid w:val="004635ED"/>
    <w:rsid w:val="00463EE0"/>
    <w:rsid w:val="00463F6A"/>
    <w:rsid w:val="00465EDE"/>
    <w:rsid w:val="0047029A"/>
    <w:rsid w:val="00470C40"/>
    <w:rsid w:val="00471DDC"/>
    <w:rsid w:val="004739B6"/>
    <w:rsid w:val="00474CB1"/>
    <w:rsid w:val="0047672E"/>
    <w:rsid w:val="00482063"/>
    <w:rsid w:val="00482EE4"/>
    <w:rsid w:val="00484FF9"/>
    <w:rsid w:val="00485698"/>
    <w:rsid w:val="00485781"/>
    <w:rsid w:val="004873A6"/>
    <w:rsid w:val="00487A2A"/>
    <w:rsid w:val="00491732"/>
    <w:rsid w:val="00492D9C"/>
    <w:rsid w:val="00495F1A"/>
    <w:rsid w:val="004A1241"/>
    <w:rsid w:val="004A130A"/>
    <w:rsid w:val="004A1B74"/>
    <w:rsid w:val="004A3B92"/>
    <w:rsid w:val="004A445C"/>
    <w:rsid w:val="004A4B58"/>
    <w:rsid w:val="004A6231"/>
    <w:rsid w:val="004A681C"/>
    <w:rsid w:val="004A696C"/>
    <w:rsid w:val="004A7775"/>
    <w:rsid w:val="004B13F1"/>
    <w:rsid w:val="004B218E"/>
    <w:rsid w:val="004B27A9"/>
    <w:rsid w:val="004B3309"/>
    <w:rsid w:val="004B77FE"/>
    <w:rsid w:val="004B7B45"/>
    <w:rsid w:val="004C7D46"/>
    <w:rsid w:val="004D0FEE"/>
    <w:rsid w:val="004D1E47"/>
    <w:rsid w:val="004D1EBF"/>
    <w:rsid w:val="004D2964"/>
    <w:rsid w:val="004D3092"/>
    <w:rsid w:val="004D4D50"/>
    <w:rsid w:val="004D53D0"/>
    <w:rsid w:val="004D564C"/>
    <w:rsid w:val="004E1750"/>
    <w:rsid w:val="004E2BD2"/>
    <w:rsid w:val="004E47FB"/>
    <w:rsid w:val="004E54E2"/>
    <w:rsid w:val="004F00D4"/>
    <w:rsid w:val="004F0AD3"/>
    <w:rsid w:val="004F0B34"/>
    <w:rsid w:val="004F0CB8"/>
    <w:rsid w:val="004F37DC"/>
    <w:rsid w:val="004F7085"/>
    <w:rsid w:val="004F718A"/>
    <w:rsid w:val="00500A71"/>
    <w:rsid w:val="00501D0C"/>
    <w:rsid w:val="005020C7"/>
    <w:rsid w:val="005025EA"/>
    <w:rsid w:val="00502F54"/>
    <w:rsid w:val="00504100"/>
    <w:rsid w:val="00504D2E"/>
    <w:rsid w:val="005064A6"/>
    <w:rsid w:val="005071C9"/>
    <w:rsid w:val="00507E74"/>
    <w:rsid w:val="00510630"/>
    <w:rsid w:val="00511CF8"/>
    <w:rsid w:val="00511F80"/>
    <w:rsid w:val="005120C6"/>
    <w:rsid w:val="00512494"/>
    <w:rsid w:val="005124FC"/>
    <w:rsid w:val="00515681"/>
    <w:rsid w:val="00516619"/>
    <w:rsid w:val="00517ECE"/>
    <w:rsid w:val="0052155E"/>
    <w:rsid w:val="00525199"/>
    <w:rsid w:val="00525640"/>
    <w:rsid w:val="00527351"/>
    <w:rsid w:val="005312EB"/>
    <w:rsid w:val="005313E2"/>
    <w:rsid w:val="00532364"/>
    <w:rsid w:val="00534930"/>
    <w:rsid w:val="00534F47"/>
    <w:rsid w:val="0053646C"/>
    <w:rsid w:val="005403ED"/>
    <w:rsid w:val="0054090A"/>
    <w:rsid w:val="00542245"/>
    <w:rsid w:val="00542280"/>
    <w:rsid w:val="005430B7"/>
    <w:rsid w:val="0054377C"/>
    <w:rsid w:val="005444AD"/>
    <w:rsid w:val="005444C0"/>
    <w:rsid w:val="00546903"/>
    <w:rsid w:val="005507B5"/>
    <w:rsid w:val="00550E2B"/>
    <w:rsid w:val="00551AFA"/>
    <w:rsid w:val="005542A9"/>
    <w:rsid w:val="00555DFB"/>
    <w:rsid w:val="0055608D"/>
    <w:rsid w:val="00556F33"/>
    <w:rsid w:val="00557154"/>
    <w:rsid w:val="00560172"/>
    <w:rsid w:val="00563EBE"/>
    <w:rsid w:val="005644E4"/>
    <w:rsid w:val="0056699B"/>
    <w:rsid w:val="00567B61"/>
    <w:rsid w:val="00570867"/>
    <w:rsid w:val="00574501"/>
    <w:rsid w:val="00574D52"/>
    <w:rsid w:val="005770E2"/>
    <w:rsid w:val="005778DB"/>
    <w:rsid w:val="00581061"/>
    <w:rsid w:val="00581E82"/>
    <w:rsid w:val="005822D0"/>
    <w:rsid w:val="00582B92"/>
    <w:rsid w:val="005855E5"/>
    <w:rsid w:val="005863B7"/>
    <w:rsid w:val="00587A9C"/>
    <w:rsid w:val="00587C78"/>
    <w:rsid w:val="00587C81"/>
    <w:rsid w:val="00587D69"/>
    <w:rsid w:val="00590CF1"/>
    <w:rsid w:val="005914CF"/>
    <w:rsid w:val="00591D4B"/>
    <w:rsid w:val="005924E9"/>
    <w:rsid w:val="005925A9"/>
    <w:rsid w:val="005A189E"/>
    <w:rsid w:val="005A4FA2"/>
    <w:rsid w:val="005A5547"/>
    <w:rsid w:val="005A598E"/>
    <w:rsid w:val="005B28EA"/>
    <w:rsid w:val="005B2A8D"/>
    <w:rsid w:val="005B3131"/>
    <w:rsid w:val="005B40A4"/>
    <w:rsid w:val="005B48CC"/>
    <w:rsid w:val="005B50C6"/>
    <w:rsid w:val="005B644E"/>
    <w:rsid w:val="005B7FD6"/>
    <w:rsid w:val="005C2CFB"/>
    <w:rsid w:val="005C3933"/>
    <w:rsid w:val="005C3FF7"/>
    <w:rsid w:val="005C4050"/>
    <w:rsid w:val="005C6C3D"/>
    <w:rsid w:val="005C6EEF"/>
    <w:rsid w:val="005C782B"/>
    <w:rsid w:val="005D190D"/>
    <w:rsid w:val="005D279E"/>
    <w:rsid w:val="005D3528"/>
    <w:rsid w:val="005D36FF"/>
    <w:rsid w:val="005D4F5A"/>
    <w:rsid w:val="005D5961"/>
    <w:rsid w:val="005D5BC0"/>
    <w:rsid w:val="005D6CB7"/>
    <w:rsid w:val="005D7DCC"/>
    <w:rsid w:val="005E5117"/>
    <w:rsid w:val="005F7177"/>
    <w:rsid w:val="005F74FA"/>
    <w:rsid w:val="0060000E"/>
    <w:rsid w:val="00600484"/>
    <w:rsid w:val="006028DD"/>
    <w:rsid w:val="0060291C"/>
    <w:rsid w:val="00602EE8"/>
    <w:rsid w:val="00604F80"/>
    <w:rsid w:val="00605342"/>
    <w:rsid w:val="0060694A"/>
    <w:rsid w:val="0060743F"/>
    <w:rsid w:val="00607A9C"/>
    <w:rsid w:val="0061019F"/>
    <w:rsid w:val="0061115B"/>
    <w:rsid w:val="006135BD"/>
    <w:rsid w:val="0061412D"/>
    <w:rsid w:val="00620591"/>
    <w:rsid w:val="00620AC5"/>
    <w:rsid w:val="00620ED1"/>
    <w:rsid w:val="00621A24"/>
    <w:rsid w:val="0062412D"/>
    <w:rsid w:val="00625BB6"/>
    <w:rsid w:val="0062609B"/>
    <w:rsid w:val="00627FA8"/>
    <w:rsid w:val="00632EC5"/>
    <w:rsid w:val="0064028E"/>
    <w:rsid w:val="00641103"/>
    <w:rsid w:val="00641298"/>
    <w:rsid w:val="0064133D"/>
    <w:rsid w:val="00641F5A"/>
    <w:rsid w:val="006437A2"/>
    <w:rsid w:val="00644B59"/>
    <w:rsid w:val="00647A38"/>
    <w:rsid w:val="00647DF8"/>
    <w:rsid w:val="00651885"/>
    <w:rsid w:val="00652775"/>
    <w:rsid w:val="00653022"/>
    <w:rsid w:val="00656D4F"/>
    <w:rsid w:val="00657548"/>
    <w:rsid w:val="00657F41"/>
    <w:rsid w:val="00661208"/>
    <w:rsid w:val="006645A9"/>
    <w:rsid w:val="00664A1A"/>
    <w:rsid w:val="006660ED"/>
    <w:rsid w:val="00667F82"/>
    <w:rsid w:val="00670368"/>
    <w:rsid w:val="00670DBB"/>
    <w:rsid w:val="00671E94"/>
    <w:rsid w:val="00672044"/>
    <w:rsid w:val="006721E9"/>
    <w:rsid w:val="00672953"/>
    <w:rsid w:val="00673313"/>
    <w:rsid w:val="00675337"/>
    <w:rsid w:val="00680945"/>
    <w:rsid w:val="00681696"/>
    <w:rsid w:val="006819B2"/>
    <w:rsid w:val="00682841"/>
    <w:rsid w:val="006837BD"/>
    <w:rsid w:val="00685B66"/>
    <w:rsid w:val="006900F5"/>
    <w:rsid w:val="00692042"/>
    <w:rsid w:val="0069206D"/>
    <w:rsid w:val="00692FF7"/>
    <w:rsid w:val="006936DB"/>
    <w:rsid w:val="00694A1C"/>
    <w:rsid w:val="006967E1"/>
    <w:rsid w:val="00697714"/>
    <w:rsid w:val="006A028B"/>
    <w:rsid w:val="006A2C34"/>
    <w:rsid w:val="006A3E5F"/>
    <w:rsid w:val="006A4A26"/>
    <w:rsid w:val="006A5BCE"/>
    <w:rsid w:val="006A681D"/>
    <w:rsid w:val="006A7A85"/>
    <w:rsid w:val="006B1A94"/>
    <w:rsid w:val="006B1DE0"/>
    <w:rsid w:val="006B4990"/>
    <w:rsid w:val="006B5D5F"/>
    <w:rsid w:val="006B61FD"/>
    <w:rsid w:val="006B7D4C"/>
    <w:rsid w:val="006B7DA5"/>
    <w:rsid w:val="006C0075"/>
    <w:rsid w:val="006C0221"/>
    <w:rsid w:val="006C393B"/>
    <w:rsid w:val="006C5A86"/>
    <w:rsid w:val="006C7D6D"/>
    <w:rsid w:val="006D09BE"/>
    <w:rsid w:val="006D10ED"/>
    <w:rsid w:val="006D193E"/>
    <w:rsid w:val="006D19CF"/>
    <w:rsid w:val="006D2F79"/>
    <w:rsid w:val="006D3D58"/>
    <w:rsid w:val="006D6946"/>
    <w:rsid w:val="006D6C85"/>
    <w:rsid w:val="006D794B"/>
    <w:rsid w:val="006E0D3B"/>
    <w:rsid w:val="006E1B2A"/>
    <w:rsid w:val="006E1C66"/>
    <w:rsid w:val="006E2F2C"/>
    <w:rsid w:val="006E3089"/>
    <w:rsid w:val="006E349A"/>
    <w:rsid w:val="006E39D2"/>
    <w:rsid w:val="006E537E"/>
    <w:rsid w:val="006E5CD2"/>
    <w:rsid w:val="006E779D"/>
    <w:rsid w:val="006F1FD2"/>
    <w:rsid w:val="006F25C1"/>
    <w:rsid w:val="006F2844"/>
    <w:rsid w:val="006F4BDF"/>
    <w:rsid w:val="006F6F03"/>
    <w:rsid w:val="006F7265"/>
    <w:rsid w:val="006F7914"/>
    <w:rsid w:val="00703C1F"/>
    <w:rsid w:val="007040FF"/>
    <w:rsid w:val="00704AC5"/>
    <w:rsid w:val="00705679"/>
    <w:rsid w:val="0070578B"/>
    <w:rsid w:val="00705816"/>
    <w:rsid w:val="0070637F"/>
    <w:rsid w:val="00706AAE"/>
    <w:rsid w:val="00706F51"/>
    <w:rsid w:val="00706FC9"/>
    <w:rsid w:val="00707B83"/>
    <w:rsid w:val="00707B96"/>
    <w:rsid w:val="00707BE1"/>
    <w:rsid w:val="00710A65"/>
    <w:rsid w:val="007120B6"/>
    <w:rsid w:val="00712805"/>
    <w:rsid w:val="00712E61"/>
    <w:rsid w:val="00714278"/>
    <w:rsid w:val="007148DF"/>
    <w:rsid w:val="00715206"/>
    <w:rsid w:val="007152C6"/>
    <w:rsid w:val="00715B77"/>
    <w:rsid w:val="00720575"/>
    <w:rsid w:val="0072104D"/>
    <w:rsid w:val="00721B94"/>
    <w:rsid w:val="00722E6E"/>
    <w:rsid w:val="00723252"/>
    <w:rsid w:val="00727112"/>
    <w:rsid w:val="00727ADE"/>
    <w:rsid w:val="00733419"/>
    <w:rsid w:val="00741C98"/>
    <w:rsid w:val="00742D00"/>
    <w:rsid w:val="007471B5"/>
    <w:rsid w:val="00747540"/>
    <w:rsid w:val="007502EC"/>
    <w:rsid w:val="0075089F"/>
    <w:rsid w:val="00750A38"/>
    <w:rsid w:val="00750AEA"/>
    <w:rsid w:val="0075126C"/>
    <w:rsid w:val="007516A6"/>
    <w:rsid w:val="00751F83"/>
    <w:rsid w:val="0075676A"/>
    <w:rsid w:val="00761A86"/>
    <w:rsid w:val="00762517"/>
    <w:rsid w:val="00764A82"/>
    <w:rsid w:val="0076574F"/>
    <w:rsid w:val="00765C44"/>
    <w:rsid w:val="00766734"/>
    <w:rsid w:val="00766CD0"/>
    <w:rsid w:val="00767A34"/>
    <w:rsid w:val="00767CD6"/>
    <w:rsid w:val="007738B6"/>
    <w:rsid w:val="00776F15"/>
    <w:rsid w:val="0078218F"/>
    <w:rsid w:val="00791469"/>
    <w:rsid w:val="0079469D"/>
    <w:rsid w:val="0079759E"/>
    <w:rsid w:val="00797AEC"/>
    <w:rsid w:val="007A034E"/>
    <w:rsid w:val="007A1F98"/>
    <w:rsid w:val="007A2535"/>
    <w:rsid w:val="007A295E"/>
    <w:rsid w:val="007A3AFF"/>
    <w:rsid w:val="007A3B39"/>
    <w:rsid w:val="007A4BE6"/>
    <w:rsid w:val="007B26E7"/>
    <w:rsid w:val="007B2BA5"/>
    <w:rsid w:val="007B4BA9"/>
    <w:rsid w:val="007B5902"/>
    <w:rsid w:val="007C226B"/>
    <w:rsid w:val="007C29E6"/>
    <w:rsid w:val="007C2F4D"/>
    <w:rsid w:val="007C30C4"/>
    <w:rsid w:val="007C5F80"/>
    <w:rsid w:val="007C6512"/>
    <w:rsid w:val="007D2BFA"/>
    <w:rsid w:val="007D2ED7"/>
    <w:rsid w:val="007D4F58"/>
    <w:rsid w:val="007D6E0D"/>
    <w:rsid w:val="007D7CEC"/>
    <w:rsid w:val="007E0971"/>
    <w:rsid w:val="007E0DBC"/>
    <w:rsid w:val="007E12F2"/>
    <w:rsid w:val="007E259D"/>
    <w:rsid w:val="007E4357"/>
    <w:rsid w:val="007E440D"/>
    <w:rsid w:val="007F11D0"/>
    <w:rsid w:val="007F201C"/>
    <w:rsid w:val="007F22EF"/>
    <w:rsid w:val="007F3EFD"/>
    <w:rsid w:val="007F483F"/>
    <w:rsid w:val="007F6EDF"/>
    <w:rsid w:val="007F798A"/>
    <w:rsid w:val="007F7D37"/>
    <w:rsid w:val="00802D09"/>
    <w:rsid w:val="00804511"/>
    <w:rsid w:val="00806AE7"/>
    <w:rsid w:val="00807BB3"/>
    <w:rsid w:val="0081102A"/>
    <w:rsid w:val="00811A09"/>
    <w:rsid w:val="0081432D"/>
    <w:rsid w:val="0081591C"/>
    <w:rsid w:val="00816641"/>
    <w:rsid w:val="00820C89"/>
    <w:rsid w:val="00821046"/>
    <w:rsid w:val="00821189"/>
    <w:rsid w:val="008213B7"/>
    <w:rsid w:val="00821D92"/>
    <w:rsid w:val="0082475D"/>
    <w:rsid w:val="008247D0"/>
    <w:rsid w:val="008249D9"/>
    <w:rsid w:val="0082538C"/>
    <w:rsid w:val="00826484"/>
    <w:rsid w:val="0082754F"/>
    <w:rsid w:val="00827F63"/>
    <w:rsid w:val="008321EB"/>
    <w:rsid w:val="00832271"/>
    <w:rsid w:val="0083257F"/>
    <w:rsid w:val="008337B9"/>
    <w:rsid w:val="00835749"/>
    <w:rsid w:val="00837BF0"/>
    <w:rsid w:val="00837FEE"/>
    <w:rsid w:val="008417D4"/>
    <w:rsid w:val="00842B44"/>
    <w:rsid w:val="0084312E"/>
    <w:rsid w:val="00843E51"/>
    <w:rsid w:val="0084524F"/>
    <w:rsid w:val="00850427"/>
    <w:rsid w:val="00853B4E"/>
    <w:rsid w:val="008541B2"/>
    <w:rsid w:val="00854AB4"/>
    <w:rsid w:val="008560CC"/>
    <w:rsid w:val="00857B5B"/>
    <w:rsid w:val="008610C5"/>
    <w:rsid w:val="00861777"/>
    <w:rsid w:val="008617E8"/>
    <w:rsid w:val="00861950"/>
    <w:rsid w:val="00864376"/>
    <w:rsid w:val="008646A3"/>
    <w:rsid w:val="00866260"/>
    <w:rsid w:val="008708A8"/>
    <w:rsid w:val="008714DD"/>
    <w:rsid w:val="0087226B"/>
    <w:rsid w:val="00874158"/>
    <w:rsid w:val="008750B4"/>
    <w:rsid w:val="008769F5"/>
    <w:rsid w:val="00880E5C"/>
    <w:rsid w:val="008816F3"/>
    <w:rsid w:val="008818AF"/>
    <w:rsid w:val="008833E0"/>
    <w:rsid w:val="008846C1"/>
    <w:rsid w:val="00884873"/>
    <w:rsid w:val="00885AE9"/>
    <w:rsid w:val="0088600D"/>
    <w:rsid w:val="008906AC"/>
    <w:rsid w:val="00890861"/>
    <w:rsid w:val="00890BC6"/>
    <w:rsid w:val="00890C4F"/>
    <w:rsid w:val="00890E15"/>
    <w:rsid w:val="00891638"/>
    <w:rsid w:val="008923F2"/>
    <w:rsid w:val="008958FE"/>
    <w:rsid w:val="00895AAF"/>
    <w:rsid w:val="008961D3"/>
    <w:rsid w:val="008966B9"/>
    <w:rsid w:val="00897065"/>
    <w:rsid w:val="008A200A"/>
    <w:rsid w:val="008A3CE8"/>
    <w:rsid w:val="008A5777"/>
    <w:rsid w:val="008A57E3"/>
    <w:rsid w:val="008A7191"/>
    <w:rsid w:val="008A73D6"/>
    <w:rsid w:val="008B09FA"/>
    <w:rsid w:val="008B0A95"/>
    <w:rsid w:val="008B0B76"/>
    <w:rsid w:val="008B2CC8"/>
    <w:rsid w:val="008B3317"/>
    <w:rsid w:val="008B5207"/>
    <w:rsid w:val="008B5411"/>
    <w:rsid w:val="008B5B89"/>
    <w:rsid w:val="008B5C89"/>
    <w:rsid w:val="008B65C0"/>
    <w:rsid w:val="008B6AB2"/>
    <w:rsid w:val="008B6B9A"/>
    <w:rsid w:val="008B77B9"/>
    <w:rsid w:val="008C1379"/>
    <w:rsid w:val="008C2D49"/>
    <w:rsid w:val="008C3A08"/>
    <w:rsid w:val="008C7739"/>
    <w:rsid w:val="008D2203"/>
    <w:rsid w:val="008D233A"/>
    <w:rsid w:val="008D24A3"/>
    <w:rsid w:val="008D2DB4"/>
    <w:rsid w:val="008D423D"/>
    <w:rsid w:val="008D6E63"/>
    <w:rsid w:val="008E2143"/>
    <w:rsid w:val="008E32E7"/>
    <w:rsid w:val="008E5580"/>
    <w:rsid w:val="008E5943"/>
    <w:rsid w:val="008E5D5F"/>
    <w:rsid w:val="008F1E23"/>
    <w:rsid w:val="008F3085"/>
    <w:rsid w:val="008F3851"/>
    <w:rsid w:val="008F4469"/>
    <w:rsid w:val="008F4ACE"/>
    <w:rsid w:val="008F5484"/>
    <w:rsid w:val="008F58DB"/>
    <w:rsid w:val="008F6880"/>
    <w:rsid w:val="00900004"/>
    <w:rsid w:val="00900A08"/>
    <w:rsid w:val="00900F38"/>
    <w:rsid w:val="00901A17"/>
    <w:rsid w:val="0090330E"/>
    <w:rsid w:val="00903D17"/>
    <w:rsid w:val="009042A4"/>
    <w:rsid w:val="009068CD"/>
    <w:rsid w:val="0091094A"/>
    <w:rsid w:val="009112F5"/>
    <w:rsid w:val="00913326"/>
    <w:rsid w:val="00915158"/>
    <w:rsid w:val="00916778"/>
    <w:rsid w:val="0091680E"/>
    <w:rsid w:val="00916F58"/>
    <w:rsid w:val="0091723B"/>
    <w:rsid w:val="009204AA"/>
    <w:rsid w:val="009212A4"/>
    <w:rsid w:val="0092244A"/>
    <w:rsid w:val="00923B60"/>
    <w:rsid w:val="00924863"/>
    <w:rsid w:val="0092603F"/>
    <w:rsid w:val="00927340"/>
    <w:rsid w:val="00927F75"/>
    <w:rsid w:val="0093010A"/>
    <w:rsid w:val="00930B4C"/>
    <w:rsid w:val="0093201F"/>
    <w:rsid w:val="009320A4"/>
    <w:rsid w:val="009340EF"/>
    <w:rsid w:val="00937796"/>
    <w:rsid w:val="00937A12"/>
    <w:rsid w:val="009402B0"/>
    <w:rsid w:val="00940884"/>
    <w:rsid w:val="009428D2"/>
    <w:rsid w:val="009431A5"/>
    <w:rsid w:val="009435BE"/>
    <w:rsid w:val="00944170"/>
    <w:rsid w:val="00945D65"/>
    <w:rsid w:val="00946589"/>
    <w:rsid w:val="00946C3F"/>
    <w:rsid w:val="00946D63"/>
    <w:rsid w:val="00950001"/>
    <w:rsid w:val="00951438"/>
    <w:rsid w:val="00954262"/>
    <w:rsid w:val="009555A4"/>
    <w:rsid w:val="009555AF"/>
    <w:rsid w:val="00956320"/>
    <w:rsid w:val="009567D4"/>
    <w:rsid w:val="0095713E"/>
    <w:rsid w:val="00963227"/>
    <w:rsid w:val="00970E48"/>
    <w:rsid w:val="00974E9F"/>
    <w:rsid w:val="0097551A"/>
    <w:rsid w:val="00975D6F"/>
    <w:rsid w:val="0097606B"/>
    <w:rsid w:val="009764FB"/>
    <w:rsid w:val="0097656C"/>
    <w:rsid w:val="009766AC"/>
    <w:rsid w:val="00977083"/>
    <w:rsid w:val="009770C4"/>
    <w:rsid w:val="00977C25"/>
    <w:rsid w:val="009822C2"/>
    <w:rsid w:val="00983D49"/>
    <w:rsid w:val="00984270"/>
    <w:rsid w:val="00987630"/>
    <w:rsid w:val="00990AEF"/>
    <w:rsid w:val="009910C1"/>
    <w:rsid w:val="0099129A"/>
    <w:rsid w:val="009949C5"/>
    <w:rsid w:val="00994B07"/>
    <w:rsid w:val="00994CEF"/>
    <w:rsid w:val="00995E79"/>
    <w:rsid w:val="009A0273"/>
    <w:rsid w:val="009A0C7D"/>
    <w:rsid w:val="009A0F1F"/>
    <w:rsid w:val="009A16CD"/>
    <w:rsid w:val="009A28DB"/>
    <w:rsid w:val="009A2AED"/>
    <w:rsid w:val="009A2D64"/>
    <w:rsid w:val="009A3850"/>
    <w:rsid w:val="009A3C3F"/>
    <w:rsid w:val="009A57B8"/>
    <w:rsid w:val="009A659F"/>
    <w:rsid w:val="009A6DE7"/>
    <w:rsid w:val="009B12B8"/>
    <w:rsid w:val="009B1859"/>
    <w:rsid w:val="009B3FF8"/>
    <w:rsid w:val="009B4DFE"/>
    <w:rsid w:val="009B4F7D"/>
    <w:rsid w:val="009B69FF"/>
    <w:rsid w:val="009B6B21"/>
    <w:rsid w:val="009B7AB3"/>
    <w:rsid w:val="009C0321"/>
    <w:rsid w:val="009C1AED"/>
    <w:rsid w:val="009C4239"/>
    <w:rsid w:val="009C44B5"/>
    <w:rsid w:val="009C4700"/>
    <w:rsid w:val="009C5695"/>
    <w:rsid w:val="009C5BD8"/>
    <w:rsid w:val="009C696B"/>
    <w:rsid w:val="009C6F2C"/>
    <w:rsid w:val="009D192B"/>
    <w:rsid w:val="009D1E17"/>
    <w:rsid w:val="009D582E"/>
    <w:rsid w:val="009D63C3"/>
    <w:rsid w:val="009D720E"/>
    <w:rsid w:val="009D7252"/>
    <w:rsid w:val="009E0211"/>
    <w:rsid w:val="009E07F5"/>
    <w:rsid w:val="009E2B2D"/>
    <w:rsid w:val="009E45B5"/>
    <w:rsid w:val="009E4AA3"/>
    <w:rsid w:val="009F1924"/>
    <w:rsid w:val="009F3B5E"/>
    <w:rsid w:val="009F4B79"/>
    <w:rsid w:val="009F4C11"/>
    <w:rsid w:val="009F5C4A"/>
    <w:rsid w:val="009F7618"/>
    <w:rsid w:val="00A00BBD"/>
    <w:rsid w:val="00A0127D"/>
    <w:rsid w:val="00A032EC"/>
    <w:rsid w:val="00A0515C"/>
    <w:rsid w:val="00A0604C"/>
    <w:rsid w:val="00A0694B"/>
    <w:rsid w:val="00A07952"/>
    <w:rsid w:val="00A10D6F"/>
    <w:rsid w:val="00A12530"/>
    <w:rsid w:val="00A1257F"/>
    <w:rsid w:val="00A133F8"/>
    <w:rsid w:val="00A13484"/>
    <w:rsid w:val="00A14179"/>
    <w:rsid w:val="00A160E1"/>
    <w:rsid w:val="00A16E10"/>
    <w:rsid w:val="00A2099A"/>
    <w:rsid w:val="00A231E5"/>
    <w:rsid w:val="00A2444A"/>
    <w:rsid w:val="00A24B8A"/>
    <w:rsid w:val="00A26708"/>
    <w:rsid w:val="00A311AB"/>
    <w:rsid w:val="00A33D96"/>
    <w:rsid w:val="00A34E34"/>
    <w:rsid w:val="00A366F1"/>
    <w:rsid w:val="00A3676C"/>
    <w:rsid w:val="00A40225"/>
    <w:rsid w:val="00A4041F"/>
    <w:rsid w:val="00A430DE"/>
    <w:rsid w:val="00A47077"/>
    <w:rsid w:val="00A511AB"/>
    <w:rsid w:val="00A61350"/>
    <w:rsid w:val="00A65CF6"/>
    <w:rsid w:val="00A71EE6"/>
    <w:rsid w:val="00A7657B"/>
    <w:rsid w:val="00A8019A"/>
    <w:rsid w:val="00A82984"/>
    <w:rsid w:val="00A830A8"/>
    <w:rsid w:val="00A87414"/>
    <w:rsid w:val="00A87C48"/>
    <w:rsid w:val="00A905B8"/>
    <w:rsid w:val="00A90DBB"/>
    <w:rsid w:val="00A90F88"/>
    <w:rsid w:val="00A9257B"/>
    <w:rsid w:val="00A937A6"/>
    <w:rsid w:val="00A96255"/>
    <w:rsid w:val="00A96844"/>
    <w:rsid w:val="00A96D00"/>
    <w:rsid w:val="00A971A1"/>
    <w:rsid w:val="00AA138B"/>
    <w:rsid w:val="00AA1E51"/>
    <w:rsid w:val="00AA2802"/>
    <w:rsid w:val="00AA2FC2"/>
    <w:rsid w:val="00AA397D"/>
    <w:rsid w:val="00AA59F2"/>
    <w:rsid w:val="00AA5D4C"/>
    <w:rsid w:val="00AA6548"/>
    <w:rsid w:val="00AA7691"/>
    <w:rsid w:val="00AB00ED"/>
    <w:rsid w:val="00AB1E86"/>
    <w:rsid w:val="00AB20E8"/>
    <w:rsid w:val="00AB3530"/>
    <w:rsid w:val="00AB64EE"/>
    <w:rsid w:val="00AC1120"/>
    <w:rsid w:val="00AC38B0"/>
    <w:rsid w:val="00AC5565"/>
    <w:rsid w:val="00AC64DA"/>
    <w:rsid w:val="00AC68BF"/>
    <w:rsid w:val="00AC7664"/>
    <w:rsid w:val="00AD0E5A"/>
    <w:rsid w:val="00AD355F"/>
    <w:rsid w:val="00AD682B"/>
    <w:rsid w:val="00AE0D72"/>
    <w:rsid w:val="00AE263C"/>
    <w:rsid w:val="00AE4F55"/>
    <w:rsid w:val="00AE757B"/>
    <w:rsid w:val="00AF022D"/>
    <w:rsid w:val="00AF1FE6"/>
    <w:rsid w:val="00AF2797"/>
    <w:rsid w:val="00AF6080"/>
    <w:rsid w:val="00AF6A0A"/>
    <w:rsid w:val="00B03852"/>
    <w:rsid w:val="00B05826"/>
    <w:rsid w:val="00B06128"/>
    <w:rsid w:val="00B07E30"/>
    <w:rsid w:val="00B10B28"/>
    <w:rsid w:val="00B138B9"/>
    <w:rsid w:val="00B17216"/>
    <w:rsid w:val="00B17B3F"/>
    <w:rsid w:val="00B20430"/>
    <w:rsid w:val="00B20845"/>
    <w:rsid w:val="00B208B3"/>
    <w:rsid w:val="00B20EBD"/>
    <w:rsid w:val="00B21674"/>
    <w:rsid w:val="00B22C14"/>
    <w:rsid w:val="00B22EB7"/>
    <w:rsid w:val="00B23D3F"/>
    <w:rsid w:val="00B241A9"/>
    <w:rsid w:val="00B272EC"/>
    <w:rsid w:val="00B30E86"/>
    <w:rsid w:val="00B32154"/>
    <w:rsid w:val="00B33CED"/>
    <w:rsid w:val="00B348FB"/>
    <w:rsid w:val="00B4004A"/>
    <w:rsid w:val="00B4132B"/>
    <w:rsid w:val="00B421E9"/>
    <w:rsid w:val="00B42463"/>
    <w:rsid w:val="00B42CD8"/>
    <w:rsid w:val="00B4379B"/>
    <w:rsid w:val="00B4384B"/>
    <w:rsid w:val="00B4485E"/>
    <w:rsid w:val="00B47B6C"/>
    <w:rsid w:val="00B518E2"/>
    <w:rsid w:val="00B539DF"/>
    <w:rsid w:val="00B5672B"/>
    <w:rsid w:val="00B567D8"/>
    <w:rsid w:val="00B569C7"/>
    <w:rsid w:val="00B56A4F"/>
    <w:rsid w:val="00B577BD"/>
    <w:rsid w:val="00B644B5"/>
    <w:rsid w:val="00B66915"/>
    <w:rsid w:val="00B70EA9"/>
    <w:rsid w:val="00B72C6A"/>
    <w:rsid w:val="00B74C71"/>
    <w:rsid w:val="00B75224"/>
    <w:rsid w:val="00B7536D"/>
    <w:rsid w:val="00B75746"/>
    <w:rsid w:val="00B76F56"/>
    <w:rsid w:val="00B7789C"/>
    <w:rsid w:val="00B77AEA"/>
    <w:rsid w:val="00B80794"/>
    <w:rsid w:val="00B8431B"/>
    <w:rsid w:val="00B85327"/>
    <w:rsid w:val="00B8541D"/>
    <w:rsid w:val="00B85F32"/>
    <w:rsid w:val="00B86FEE"/>
    <w:rsid w:val="00B871A8"/>
    <w:rsid w:val="00B90BDD"/>
    <w:rsid w:val="00B90C78"/>
    <w:rsid w:val="00B923F0"/>
    <w:rsid w:val="00B93686"/>
    <w:rsid w:val="00B95988"/>
    <w:rsid w:val="00B9639D"/>
    <w:rsid w:val="00B96B30"/>
    <w:rsid w:val="00B97AC1"/>
    <w:rsid w:val="00BA0423"/>
    <w:rsid w:val="00BA05BB"/>
    <w:rsid w:val="00BA0C72"/>
    <w:rsid w:val="00BA3F76"/>
    <w:rsid w:val="00BA4FD5"/>
    <w:rsid w:val="00BA68D6"/>
    <w:rsid w:val="00BA745F"/>
    <w:rsid w:val="00BB074D"/>
    <w:rsid w:val="00BB0ABD"/>
    <w:rsid w:val="00BB12D9"/>
    <w:rsid w:val="00BB1ACB"/>
    <w:rsid w:val="00BB1C4A"/>
    <w:rsid w:val="00BB20C3"/>
    <w:rsid w:val="00BB274A"/>
    <w:rsid w:val="00BB2DF7"/>
    <w:rsid w:val="00BB3223"/>
    <w:rsid w:val="00BB4AE6"/>
    <w:rsid w:val="00BB581B"/>
    <w:rsid w:val="00BB684B"/>
    <w:rsid w:val="00BC02D6"/>
    <w:rsid w:val="00BC09D6"/>
    <w:rsid w:val="00BC1328"/>
    <w:rsid w:val="00BC2EE5"/>
    <w:rsid w:val="00BC5739"/>
    <w:rsid w:val="00BC72E3"/>
    <w:rsid w:val="00BC7B94"/>
    <w:rsid w:val="00BD134C"/>
    <w:rsid w:val="00BD2F44"/>
    <w:rsid w:val="00BD342C"/>
    <w:rsid w:val="00BE039D"/>
    <w:rsid w:val="00BE046B"/>
    <w:rsid w:val="00BE1815"/>
    <w:rsid w:val="00BE3899"/>
    <w:rsid w:val="00BE38E8"/>
    <w:rsid w:val="00BE4084"/>
    <w:rsid w:val="00BE62C3"/>
    <w:rsid w:val="00BF1422"/>
    <w:rsid w:val="00BF4C0A"/>
    <w:rsid w:val="00BF7A00"/>
    <w:rsid w:val="00C008B2"/>
    <w:rsid w:val="00C01421"/>
    <w:rsid w:val="00C01911"/>
    <w:rsid w:val="00C0265E"/>
    <w:rsid w:val="00C030E9"/>
    <w:rsid w:val="00C05FF3"/>
    <w:rsid w:val="00C06C5F"/>
    <w:rsid w:val="00C1339F"/>
    <w:rsid w:val="00C13FCA"/>
    <w:rsid w:val="00C14B27"/>
    <w:rsid w:val="00C171CD"/>
    <w:rsid w:val="00C17F20"/>
    <w:rsid w:val="00C215B0"/>
    <w:rsid w:val="00C215F0"/>
    <w:rsid w:val="00C21F11"/>
    <w:rsid w:val="00C25510"/>
    <w:rsid w:val="00C30F90"/>
    <w:rsid w:val="00C3178C"/>
    <w:rsid w:val="00C3250A"/>
    <w:rsid w:val="00C3283E"/>
    <w:rsid w:val="00C3416D"/>
    <w:rsid w:val="00C34D21"/>
    <w:rsid w:val="00C35720"/>
    <w:rsid w:val="00C362F3"/>
    <w:rsid w:val="00C37148"/>
    <w:rsid w:val="00C40C48"/>
    <w:rsid w:val="00C41236"/>
    <w:rsid w:val="00C42731"/>
    <w:rsid w:val="00C4598F"/>
    <w:rsid w:val="00C45E9B"/>
    <w:rsid w:val="00C45EF2"/>
    <w:rsid w:val="00C46514"/>
    <w:rsid w:val="00C500ED"/>
    <w:rsid w:val="00C51377"/>
    <w:rsid w:val="00C51D0E"/>
    <w:rsid w:val="00C52A38"/>
    <w:rsid w:val="00C52B3E"/>
    <w:rsid w:val="00C53C4C"/>
    <w:rsid w:val="00C550A8"/>
    <w:rsid w:val="00C55E16"/>
    <w:rsid w:val="00C55EB4"/>
    <w:rsid w:val="00C572C6"/>
    <w:rsid w:val="00C60720"/>
    <w:rsid w:val="00C61ACB"/>
    <w:rsid w:val="00C6223D"/>
    <w:rsid w:val="00C625B4"/>
    <w:rsid w:val="00C646A3"/>
    <w:rsid w:val="00C669BD"/>
    <w:rsid w:val="00C7330C"/>
    <w:rsid w:val="00C73FE1"/>
    <w:rsid w:val="00C74017"/>
    <w:rsid w:val="00C7469A"/>
    <w:rsid w:val="00C80219"/>
    <w:rsid w:val="00C80799"/>
    <w:rsid w:val="00C81193"/>
    <w:rsid w:val="00C82C04"/>
    <w:rsid w:val="00C85AAD"/>
    <w:rsid w:val="00C87384"/>
    <w:rsid w:val="00C87E6D"/>
    <w:rsid w:val="00C916CD"/>
    <w:rsid w:val="00C9270F"/>
    <w:rsid w:val="00C92FA7"/>
    <w:rsid w:val="00C9331F"/>
    <w:rsid w:val="00C93947"/>
    <w:rsid w:val="00C96E14"/>
    <w:rsid w:val="00C97163"/>
    <w:rsid w:val="00CA0009"/>
    <w:rsid w:val="00CA05D1"/>
    <w:rsid w:val="00CA12D1"/>
    <w:rsid w:val="00CA24B7"/>
    <w:rsid w:val="00CA3023"/>
    <w:rsid w:val="00CA35D6"/>
    <w:rsid w:val="00CA4834"/>
    <w:rsid w:val="00CA56B6"/>
    <w:rsid w:val="00CA585A"/>
    <w:rsid w:val="00CA7E07"/>
    <w:rsid w:val="00CB027E"/>
    <w:rsid w:val="00CB3427"/>
    <w:rsid w:val="00CB48A7"/>
    <w:rsid w:val="00CB4C4D"/>
    <w:rsid w:val="00CB6891"/>
    <w:rsid w:val="00CC002C"/>
    <w:rsid w:val="00CC2392"/>
    <w:rsid w:val="00CC2708"/>
    <w:rsid w:val="00CC3756"/>
    <w:rsid w:val="00CC4184"/>
    <w:rsid w:val="00CC5CEC"/>
    <w:rsid w:val="00CD1DBF"/>
    <w:rsid w:val="00CD33EC"/>
    <w:rsid w:val="00CD407A"/>
    <w:rsid w:val="00CD4D72"/>
    <w:rsid w:val="00CD6838"/>
    <w:rsid w:val="00CE03D4"/>
    <w:rsid w:val="00CE17CF"/>
    <w:rsid w:val="00CE2E8F"/>
    <w:rsid w:val="00CF0C73"/>
    <w:rsid w:val="00CF10D8"/>
    <w:rsid w:val="00CF1753"/>
    <w:rsid w:val="00CF1BCC"/>
    <w:rsid w:val="00CF1E2C"/>
    <w:rsid w:val="00CF453C"/>
    <w:rsid w:val="00CF4C40"/>
    <w:rsid w:val="00CF545F"/>
    <w:rsid w:val="00CF7E1D"/>
    <w:rsid w:val="00D00153"/>
    <w:rsid w:val="00D002A6"/>
    <w:rsid w:val="00D0109A"/>
    <w:rsid w:val="00D012E3"/>
    <w:rsid w:val="00D02983"/>
    <w:rsid w:val="00D02D00"/>
    <w:rsid w:val="00D03487"/>
    <w:rsid w:val="00D0373F"/>
    <w:rsid w:val="00D05393"/>
    <w:rsid w:val="00D057AA"/>
    <w:rsid w:val="00D060A7"/>
    <w:rsid w:val="00D07138"/>
    <w:rsid w:val="00D07573"/>
    <w:rsid w:val="00D079D7"/>
    <w:rsid w:val="00D110F9"/>
    <w:rsid w:val="00D11F46"/>
    <w:rsid w:val="00D12850"/>
    <w:rsid w:val="00D12ADF"/>
    <w:rsid w:val="00D12B12"/>
    <w:rsid w:val="00D12C5A"/>
    <w:rsid w:val="00D156B8"/>
    <w:rsid w:val="00D16511"/>
    <w:rsid w:val="00D16D16"/>
    <w:rsid w:val="00D17043"/>
    <w:rsid w:val="00D2106F"/>
    <w:rsid w:val="00D23996"/>
    <w:rsid w:val="00D24EEC"/>
    <w:rsid w:val="00D26009"/>
    <w:rsid w:val="00D26B94"/>
    <w:rsid w:val="00D277D2"/>
    <w:rsid w:val="00D303CA"/>
    <w:rsid w:val="00D319D0"/>
    <w:rsid w:val="00D33C2E"/>
    <w:rsid w:val="00D34279"/>
    <w:rsid w:val="00D35516"/>
    <w:rsid w:val="00D35B8A"/>
    <w:rsid w:val="00D407C2"/>
    <w:rsid w:val="00D40E49"/>
    <w:rsid w:val="00D4194C"/>
    <w:rsid w:val="00D419A3"/>
    <w:rsid w:val="00D44D12"/>
    <w:rsid w:val="00D4595A"/>
    <w:rsid w:val="00D45CD1"/>
    <w:rsid w:val="00D47ACE"/>
    <w:rsid w:val="00D50332"/>
    <w:rsid w:val="00D5093F"/>
    <w:rsid w:val="00D53409"/>
    <w:rsid w:val="00D5384D"/>
    <w:rsid w:val="00D538E1"/>
    <w:rsid w:val="00D56089"/>
    <w:rsid w:val="00D563DF"/>
    <w:rsid w:val="00D567BA"/>
    <w:rsid w:val="00D570B3"/>
    <w:rsid w:val="00D60530"/>
    <w:rsid w:val="00D64267"/>
    <w:rsid w:val="00D6463C"/>
    <w:rsid w:val="00D65076"/>
    <w:rsid w:val="00D669F1"/>
    <w:rsid w:val="00D70930"/>
    <w:rsid w:val="00D70B9E"/>
    <w:rsid w:val="00D72630"/>
    <w:rsid w:val="00D804D9"/>
    <w:rsid w:val="00D819C1"/>
    <w:rsid w:val="00D82486"/>
    <w:rsid w:val="00D8536D"/>
    <w:rsid w:val="00D85841"/>
    <w:rsid w:val="00D85BDC"/>
    <w:rsid w:val="00D86848"/>
    <w:rsid w:val="00D87CFD"/>
    <w:rsid w:val="00D90A41"/>
    <w:rsid w:val="00D94F56"/>
    <w:rsid w:val="00D95D80"/>
    <w:rsid w:val="00DA033C"/>
    <w:rsid w:val="00DA0A54"/>
    <w:rsid w:val="00DA1A9A"/>
    <w:rsid w:val="00DA217E"/>
    <w:rsid w:val="00DA2C5B"/>
    <w:rsid w:val="00DA49F8"/>
    <w:rsid w:val="00DA5262"/>
    <w:rsid w:val="00DA5ADD"/>
    <w:rsid w:val="00DA67D7"/>
    <w:rsid w:val="00DA6A8A"/>
    <w:rsid w:val="00DB0567"/>
    <w:rsid w:val="00DB09A4"/>
    <w:rsid w:val="00DB2747"/>
    <w:rsid w:val="00DB2C86"/>
    <w:rsid w:val="00DB30CE"/>
    <w:rsid w:val="00DB4AB6"/>
    <w:rsid w:val="00DB4B55"/>
    <w:rsid w:val="00DB4EF9"/>
    <w:rsid w:val="00DB7754"/>
    <w:rsid w:val="00DC0A2D"/>
    <w:rsid w:val="00DC3D38"/>
    <w:rsid w:val="00DC5A7B"/>
    <w:rsid w:val="00DD246A"/>
    <w:rsid w:val="00DD32A4"/>
    <w:rsid w:val="00DD53E2"/>
    <w:rsid w:val="00DD5F9D"/>
    <w:rsid w:val="00DD73F3"/>
    <w:rsid w:val="00DD756E"/>
    <w:rsid w:val="00DE0AD4"/>
    <w:rsid w:val="00DE0E51"/>
    <w:rsid w:val="00DE135C"/>
    <w:rsid w:val="00DE1881"/>
    <w:rsid w:val="00DE1CBD"/>
    <w:rsid w:val="00DE565D"/>
    <w:rsid w:val="00DF13E8"/>
    <w:rsid w:val="00DF1961"/>
    <w:rsid w:val="00DF438D"/>
    <w:rsid w:val="00DF5157"/>
    <w:rsid w:val="00DF7A9C"/>
    <w:rsid w:val="00E000C3"/>
    <w:rsid w:val="00E05681"/>
    <w:rsid w:val="00E05C9C"/>
    <w:rsid w:val="00E0662B"/>
    <w:rsid w:val="00E06A5A"/>
    <w:rsid w:val="00E06F17"/>
    <w:rsid w:val="00E122A7"/>
    <w:rsid w:val="00E12E5B"/>
    <w:rsid w:val="00E1439D"/>
    <w:rsid w:val="00E14622"/>
    <w:rsid w:val="00E21D8E"/>
    <w:rsid w:val="00E22B76"/>
    <w:rsid w:val="00E243AD"/>
    <w:rsid w:val="00E25D78"/>
    <w:rsid w:val="00E260FF"/>
    <w:rsid w:val="00E273D7"/>
    <w:rsid w:val="00E27D40"/>
    <w:rsid w:val="00E3116B"/>
    <w:rsid w:val="00E3116C"/>
    <w:rsid w:val="00E31813"/>
    <w:rsid w:val="00E31D27"/>
    <w:rsid w:val="00E33630"/>
    <w:rsid w:val="00E33654"/>
    <w:rsid w:val="00E33D9F"/>
    <w:rsid w:val="00E34968"/>
    <w:rsid w:val="00E34FA2"/>
    <w:rsid w:val="00E3502E"/>
    <w:rsid w:val="00E35AE4"/>
    <w:rsid w:val="00E400B5"/>
    <w:rsid w:val="00E40A7F"/>
    <w:rsid w:val="00E43D58"/>
    <w:rsid w:val="00E447C8"/>
    <w:rsid w:val="00E45DC8"/>
    <w:rsid w:val="00E45E32"/>
    <w:rsid w:val="00E46D5F"/>
    <w:rsid w:val="00E502D2"/>
    <w:rsid w:val="00E506A4"/>
    <w:rsid w:val="00E5342E"/>
    <w:rsid w:val="00E539B4"/>
    <w:rsid w:val="00E53F69"/>
    <w:rsid w:val="00E544FC"/>
    <w:rsid w:val="00E546FD"/>
    <w:rsid w:val="00E54B86"/>
    <w:rsid w:val="00E579D9"/>
    <w:rsid w:val="00E57E05"/>
    <w:rsid w:val="00E57E20"/>
    <w:rsid w:val="00E606DC"/>
    <w:rsid w:val="00E60D4C"/>
    <w:rsid w:val="00E615C6"/>
    <w:rsid w:val="00E61852"/>
    <w:rsid w:val="00E63A45"/>
    <w:rsid w:val="00E63CC1"/>
    <w:rsid w:val="00E64469"/>
    <w:rsid w:val="00E64698"/>
    <w:rsid w:val="00E702E0"/>
    <w:rsid w:val="00E721A6"/>
    <w:rsid w:val="00E72247"/>
    <w:rsid w:val="00E7285A"/>
    <w:rsid w:val="00E74673"/>
    <w:rsid w:val="00E756EB"/>
    <w:rsid w:val="00E75CF2"/>
    <w:rsid w:val="00E774C2"/>
    <w:rsid w:val="00E776A5"/>
    <w:rsid w:val="00E82023"/>
    <w:rsid w:val="00E8382B"/>
    <w:rsid w:val="00E877B5"/>
    <w:rsid w:val="00E87A3A"/>
    <w:rsid w:val="00E924D4"/>
    <w:rsid w:val="00E92DD8"/>
    <w:rsid w:val="00E945FB"/>
    <w:rsid w:val="00E96956"/>
    <w:rsid w:val="00E97CC8"/>
    <w:rsid w:val="00EA0EB8"/>
    <w:rsid w:val="00EA1C75"/>
    <w:rsid w:val="00EA3B51"/>
    <w:rsid w:val="00EA50E1"/>
    <w:rsid w:val="00EA5F30"/>
    <w:rsid w:val="00EA78D1"/>
    <w:rsid w:val="00EB2103"/>
    <w:rsid w:val="00EB3559"/>
    <w:rsid w:val="00EB6EF8"/>
    <w:rsid w:val="00EB7257"/>
    <w:rsid w:val="00EC3635"/>
    <w:rsid w:val="00EC43AC"/>
    <w:rsid w:val="00EC4733"/>
    <w:rsid w:val="00EC4C5D"/>
    <w:rsid w:val="00EC5975"/>
    <w:rsid w:val="00EC625B"/>
    <w:rsid w:val="00ED0414"/>
    <w:rsid w:val="00ED2635"/>
    <w:rsid w:val="00ED4834"/>
    <w:rsid w:val="00ED55CB"/>
    <w:rsid w:val="00ED5BEC"/>
    <w:rsid w:val="00ED67CE"/>
    <w:rsid w:val="00EE1EAD"/>
    <w:rsid w:val="00EE2851"/>
    <w:rsid w:val="00EE3743"/>
    <w:rsid w:val="00EE39F0"/>
    <w:rsid w:val="00EE40AB"/>
    <w:rsid w:val="00EE434F"/>
    <w:rsid w:val="00EF0BED"/>
    <w:rsid w:val="00EF1542"/>
    <w:rsid w:val="00EF331C"/>
    <w:rsid w:val="00EF4198"/>
    <w:rsid w:val="00EF4AEF"/>
    <w:rsid w:val="00EF685F"/>
    <w:rsid w:val="00EF6C58"/>
    <w:rsid w:val="00F00840"/>
    <w:rsid w:val="00F025C7"/>
    <w:rsid w:val="00F04BAB"/>
    <w:rsid w:val="00F05206"/>
    <w:rsid w:val="00F05FDD"/>
    <w:rsid w:val="00F06233"/>
    <w:rsid w:val="00F0640A"/>
    <w:rsid w:val="00F077FA"/>
    <w:rsid w:val="00F10268"/>
    <w:rsid w:val="00F12DC1"/>
    <w:rsid w:val="00F162FD"/>
    <w:rsid w:val="00F213BE"/>
    <w:rsid w:val="00F2326A"/>
    <w:rsid w:val="00F23970"/>
    <w:rsid w:val="00F27C51"/>
    <w:rsid w:val="00F27F0A"/>
    <w:rsid w:val="00F30B89"/>
    <w:rsid w:val="00F31874"/>
    <w:rsid w:val="00F327E1"/>
    <w:rsid w:val="00F32FE2"/>
    <w:rsid w:val="00F36A7A"/>
    <w:rsid w:val="00F378C1"/>
    <w:rsid w:val="00F37B5E"/>
    <w:rsid w:val="00F40934"/>
    <w:rsid w:val="00F40C37"/>
    <w:rsid w:val="00F41603"/>
    <w:rsid w:val="00F41ACA"/>
    <w:rsid w:val="00F43ACE"/>
    <w:rsid w:val="00F441D1"/>
    <w:rsid w:val="00F44566"/>
    <w:rsid w:val="00F44BEB"/>
    <w:rsid w:val="00F45832"/>
    <w:rsid w:val="00F45A44"/>
    <w:rsid w:val="00F46807"/>
    <w:rsid w:val="00F471EB"/>
    <w:rsid w:val="00F510E5"/>
    <w:rsid w:val="00F51D92"/>
    <w:rsid w:val="00F52E40"/>
    <w:rsid w:val="00F541AE"/>
    <w:rsid w:val="00F55A7C"/>
    <w:rsid w:val="00F55CE9"/>
    <w:rsid w:val="00F60BF2"/>
    <w:rsid w:val="00F63577"/>
    <w:rsid w:val="00F66C0D"/>
    <w:rsid w:val="00F6705E"/>
    <w:rsid w:val="00F70337"/>
    <w:rsid w:val="00F70D3D"/>
    <w:rsid w:val="00F72CE7"/>
    <w:rsid w:val="00F73AF8"/>
    <w:rsid w:val="00F73F43"/>
    <w:rsid w:val="00F75DC9"/>
    <w:rsid w:val="00F769D9"/>
    <w:rsid w:val="00F76A49"/>
    <w:rsid w:val="00F76AF3"/>
    <w:rsid w:val="00F77019"/>
    <w:rsid w:val="00F77173"/>
    <w:rsid w:val="00F773CE"/>
    <w:rsid w:val="00F82958"/>
    <w:rsid w:val="00F82E22"/>
    <w:rsid w:val="00F83048"/>
    <w:rsid w:val="00F844B2"/>
    <w:rsid w:val="00F8656A"/>
    <w:rsid w:val="00F86BA8"/>
    <w:rsid w:val="00F87B05"/>
    <w:rsid w:val="00F87E59"/>
    <w:rsid w:val="00F90038"/>
    <w:rsid w:val="00F9129B"/>
    <w:rsid w:val="00F91E3B"/>
    <w:rsid w:val="00F92EF0"/>
    <w:rsid w:val="00F9594A"/>
    <w:rsid w:val="00F964EB"/>
    <w:rsid w:val="00F96676"/>
    <w:rsid w:val="00FA13A8"/>
    <w:rsid w:val="00FA1A81"/>
    <w:rsid w:val="00FA1C39"/>
    <w:rsid w:val="00FA29F8"/>
    <w:rsid w:val="00FA31C7"/>
    <w:rsid w:val="00FA3B23"/>
    <w:rsid w:val="00FA3DF6"/>
    <w:rsid w:val="00FA4122"/>
    <w:rsid w:val="00FA5D2D"/>
    <w:rsid w:val="00FA6E7D"/>
    <w:rsid w:val="00FA7B4F"/>
    <w:rsid w:val="00FB2792"/>
    <w:rsid w:val="00FB3447"/>
    <w:rsid w:val="00FB53BC"/>
    <w:rsid w:val="00FB6423"/>
    <w:rsid w:val="00FC0C75"/>
    <w:rsid w:val="00FC0F7F"/>
    <w:rsid w:val="00FC1982"/>
    <w:rsid w:val="00FC31F9"/>
    <w:rsid w:val="00FC5ED1"/>
    <w:rsid w:val="00FC7733"/>
    <w:rsid w:val="00FC7DFA"/>
    <w:rsid w:val="00FD23B1"/>
    <w:rsid w:val="00FD242E"/>
    <w:rsid w:val="00FD3E35"/>
    <w:rsid w:val="00FD41C3"/>
    <w:rsid w:val="00FD4211"/>
    <w:rsid w:val="00FD756F"/>
    <w:rsid w:val="00FE53F7"/>
    <w:rsid w:val="00FE6047"/>
    <w:rsid w:val="00FE79D6"/>
    <w:rsid w:val="00FF0A1C"/>
    <w:rsid w:val="00FF19CC"/>
    <w:rsid w:val="00FF1B92"/>
    <w:rsid w:val="00FF2337"/>
    <w:rsid w:val="00FF27EB"/>
    <w:rsid w:val="00FF3254"/>
    <w:rsid w:val="00FF4166"/>
    <w:rsid w:val="00FF4CF1"/>
    <w:rsid w:val="00FF6040"/>
    <w:rsid w:val="00FF68BA"/>
    <w:rsid w:val="05746F6C"/>
    <w:rsid w:val="0B4E08EB"/>
    <w:rsid w:val="13F05A62"/>
    <w:rsid w:val="14760298"/>
    <w:rsid w:val="1785408E"/>
    <w:rsid w:val="1A225CAA"/>
    <w:rsid w:val="1B784826"/>
    <w:rsid w:val="1DDA70A9"/>
    <w:rsid w:val="200F11D3"/>
    <w:rsid w:val="21E94B26"/>
    <w:rsid w:val="286D02D5"/>
    <w:rsid w:val="2B9C508B"/>
    <w:rsid w:val="2CE41B33"/>
    <w:rsid w:val="318C5799"/>
    <w:rsid w:val="335E73CA"/>
    <w:rsid w:val="35A83AEE"/>
    <w:rsid w:val="367E7E58"/>
    <w:rsid w:val="36952065"/>
    <w:rsid w:val="3890404A"/>
    <w:rsid w:val="3ADB2763"/>
    <w:rsid w:val="3DAB253D"/>
    <w:rsid w:val="41BE3285"/>
    <w:rsid w:val="47264E57"/>
    <w:rsid w:val="48842DE7"/>
    <w:rsid w:val="4AB30A74"/>
    <w:rsid w:val="4CA61900"/>
    <w:rsid w:val="4DFB0E46"/>
    <w:rsid w:val="55B035FE"/>
    <w:rsid w:val="5C667000"/>
    <w:rsid w:val="5C740EC7"/>
    <w:rsid w:val="6362473D"/>
    <w:rsid w:val="672037BF"/>
    <w:rsid w:val="67301433"/>
    <w:rsid w:val="688D4867"/>
    <w:rsid w:val="6C2F122A"/>
    <w:rsid w:val="6C496186"/>
    <w:rsid w:val="70310109"/>
    <w:rsid w:val="7B721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GB"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7"/>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3"/>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35"/>
    <w:semiHidden/>
    <w:unhideWhenUsed/>
    <w:qFormat/>
    <w:uiPriority w:val="99"/>
    <w:pPr>
      <w:jc w:val="left"/>
    </w:pPr>
  </w:style>
  <w:style w:type="paragraph" w:styleId="9">
    <w:name w:val="Balloon Text"/>
    <w:basedOn w:val="1"/>
    <w:link w:val="34"/>
    <w:semiHidden/>
    <w:unhideWhenUsed/>
    <w:qFormat/>
    <w:uiPriority w:val="99"/>
    <w:rPr>
      <w:sz w:val="18"/>
      <w:szCs w:val="18"/>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lang w:val="en-US"/>
    </w:rPr>
  </w:style>
  <w:style w:type="paragraph" w:styleId="13">
    <w:name w:val="annotation subject"/>
    <w:basedOn w:val="8"/>
    <w:next w:val="8"/>
    <w:link w:val="36"/>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line number"/>
    <w:basedOn w:val="16"/>
    <w:semiHidden/>
    <w:unhideWhenUsed/>
    <w:qFormat/>
    <w:uiPriority w:val="99"/>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character" w:customStyle="1" w:styleId="20">
    <w:name w:val="页眉 字符"/>
    <w:basedOn w:val="16"/>
    <w:link w:val="11"/>
    <w:qFormat/>
    <w:uiPriority w:val="99"/>
    <w:rPr>
      <w:sz w:val="18"/>
      <w:szCs w:val="18"/>
      <w:lang w:val="en-GB"/>
    </w:rPr>
  </w:style>
  <w:style w:type="character" w:customStyle="1" w:styleId="21">
    <w:name w:val="页脚 字符"/>
    <w:basedOn w:val="16"/>
    <w:link w:val="10"/>
    <w:qFormat/>
    <w:uiPriority w:val="99"/>
    <w:rPr>
      <w:sz w:val="18"/>
      <w:szCs w:val="18"/>
      <w:lang w:val="en-GB"/>
    </w:rPr>
  </w:style>
  <w:style w:type="character" w:customStyle="1" w:styleId="22">
    <w:name w:val="标题 1 字符"/>
    <w:basedOn w:val="16"/>
    <w:link w:val="2"/>
    <w:qFormat/>
    <w:uiPriority w:val="9"/>
    <w:rPr>
      <w:b/>
      <w:bCs/>
      <w:kern w:val="44"/>
      <w:sz w:val="44"/>
      <w:szCs w:val="44"/>
      <w:lang w:val="en-GB"/>
    </w:rPr>
  </w:style>
  <w:style w:type="character" w:customStyle="1" w:styleId="23">
    <w:name w:val="标题 2 字符"/>
    <w:basedOn w:val="16"/>
    <w:link w:val="3"/>
    <w:qFormat/>
    <w:uiPriority w:val="9"/>
    <w:rPr>
      <w:rFonts w:asciiTheme="majorHAnsi" w:hAnsiTheme="majorHAnsi" w:eastAsiaTheme="majorEastAsia" w:cstheme="majorBidi"/>
      <w:b/>
      <w:bCs/>
      <w:sz w:val="32"/>
      <w:szCs w:val="32"/>
      <w:lang w:val="en-GB"/>
    </w:rPr>
  </w:style>
  <w:style w:type="character" w:customStyle="1" w:styleId="24">
    <w:name w:val="标题 3 字符"/>
    <w:basedOn w:val="16"/>
    <w:link w:val="4"/>
    <w:qFormat/>
    <w:uiPriority w:val="9"/>
    <w:rPr>
      <w:b/>
      <w:bCs/>
      <w:sz w:val="32"/>
      <w:szCs w:val="32"/>
      <w:lang w:val="en-GB"/>
    </w:rPr>
  </w:style>
  <w:style w:type="character" w:customStyle="1" w:styleId="25">
    <w:name w:val="标题 4 字符"/>
    <w:basedOn w:val="16"/>
    <w:link w:val="5"/>
    <w:qFormat/>
    <w:uiPriority w:val="9"/>
    <w:rPr>
      <w:rFonts w:asciiTheme="majorHAnsi" w:hAnsiTheme="majorHAnsi" w:eastAsiaTheme="majorEastAsia" w:cstheme="majorBidi"/>
      <w:b/>
      <w:bCs/>
      <w:sz w:val="28"/>
      <w:szCs w:val="28"/>
      <w:lang w:val="en-GB"/>
    </w:rPr>
  </w:style>
  <w:style w:type="character" w:styleId="26">
    <w:name w:val="Placeholder Text"/>
    <w:basedOn w:val="16"/>
    <w:semiHidden/>
    <w:qFormat/>
    <w:uiPriority w:val="99"/>
    <w:rPr>
      <w:color w:val="808080"/>
    </w:rPr>
  </w:style>
  <w:style w:type="character" w:customStyle="1" w:styleId="27">
    <w:name w:val="标题 5 字符"/>
    <w:basedOn w:val="16"/>
    <w:link w:val="6"/>
    <w:qFormat/>
    <w:uiPriority w:val="9"/>
    <w:rPr>
      <w:b/>
      <w:bCs/>
      <w:sz w:val="28"/>
      <w:szCs w:val="28"/>
      <w:lang w:val="en-GB"/>
    </w:rPr>
  </w:style>
  <w:style w:type="table" w:customStyle="1" w:styleId="28">
    <w:name w:val="无格式表格 21"/>
    <w:basedOn w:val="14"/>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29">
    <w:name w:val="无格式表格 31"/>
    <w:basedOn w:val="14"/>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30">
    <w:name w:val="网格型浅色1"/>
    <w:basedOn w:val="14"/>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1">
    <w:name w:val="无格式表格 11"/>
    <w:basedOn w:val="1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32">
    <w:name w:val="无格式表格 51"/>
    <w:basedOn w:val="14"/>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
    <w:name w:val="网格表 1 浅色1"/>
    <w:basedOn w:val="1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34">
    <w:name w:val="批注框文本 字符"/>
    <w:basedOn w:val="16"/>
    <w:link w:val="9"/>
    <w:semiHidden/>
    <w:qFormat/>
    <w:uiPriority w:val="99"/>
    <w:rPr>
      <w:sz w:val="18"/>
      <w:szCs w:val="18"/>
      <w:lang w:val="en-GB"/>
    </w:rPr>
  </w:style>
  <w:style w:type="character" w:customStyle="1" w:styleId="35">
    <w:name w:val="批注文字 字符"/>
    <w:basedOn w:val="16"/>
    <w:link w:val="8"/>
    <w:semiHidden/>
    <w:qFormat/>
    <w:uiPriority w:val="99"/>
    <w:rPr>
      <w:lang w:val="en-GB"/>
    </w:rPr>
  </w:style>
  <w:style w:type="character" w:customStyle="1" w:styleId="36">
    <w:name w:val="批注主题 字符"/>
    <w:basedOn w:val="35"/>
    <w:link w:val="13"/>
    <w:semiHidden/>
    <w:qFormat/>
    <w:uiPriority w:val="99"/>
    <w:rPr>
      <w:b/>
      <w:bCs/>
      <w:lang w:val="en-GB"/>
    </w:rPr>
  </w:style>
  <w:style w:type="table" w:customStyle="1" w:styleId="37">
    <w:name w:val="网格表 1 浅色2"/>
    <w:basedOn w:val="1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8">
    <w:name w:val="无格式表格 12"/>
    <w:basedOn w:val="1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39">
    <w:name w:val="EndNote Bibliography Title"/>
    <w:basedOn w:val="1"/>
    <w:link w:val="40"/>
    <w:qFormat/>
    <w:uiPriority w:val="0"/>
    <w:pPr>
      <w:jc w:val="center"/>
    </w:pPr>
    <w:rPr>
      <w:rFonts w:ascii="等线" w:hAnsi="等线" w:eastAsia="等线"/>
      <w:sz w:val="20"/>
    </w:rPr>
  </w:style>
  <w:style w:type="character" w:customStyle="1" w:styleId="40">
    <w:name w:val="EndNote Bibliography Title 字符"/>
    <w:basedOn w:val="16"/>
    <w:link w:val="39"/>
    <w:qFormat/>
    <w:uiPriority w:val="0"/>
    <w:rPr>
      <w:rFonts w:ascii="等线" w:hAnsi="等线" w:eastAsia="等线" w:cstheme="minorBidi"/>
      <w:kern w:val="2"/>
      <w:szCs w:val="22"/>
      <w:lang w:val="en-GB"/>
    </w:rPr>
  </w:style>
  <w:style w:type="paragraph" w:customStyle="1" w:styleId="41">
    <w:name w:val="EndNote Bibliography"/>
    <w:basedOn w:val="1"/>
    <w:link w:val="42"/>
    <w:qFormat/>
    <w:uiPriority w:val="0"/>
    <w:rPr>
      <w:rFonts w:ascii="等线" w:hAnsi="等线" w:eastAsia="等线"/>
      <w:sz w:val="20"/>
    </w:rPr>
  </w:style>
  <w:style w:type="character" w:customStyle="1" w:styleId="42">
    <w:name w:val="EndNote Bibliography 字符"/>
    <w:basedOn w:val="16"/>
    <w:link w:val="41"/>
    <w:qFormat/>
    <w:uiPriority w:val="0"/>
    <w:rPr>
      <w:rFonts w:ascii="等线" w:hAnsi="等线" w:eastAsia="等线" w:cstheme="minorBidi"/>
      <w:kern w:val="2"/>
      <w:szCs w:val="22"/>
      <w:lang w:val="en-GB"/>
    </w:rPr>
  </w:style>
  <w:style w:type="character" w:customStyle="1" w:styleId="43">
    <w:name w:val="标题 6 字符"/>
    <w:basedOn w:val="16"/>
    <w:link w:val="7"/>
    <w:qFormat/>
    <w:uiPriority w:val="9"/>
    <w:rPr>
      <w:rFonts w:asciiTheme="majorHAnsi" w:hAnsiTheme="majorHAnsi" w:eastAsiaTheme="majorEastAsia" w:cstheme="majorBidi"/>
      <w:b/>
      <w:bCs/>
      <w:sz w:val="24"/>
      <w:szCs w:val="24"/>
      <w:lang w:val="en-GB"/>
    </w:rPr>
  </w:style>
  <w:style w:type="table" w:customStyle="1" w:styleId="44">
    <w:name w:val="无格式表格 13"/>
    <w:basedOn w:val="1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45">
    <w:name w:val="未处理的提及1"/>
    <w:basedOn w:val="16"/>
    <w:semiHidden/>
    <w:unhideWhenUsed/>
    <w:qFormat/>
    <w:uiPriority w:val="99"/>
    <w:rPr>
      <w:color w:val="605E5C"/>
      <w:shd w:val="clear" w:color="auto" w:fill="E1DFDD"/>
    </w:rPr>
  </w:style>
  <w:style w:type="table" w:customStyle="1" w:styleId="46">
    <w:name w:val="网格型1"/>
    <w:basedOn w:val="14"/>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网格表 1 浅色11"/>
    <w:basedOn w:val="14"/>
    <w:qFormat/>
    <w:uiPriority w:val="0"/>
    <w:rPr>
      <w:rFonts w:eastAsia="Times New Roman"/>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rFonts w:hint="default" w:ascii="Times New Roman" w:hAnsi="Times New Roman" w:cs="Times New Roman"/>
        <w:b/>
        <w:bCs/>
      </w:rPr>
      <w:tcPr>
        <w:tcBorders>
          <w:bottom w:val="single" w:color="666666" w:sz="12" w:space="0"/>
        </w:tcBorders>
      </w:tcPr>
    </w:tblStylePr>
    <w:tblStylePr w:type="lastRow">
      <w:rPr>
        <w:rFonts w:hint="default" w:ascii="Times New Roman" w:hAnsi="Times New Roman" w:cs="Times New Roman"/>
        <w:b/>
        <w:bCs/>
      </w:rPr>
      <w:tcPr>
        <w:tcBorders>
          <w:top w:val="double" w:color="666666" w:sz="2"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style>
  <w:style w:type="table" w:customStyle="1" w:styleId="48">
    <w:name w:val="网格表 1 浅色12"/>
    <w:basedOn w:val="14"/>
    <w:qFormat/>
    <w:uiPriority w:val="0"/>
    <w:rPr>
      <w:rFonts w:eastAsia="Times New Roman"/>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rFonts w:hint="default" w:ascii="Times New Roman" w:hAnsi="Times New Roman" w:cs="Times New Roman"/>
        <w:b/>
        <w:bCs/>
      </w:rPr>
      <w:tcPr>
        <w:tcBorders>
          <w:bottom w:val="single" w:color="666666" w:sz="12" w:space="0"/>
        </w:tcBorders>
      </w:tcPr>
    </w:tblStylePr>
    <w:tblStylePr w:type="lastRow">
      <w:rPr>
        <w:rFonts w:hint="default" w:ascii="Times New Roman" w:hAnsi="Times New Roman" w:cs="Times New Roman"/>
        <w:b/>
        <w:bCs/>
      </w:rPr>
      <w:tcPr>
        <w:tcBorders>
          <w:top w:val="double" w:color="666666" w:sz="2"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style>
  <w:style w:type="table" w:customStyle="1" w:styleId="49">
    <w:name w:val="网格表 1 浅色13"/>
    <w:basedOn w:val="14"/>
    <w:qFormat/>
    <w:uiPriority w:val="0"/>
    <w:rPr>
      <w:rFonts w:eastAsia="Times New Roman"/>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rFonts w:hint="default" w:ascii="Times New Roman" w:hAnsi="Times New Roman" w:cs="Times New Roman"/>
        <w:b/>
        <w:bCs/>
      </w:rPr>
      <w:tcPr>
        <w:tcBorders>
          <w:bottom w:val="single" w:color="666666" w:sz="12" w:space="0"/>
        </w:tcBorders>
      </w:tcPr>
    </w:tblStylePr>
    <w:tblStylePr w:type="lastRow">
      <w:rPr>
        <w:rFonts w:hint="default" w:ascii="Times New Roman" w:hAnsi="Times New Roman" w:cs="Times New Roman"/>
        <w:b/>
        <w:bCs/>
      </w:rPr>
      <w:tcPr>
        <w:tcBorders>
          <w:top w:val="double" w:color="666666" w:sz="2"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0EDE8-1688-4BDE-99AF-D3955852B820}">
  <ds:schemaRefs/>
</ds:datastoreItem>
</file>

<file path=docProps/app.xml><?xml version="1.0" encoding="utf-8"?>
<Properties xmlns="http://schemas.openxmlformats.org/officeDocument/2006/extended-properties" xmlns:vt="http://schemas.openxmlformats.org/officeDocument/2006/docPropsVTypes">
  <Template>Normal</Template>
  <Pages>13</Pages>
  <Words>2939</Words>
  <Characters>13856</Characters>
  <Lines>181</Lines>
  <Paragraphs>51</Paragraphs>
  <TotalTime>65</TotalTime>
  <ScaleCrop>false</ScaleCrop>
  <LinksUpToDate>false</LinksUpToDate>
  <CharactersWithSpaces>16613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2022-09-12T15:59:00Z</dcterms:created>
  <dc:creator>Soil King</dc:creator>
  <cp:lastModifiedBy>exceptional</cp:lastModifiedBy>
  <cp:lastPrinted>2021-12-24T06:59:00Z</cp:lastPrinted>
  <dcterms:modified xsi:type="dcterms:W3CDTF">2023-03-20T10:31:45Z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B3E2C4F3823440ABBFD1FBD25EA19F4E</vt:lpwstr>
  </property>
</Properties>
</file>