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2B23E8" w14:textId="77777777" w:rsidR="00577B2C" w:rsidRPr="00320650" w:rsidRDefault="00577B2C" w:rsidP="00577B2C">
      <w:pPr>
        <w:spacing w:line="480" w:lineRule="auto"/>
        <w:rPr>
          <w:b/>
          <w:sz w:val="22"/>
          <w:szCs w:val="22"/>
        </w:rPr>
      </w:pPr>
      <w:r w:rsidRPr="00320650">
        <w:rPr>
          <w:b/>
          <w:sz w:val="22"/>
          <w:szCs w:val="22"/>
        </w:rPr>
        <w:t>Supplementary Figures</w:t>
      </w:r>
    </w:p>
    <w:p w14:paraId="770D39D8" w14:textId="77777777" w:rsidR="00577B2C" w:rsidRPr="00320650" w:rsidRDefault="00577B2C" w:rsidP="00577B2C">
      <w:pPr>
        <w:spacing w:line="480" w:lineRule="auto"/>
        <w:rPr>
          <w:rFonts w:eastAsiaTheme="minorEastAsia"/>
          <w:b/>
          <w:sz w:val="22"/>
          <w:szCs w:val="22"/>
        </w:rPr>
      </w:pPr>
      <w:r w:rsidRPr="00320650">
        <w:rPr>
          <w:b/>
          <w:sz w:val="22"/>
          <w:szCs w:val="22"/>
        </w:rPr>
        <w:t>Supplementary</w:t>
      </w:r>
      <w:r w:rsidRPr="00320650">
        <w:rPr>
          <w:rFonts w:eastAsiaTheme="minorEastAsia"/>
          <w:b/>
          <w:sz w:val="22"/>
          <w:szCs w:val="22"/>
        </w:rPr>
        <w:t xml:space="preserve"> Figure 1</w:t>
      </w:r>
      <w:r>
        <w:rPr>
          <w:rFonts w:eastAsiaTheme="minorEastAsia"/>
          <w:b/>
          <w:sz w:val="22"/>
          <w:szCs w:val="22"/>
        </w:rPr>
        <w:t>. Flow chart of patient inclusion and</w:t>
      </w:r>
      <w:r w:rsidRPr="00320650">
        <w:rPr>
          <w:rFonts w:eastAsiaTheme="minorEastAsia"/>
          <w:b/>
          <w:sz w:val="22"/>
          <w:szCs w:val="22"/>
        </w:rPr>
        <w:t xml:space="preserve"> </w:t>
      </w:r>
      <w:r>
        <w:rPr>
          <w:rFonts w:eastAsiaTheme="minorEastAsia"/>
          <w:b/>
          <w:sz w:val="22"/>
          <w:szCs w:val="22"/>
        </w:rPr>
        <w:t>e</w:t>
      </w:r>
      <w:r w:rsidRPr="00320650">
        <w:rPr>
          <w:rFonts w:eastAsiaTheme="minorEastAsia"/>
          <w:b/>
          <w:sz w:val="22"/>
          <w:szCs w:val="22"/>
        </w:rPr>
        <w:t>xclusion</w:t>
      </w:r>
      <w:r>
        <w:rPr>
          <w:rFonts w:eastAsiaTheme="minorEastAsia"/>
          <w:b/>
          <w:sz w:val="22"/>
          <w:szCs w:val="22"/>
        </w:rPr>
        <w:t xml:space="preserve"> into the study.</w:t>
      </w:r>
      <w:r w:rsidRPr="00320650">
        <w:rPr>
          <w:rFonts w:eastAsiaTheme="minorEastAsia"/>
          <w:b/>
          <w:sz w:val="22"/>
          <w:szCs w:val="22"/>
        </w:rPr>
        <w:t xml:space="preserve"> </w:t>
      </w:r>
    </w:p>
    <w:p w14:paraId="51710702" w14:textId="77777777" w:rsidR="00577B2C" w:rsidRPr="00320650" w:rsidRDefault="00577B2C" w:rsidP="00577B2C">
      <w:pPr>
        <w:rPr>
          <w:rFonts w:eastAsiaTheme="minorEastAsia"/>
          <w:b/>
          <w:sz w:val="22"/>
          <w:szCs w:val="22"/>
        </w:rPr>
      </w:pPr>
      <w:r w:rsidRPr="00320650">
        <w:rPr>
          <w:rFonts w:eastAsiaTheme="minorEastAsia"/>
          <w:b/>
          <w:sz w:val="22"/>
          <w:szCs w:val="22"/>
        </w:rPr>
        <w:br w:type="page"/>
      </w:r>
    </w:p>
    <w:p w14:paraId="7826B529" w14:textId="77777777" w:rsidR="00577B2C" w:rsidRPr="00320650" w:rsidRDefault="00577B2C" w:rsidP="00577B2C">
      <w:pPr>
        <w:spacing w:line="276" w:lineRule="auto"/>
        <w:rPr>
          <w:rFonts w:eastAsiaTheme="minorEastAsia"/>
          <w:sz w:val="22"/>
          <w:szCs w:val="22"/>
        </w:rPr>
      </w:pPr>
      <w:r w:rsidRPr="00320650">
        <w:rPr>
          <w:b/>
          <w:sz w:val="22"/>
          <w:szCs w:val="22"/>
        </w:rPr>
        <w:lastRenderedPageBreak/>
        <w:t>Supplementary Figure 2</w:t>
      </w:r>
      <w:r w:rsidRPr="00320650">
        <w:t xml:space="preserve"> </w:t>
      </w:r>
      <w:proofErr w:type="spellStart"/>
      <w:r w:rsidRPr="00320650">
        <w:rPr>
          <w:b/>
          <w:sz w:val="22"/>
          <w:szCs w:val="22"/>
        </w:rPr>
        <w:t>ImageScope</w:t>
      </w:r>
      <w:proofErr w:type="spellEnd"/>
      <w:r w:rsidRPr="00320650">
        <w:rPr>
          <w:b/>
          <w:sz w:val="22"/>
          <w:szCs w:val="22"/>
        </w:rPr>
        <w:t xml:space="preserve"> for CPA analysis procedure</w:t>
      </w:r>
      <w:r w:rsidRPr="00320650">
        <w:rPr>
          <w:sz w:val="22"/>
          <w:szCs w:val="22"/>
        </w:rPr>
        <w:t xml:space="preserve"> </w:t>
      </w:r>
      <w:r w:rsidRPr="00320650">
        <w:rPr>
          <w:b/>
          <w:sz w:val="22"/>
          <w:szCs w:val="22"/>
        </w:rPr>
        <w:t>A)</w:t>
      </w:r>
      <w:r w:rsidRPr="00320650">
        <w:rPr>
          <w:sz w:val="22"/>
          <w:szCs w:val="22"/>
        </w:rPr>
        <w:t xml:space="preserve"> Select the valid test area and counter-select the excluded area including the liver capsule; </w:t>
      </w:r>
      <w:r w:rsidRPr="00320650">
        <w:rPr>
          <w:b/>
          <w:sz w:val="22"/>
          <w:szCs w:val="22"/>
        </w:rPr>
        <w:t>B)</w:t>
      </w:r>
      <w:r w:rsidRPr="00320650">
        <w:rPr>
          <w:sz w:val="22"/>
          <w:szCs w:val="22"/>
        </w:rPr>
        <w:t xml:space="preserve"> </w:t>
      </w:r>
      <w:r>
        <w:rPr>
          <w:sz w:val="22"/>
          <w:szCs w:val="22"/>
        </w:rPr>
        <w:t>E</w:t>
      </w:r>
      <w:r w:rsidRPr="00320650">
        <w:rPr>
          <w:sz w:val="22"/>
          <w:szCs w:val="22"/>
        </w:rPr>
        <w:t xml:space="preserve">nlarge the fibrotic area and open analysis window; </w:t>
      </w:r>
      <w:r w:rsidRPr="00320650">
        <w:rPr>
          <w:b/>
          <w:sz w:val="22"/>
          <w:szCs w:val="22"/>
        </w:rPr>
        <w:t>C)</w:t>
      </w:r>
      <w:r w:rsidRPr="00320650">
        <w:rPr>
          <w:sz w:val="22"/>
          <w:szCs w:val="22"/>
        </w:rPr>
        <w:t xml:space="preserve"> </w:t>
      </w:r>
      <w:r>
        <w:rPr>
          <w:sz w:val="22"/>
          <w:szCs w:val="22"/>
        </w:rPr>
        <w:t>A</w:t>
      </w:r>
      <w:r w:rsidRPr="00320650">
        <w:rPr>
          <w:sz w:val="22"/>
          <w:szCs w:val="22"/>
        </w:rPr>
        <w:t>djust parameters until the brown area represents all the collagen area, the blue area (negative) represents all the blank area (including steatosis and ballooning), and the orange and yellow area (medium and weakly positive) covers the rest. Start auto-analysis and generate positive/total proportion and CPA was calculated as (</w:t>
      </w:r>
      <w:proofErr w:type="spellStart"/>
      <w:r w:rsidRPr="00320650">
        <w:rPr>
          <w:sz w:val="22"/>
          <w:szCs w:val="22"/>
        </w:rPr>
        <w:t>Nsp</w:t>
      </w:r>
      <w:proofErr w:type="spellEnd"/>
      <w:r w:rsidRPr="00320650">
        <w:rPr>
          <w:sz w:val="22"/>
          <w:szCs w:val="22"/>
        </w:rPr>
        <w:t>/</w:t>
      </w:r>
      <w:proofErr w:type="spellStart"/>
      <w:proofErr w:type="gramStart"/>
      <w:r w:rsidRPr="00320650">
        <w:rPr>
          <w:sz w:val="22"/>
          <w:szCs w:val="22"/>
        </w:rPr>
        <w:t>Ntotal</w:t>
      </w:r>
      <w:proofErr w:type="spellEnd"/>
      <w:r w:rsidRPr="00320650">
        <w:rPr>
          <w:sz w:val="22"/>
          <w:szCs w:val="22"/>
        </w:rPr>
        <w:t>)×</w:t>
      </w:r>
      <w:proofErr w:type="gramEnd"/>
      <w:r w:rsidRPr="00320650">
        <w:rPr>
          <w:sz w:val="22"/>
          <w:szCs w:val="22"/>
        </w:rPr>
        <w:t xml:space="preserve">100%. Apply these analysis parameters to all the image analysis in this study. </w:t>
      </w:r>
      <w:r w:rsidRPr="00320650">
        <w:rPr>
          <w:b/>
          <w:sz w:val="22"/>
          <w:szCs w:val="22"/>
        </w:rPr>
        <w:t>D)</w:t>
      </w:r>
      <w:r w:rsidRPr="00320650">
        <w:rPr>
          <w:sz w:val="22"/>
          <w:szCs w:val="22"/>
        </w:rPr>
        <w:t xml:space="preserve"> Large liver capsules and connective tissue layers (green arrows) were counter-selected as excluded areas. </w:t>
      </w:r>
      <w:r w:rsidRPr="00320650">
        <w:rPr>
          <w:b/>
          <w:sz w:val="22"/>
          <w:szCs w:val="22"/>
        </w:rPr>
        <w:t>E)</w:t>
      </w:r>
      <w:r w:rsidRPr="00320650">
        <w:rPr>
          <w:sz w:val="22"/>
          <w:szCs w:val="22"/>
        </w:rPr>
        <w:t xml:space="preserve"> Highly fragmented tissue was excluded from further analysis. </w:t>
      </w:r>
    </w:p>
    <w:p w14:paraId="1C0A6B50" w14:textId="77777777" w:rsidR="009430F7" w:rsidRDefault="009430F7"/>
    <w:sectPr w:rsidR="009430F7" w:rsidSect="00226A74">
      <w:pgSz w:w="11900" w:h="16840"/>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4"/>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7B2C"/>
    <w:rsid w:val="000C7AC2"/>
    <w:rsid w:val="00577B2C"/>
    <w:rsid w:val="00671812"/>
    <w:rsid w:val="009430F7"/>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57E7F1"/>
  <w15:chartTrackingRefBased/>
  <w15:docId w15:val="{646EE685-012A-461C-B0FD-1B4CF6B6E8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AU"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77B2C"/>
    <w:rPr>
      <w:rFonts w:eastAsia="Times New Roman"/>
      <w:sz w:val="24"/>
      <w:szCs w:val="24"/>
    </w:rPr>
  </w:style>
  <w:style w:type="paragraph" w:styleId="Heading1">
    <w:name w:val="heading 1"/>
    <w:basedOn w:val="Normal"/>
    <w:next w:val="Normal"/>
    <w:link w:val="Heading1Char"/>
    <w:qFormat/>
    <w:rsid w:val="000C7AC2"/>
    <w:pPr>
      <w:keepNext/>
      <w:autoSpaceDE w:val="0"/>
      <w:autoSpaceDN w:val="0"/>
      <w:spacing w:before="240" w:after="60"/>
      <w:outlineLvl w:val="0"/>
    </w:pPr>
    <w:rPr>
      <w:rFonts w:asciiTheme="majorHAnsi" w:eastAsiaTheme="majorEastAsia" w:hAnsiTheme="majorHAnsi" w:cstheme="majorBidi"/>
      <w:b/>
      <w:bCs/>
      <w:kern w:val="32"/>
      <w:sz w:val="32"/>
      <w:szCs w:val="32"/>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0C7AC2"/>
    <w:rPr>
      <w:rFonts w:asciiTheme="majorHAnsi" w:eastAsiaTheme="majorEastAsia" w:hAnsiTheme="majorHAnsi" w:cstheme="majorBidi"/>
      <w:b/>
      <w:bCs/>
      <w:kern w:val="32"/>
      <w:sz w:val="32"/>
      <w:szCs w:val="32"/>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137</Words>
  <Characters>784</Characters>
  <Application>Microsoft Office Word</Application>
  <DocSecurity>0</DocSecurity>
  <Lines>6</Lines>
  <Paragraphs>1</Paragraphs>
  <ScaleCrop>false</ScaleCrop>
  <Company>University Western Australia</Company>
  <LinksUpToDate>false</LinksUpToDate>
  <CharactersWithSpaces>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Jenny Wang</dc:creator>
  <cp:keywords/>
  <dc:description/>
  <cp:lastModifiedBy>Jenny Wang</cp:lastModifiedBy>
  <cp:revision>1</cp:revision>
  <dcterms:created xsi:type="dcterms:W3CDTF">2022-12-02T07:18:00Z</dcterms:created>
  <dcterms:modified xsi:type="dcterms:W3CDTF">2022-12-02T07:18:00Z</dcterms:modified>
</cp:coreProperties>
</file>