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t>Supplementary F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ure S2. </w:t>
      </w:r>
      <w:r>
        <w:rPr>
          <w:rFonts w:ascii="Times New Roman" w:hAnsi="Times New Roman" w:eastAsia="等线" w:cs="Times New Roman"/>
          <w:sz w:val="24"/>
          <w:szCs w:val="24"/>
        </w:rPr>
        <w:t>The distribution of clinical features in different clusters of samples was analyzed in two subtypes.</w:t>
      </w: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163570"/>
            <wp:effectExtent l="0" t="0" r="7620" b="17780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hY2U5YWM5ZmY0NjUxZWE3ODM1ZDE4ZjhiMWMyODkifQ=="/>
    <w:docVar w:name="KSO_WPS_MARK_KEY" w:val="4d24efd8-664f-455b-b1b6-a0343be39555"/>
  </w:docVars>
  <w:rsids>
    <w:rsidRoot w:val="00000000"/>
    <w:rsid w:val="7BC6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2023-03-29T08:31:33Z</dcterms:created>
  <dc:creator>lenovo</dc:creator>
  <cp:lastModifiedBy>WPS_1649212481</cp:lastModifiedBy>
  <dcterms:modified xsi:type="dcterms:W3CDTF">2023-03-29T08:32:19Z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6640D0BA924D4E8D9164CC86D8CBFA6B</vt:lpwstr>
  </property>
</Properties>
</file>