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B62D7" w14:textId="77777777" w:rsidR="008D1DC6" w:rsidRPr="008D1DC6" w:rsidRDefault="008D1DC6" w:rsidP="008D1DC6">
      <w:pPr>
        <w:spacing w:after="16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MY"/>
        </w:rPr>
      </w:pPr>
      <w:r w:rsidRPr="008D1DC6"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Table 1. Summary of literature review </w:t>
      </w:r>
    </w:p>
    <w:tbl>
      <w:tblPr>
        <w:tblStyle w:val="TableGrid"/>
        <w:tblW w:w="9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9"/>
        <w:gridCol w:w="1432"/>
        <w:gridCol w:w="1223"/>
        <w:gridCol w:w="1403"/>
        <w:gridCol w:w="3820"/>
      </w:tblGrid>
      <w:tr w:rsidR="008D1DC6" w:rsidRPr="008D1DC6" w14:paraId="6DAA281E" w14:textId="77777777" w:rsidTr="00FA5FE8">
        <w:trPr>
          <w:trHeight w:val="795"/>
        </w:trPr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178B87AF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Author</w:t>
            </w:r>
          </w:p>
          <w:p w14:paraId="5EE0F32E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14:paraId="76DE04CC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 xml:space="preserve">Number of participants 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3E6B0530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Country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14:paraId="2AB2DEAD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COVID-19 status</w:t>
            </w:r>
          </w:p>
        </w:tc>
        <w:tc>
          <w:tcPr>
            <w:tcW w:w="3820" w:type="dxa"/>
            <w:tcBorders>
              <w:top w:val="single" w:sz="4" w:space="0" w:color="auto"/>
              <w:bottom w:val="single" w:sz="4" w:space="0" w:color="auto"/>
            </w:tcBorders>
          </w:tcPr>
          <w:p w14:paraId="2B155D54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Findings relevant to anosmia/hyposmia</w:t>
            </w:r>
          </w:p>
        </w:tc>
      </w:tr>
      <w:tr w:rsidR="008D1DC6" w:rsidRPr="008D1DC6" w14:paraId="4142F287" w14:textId="77777777" w:rsidTr="00FA5FE8">
        <w:trPr>
          <w:trHeight w:val="1345"/>
        </w:trPr>
        <w:tc>
          <w:tcPr>
            <w:tcW w:w="1329" w:type="dxa"/>
            <w:tcBorders>
              <w:top w:val="single" w:sz="4" w:space="0" w:color="auto"/>
            </w:tcBorders>
          </w:tcPr>
          <w:p w14:paraId="33D2077A" w14:textId="03B4C1DC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Mao et al., 2020</w:t>
            </w:r>
            <w:r w:rsidR="00D13627">
              <w:rPr>
                <w:rFonts w:ascii="Times New Roman" w:eastAsia="Calibri" w:hAnsi="Times New Roman"/>
                <w:lang w:val="en-MY"/>
              </w:rPr>
              <w:t xml:space="preserve"> </w: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begin"/>
            </w:r>
            <w:r w:rsidRPr="008D1DC6">
              <w:rPr>
                <w:rFonts w:ascii="Times New Roman" w:eastAsia="Calibri" w:hAnsi="Times New Roman"/>
                <w:lang w:val="en-MY"/>
              </w:rPr>
              <w:instrText xml:space="preserve"> ADDIN EN.CITE &lt;EndNote&gt;&lt;Cite&gt;&lt;Author&gt;Mao&lt;/Author&gt;&lt;Year&gt;2020&lt;/Year&gt;&lt;RecNum&gt;4&lt;/RecNum&gt;&lt;DisplayText&gt;(7)&lt;/DisplayText&gt;&lt;record&gt;&lt;rec-number&gt;4&lt;/rec-number&gt;&lt;foreign-keys&gt;&lt;key app="EN" db-id="2p0rf5dx7exz21ev5t6502rs2fts5x9sxezr" timestamp="1586498101"&gt;4&lt;/key&gt;&lt;/foreign-keys&gt;&lt;ref-type name="Journal Article"&gt;17&lt;/ref-type&gt;&lt;contributors&gt;&lt;authors&gt;&lt;author&gt;Mao, Ling&lt;/author&gt;&lt;author&gt;Wang, Mengdie&lt;/author&gt;&lt;author&gt;Chen, Shanghai&lt;/author&gt;&lt;author&gt;He, Quanwei&lt;/author&gt;&lt;author&gt;Chang, Jiang&lt;/author&gt;&lt;author&gt;Hong, Candong&lt;/author&gt;&lt;author&gt;Zhou, Yifan&lt;/author&gt;&lt;author&gt;Wang, David&lt;/author&gt;&lt;author&gt;Li, Yanan&lt;/author&gt;&lt;author&gt;Jin, Huijuan&lt;/author&gt;&lt;author&gt;Hu, Bo&lt;/author&gt;&lt;/authors&gt;&lt;/contributors&gt;&lt;titles&gt;&lt;title&gt;Neurological Manifestations of Hospitalized Patients with COVID-19 in Wuhan, China: a retrospective case series study&lt;/title&gt;&lt;secondary-title&gt;medRxiv&lt;/secondary-title&gt;&lt;/titles&gt;&lt;periodical&gt;&lt;full-title&gt;medRxiv&lt;/full-title&gt;&lt;/periodical&gt;&lt;pages&gt;2020.02.22.20026500&lt;/pages&gt;&lt;dates&gt;&lt;year&gt;2020&lt;/year&gt;&lt;/dates&gt;&lt;urls&gt;&lt;related-urls&gt;&lt;url&gt;http://medrxiv.org/content/early/2020/02/25/2020.02.22.20026500.abstract&lt;/url&gt;&lt;/related-urls&gt;&lt;/urls&gt;&lt;electronic-resource-num&gt;10.1101/2020.02.22.20026500&lt;/electronic-resource-num&gt;&lt;/record&gt;&lt;/Cite&gt;&lt;/EndNote&gt;</w:instrTex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separate"/>
            </w:r>
            <w:r w:rsidRPr="008D1DC6">
              <w:rPr>
                <w:rFonts w:ascii="Times New Roman" w:eastAsia="Calibri" w:hAnsi="Times New Roman"/>
                <w:noProof/>
                <w:lang w:val="en-MY"/>
              </w:rPr>
              <w:t>(7)</w: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</w:tcBorders>
          </w:tcPr>
          <w:p w14:paraId="1B75A179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214</w:t>
            </w:r>
          </w:p>
          <w:p w14:paraId="0AC063BF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14:paraId="11BF4020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Wuhan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14:paraId="710BC5C4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Positive</w:t>
            </w:r>
          </w:p>
        </w:tc>
        <w:tc>
          <w:tcPr>
            <w:tcW w:w="3820" w:type="dxa"/>
            <w:tcBorders>
              <w:top w:val="single" w:sz="4" w:space="0" w:color="auto"/>
            </w:tcBorders>
          </w:tcPr>
          <w:p w14:paraId="6BAEEE9B" w14:textId="77777777" w:rsidR="008D1DC6" w:rsidRPr="008D1DC6" w:rsidRDefault="008D1DC6" w:rsidP="008D1DC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 xml:space="preserve">11 out of 214 patients (5.1%) had hyposmia </w:t>
            </w:r>
          </w:p>
          <w:p w14:paraId="31049AA2" w14:textId="77777777" w:rsidR="008D1DC6" w:rsidRPr="008D1DC6" w:rsidRDefault="008D1DC6" w:rsidP="008D1DC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3 were severe cases, 8 not severe</w:t>
            </w:r>
          </w:p>
          <w:p w14:paraId="18AD091A" w14:textId="77777777" w:rsidR="008D1DC6" w:rsidRPr="008D1DC6" w:rsidRDefault="008D1DC6" w:rsidP="008D1DC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Finding was not significant (p=0.338)</w:t>
            </w:r>
          </w:p>
        </w:tc>
      </w:tr>
      <w:tr w:rsidR="008D1DC6" w:rsidRPr="008D1DC6" w14:paraId="1C465B37" w14:textId="77777777" w:rsidTr="00FA5FE8">
        <w:trPr>
          <w:trHeight w:val="264"/>
        </w:trPr>
        <w:tc>
          <w:tcPr>
            <w:tcW w:w="1329" w:type="dxa"/>
          </w:tcPr>
          <w:p w14:paraId="405EF4D8" w14:textId="487DB511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Vaira et al., 2020</w:t>
            </w:r>
            <w:r w:rsidR="00D13627">
              <w:rPr>
                <w:rFonts w:ascii="Times New Roman" w:eastAsia="Calibri" w:hAnsi="Times New Roman"/>
                <w:lang w:val="en-MY"/>
              </w:rPr>
              <w:t xml:space="preserve"> </w: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begin"/>
            </w:r>
            <w:r w:rsidRPr="008D1DC6">
              <w:rPr>
                <w:rFonts w:ascii="Times New Roman" w:eastAsia="Calibri" w:hAnsi="Times New Roman"/>
                <w:lang w:val="en-MY"/>
              </w:rPr>
              <w:instrText xml:space="preserve"> ADDIN EN.CITE &lt;EndNote&gt;&lt;Cite&gt;&lt;Author&gt;Vaira&lt;/Author&gt;&lt;Year&gt;2020&lt;/Year&gt;&lt;RecNum&gt;2&lt;/RecNum&gt;&lt;DisplayText&gt;(8)&lt;/DisplayText&gt;&lt;record&gt;&lt;rec-number&gt;2&lt;/rec-number&gt;&lt;foreign-keys&gt;&lt;key app="EN" db-id="2p0rf5dx7exz21ev5t6502rs2fts5x9sxezr" timestamp="1586497627"&gt;2&lt;/key&gt;&lt;/foreign-keys&gt;&lt;ref-type name="Journal Article"&gt;17&lt;/ref-type&gt;&lt;contributors&gt;&lt;authors&gt;&lt;author&gt;Vaira, L. A.&lt;/author&gt;&lt;author&gt;Salzano, G.&lt;/author&gt;&lt;author&gt;Deiana, G.&lt;/author&gt;&lt;author&gt;De Riu, G.&lt;/author&gt;&lt;/authors&gt;&lt;/contributors&gt;&lt;auth-address&gt;Maxillofacial Surgery Unit, University Hospital of Sassari, Viale San Pietro 43/B, 07100, Sassari, Italy.&amp;#xD;Direction, Hygiene and Hospital Infection Control Operative Unit, University Hospital of Sassari, Via Padre Manzella 4, 07100, Sassari, Italy.&amp;#xD;Maxillofacial Surgery Unit, University Hospital of Naples &amp;quot;Federico II&amp;quot;, Via Pansini 5, 80131, Naples, Italy.&lt;/auth-address&gt;&lt;titles&gt;&lt;title&gt;Anosmia and ageusia: common findings in COVID-19 patients&lt;/title&gt;&lt;secondary-title&gt;Laryngoscope&lt;/secondary-title&gt;&lt;alt-title&gt;The Laryngoscope&lt;/alt-title&gt;&lt;/titles&gt;&lt;periodical&gt;&lt;full-title&gt;Laryngoscope&lt;/full-title&gt;&lt;abbr-1&gt;The Laryngoscope&lt;/abbr-1&gt;&lt;/periodical&gt;&lt;alt-periodical&gt;&lt;full-title&gt;Laryngoscope&lt;/full-title&gt;&lt;abbr-1&gt;The Laryngoscope&lt;/abbr-1&gt;&lt;/alt-periodical&gt;&lt;edition&gt;2020/04/03&lt;/edition&gt;&lt;dates&gt;&lt;year&gt;2020&lt;/year&gt;&lt;pub-dates&gt;&lt;date&gt;Apr 1&lt;/date&gt;&lt;/pub-dates&gt;&lt;/dates&gt;&lt;isbn&gt;0023-852x&lt;/isbn&gt;&lt;accession-num&gt;32237238&lt;/accession-num&gt;&lt;urls&gt;&lt;/urls&gt;&lt;electronic-resource-num&gt;10.1002/lary.28692&lt;/electronic-resource-num&gt;&lt;remote-database-provider&gt;NLM&lt;/remote-database-provider&gt;&lt;language&gt;eng&lt;/language&gt;&lt;/record&gt;&lt;/Cite&gt;&lt;/EndNote&gt;</w:instrTex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separate"/>
            </w:r>
            <w:r w:rsidRPr="008D1DC6">
              <w:rPr>
                <w:rFonts w:ascii="Times New Roman" w:eastAsia="Calibri" w:hAnsi="Times New Roman"/>
                <w:noProof/>
                <w:lang w:val="en-MY"/>
              </w:rPr>
              <w:t>(8)</w: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end"/>
            </w:r>
          </w:p>
          <w:p w14:paraId="15E3C71B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</w:p>
        </w:tc>
        <w:tc>
          <w:tcPr>
            <w:tcW w:w="1432" w:type="dxa"/>
          </w:tcPr>
          <w:p w14:paraId="5E5A18F8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320</w:t>
            </w:r>
          </w:p>
          <w:p w14:paraId="417CCAD8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</w:p>
        </w:tc>
        <w:tc>
          <w:tcPr>
            <w:tcW w:w="1223" w:type="dxa"/>
          </w:tcPr>
          <w:p w14:paraId="6B7E97C2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Italy</w:t>
            </w:r>
          </w:p>
          <w:p w14:paraId="7290DEC4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</w:p>
        </w:tc>
        <w:tc>
          <w:tcPr>
            <w:tcW w:w="1403" w:type="dxa"/>
          </w:tcPr>
          <w:p w14:paraId="3ABEF79F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Positive</w:t>
            </w:r>
          </w:p>
        </w:tc>
        <w:tc>
          <w:tcPr>
            <w:tcW w:w="3820" w:type="dxa"/>
          </w:tcPr>
          <w:p w14:paraId="4B2E5053" w14:textId="77777777" w:rsidR="008D1DC6" w:rsidRPr="008D1DC6" w:rsidRDefault="008D1DC6" w:rsidP="008D1DC6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Estimated that chemosensory dysfunction is present in 19.4%</w:t>
            </w:r>
          </w:p>
          <w:p w14:paraId="4ACC5785" w14:textId="77777777" w:rsidR="008D1DC6" w:rsidRPr="008D1DC6" w:rsidRDefault="008D1DC6" w:rsidP="008D1DC6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No true statistical data due to state of health crisis in country</w:t>
            </w:r>
          </w:p>
        </w:tc>
      </w:tr>
      <w:tr w:rsidR="008D1DC6" w:rsidRPr="008D1DC6" w14:paraId="3582D140" w14:textId="77777777" w:rsidTr="00FA5FE8">
        <w:trPr>
          <w:trHeight w:val="264"/>
        </w:trPr>
        <w:tc>
          <w:tcPr>
            <w:tcW w:w="1329" w:type="dxa"/>
          </w:tcPr>
          <w:p w14:paraId="522614E9" w14:textId="19982418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proofErr w:type="spellStart"/>
            <w:r w:rsidRPr="008D1DC6">
              <w:rPr>
                <w:rFonts w:ascii="Times New Roman" w:eastAsia="Calibri" w:hAnsi="Times New Roman"/>
                <w:lang w:val="en-MY"/>
              </w:rPr>
              <w:t>Giacomelli</w:t>
            </w:r>
            <w:proofErr w:type="spellEnd"/>
            <w:r w:rsidRPr="008D1DC6">
              <w:rPr>
                <w:rFonts w:ascii="Times New Roman" w:eastAsia="Calibri" w:hAnsi="Times New Roman"/>
                <w:lang w:val="en-MY"/>
              </w:rPr>
              <w:t xml:space="preserve"> et al., 2020</w:t>
            </w:r>
            <w:r w:rsidR="00D13627">
              <w:rPr>
                <w:rFonts w:ascii="Times New Roman" w:eastAsia="Calibri" w:hAnsi="Times New Roman"/>
                <w:lang w:val="en-MY"/>
              </w:rPr>
              <w:t xml:space="preserve"> </w: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begin">
                <w:fldData xml:space="preserve">PEVuZE5vdGU+PENpdGU+PEF1dGhvcj5HaWFjb21lbGxpPC9BdXRob3I+PFllYXI+MjAyMDwvWWVh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</w:fldData>
              </w:fldChar>
            </w:r>
            <w:r w:rsidRPr="008D1DC6">
              <w:rPr>
                <w:rFonts w:ascii="Times New Roman" w:eastAsia="Calibri" w:hAnsi="Times New Roman"/>
                <w:lang w:val="en-MY"/>
              </w:rPr>
              <w:instrText xml:space="preserve"> ADDIN EN.CITE </w:instrTex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begin">
                <w:fldData xml:space="preserve">PEVuZE5vdGU+PENpdGU+PEF1dGhvcj5HaWFjb21lbGxpPC9BdXRob3I+PFllYXI+MjAyMDwvWWVh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</w:fldData>
              </w:fldChar>
            </w:r>
            <w:r w:rsidRPr="008D1DC6">
              <w:rPr>
                <w:rFonts w:ascii="Times New Roman" w:eastAsia="Calibri" w:hAnsi="Times New Roman"/>
                <w:lang w:val="en-MY"/>
              </w:rPr>
              <w:instrText xml:space="preserve"> ADDIN EN.CITE.DATA </w:instrText>
            </w:r>
            <w:r w:rsidRPr="008D1DC6">
              <w:rPr>
                <w:rFonts w:ascii="Times New Roman" w:eastAsia="Calibri" w:hAnsi="Times New Roman"/>
                <w:lang w:val="en-MY"/>
              </w:rPr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end"/>
            </w:r>
            <w:r w:rsidRPr="008D1DC6">
              <w:rPr>
                <w:rFonts w:ascii="Times New Roman" w:eastAsia="Calibri" w:hAnsi="Times New Roman"/>
                <w:lang w:val="en-MY"/>
              </w:rPr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separate"/>
            </w:r>
            <w:r w:rsidRPr="008D1DC6">
              <w:rPr>
                <w:rFonts w:ascii="Times New Roman" w:eastAsia="Calibri" w:hAnsi="Times New Roman"/>
                <w:noProof/>
                <w:lang w:val="en-MY"/>
              </w:rPr>
              <w:t>(9)</w: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end"/>
            </w:r>
          </w:p>
          <w:p w14:paraId="19FD16DF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</w:p>
        </w:tc>
        <w:tc>
          <w:tcPr>
            <w:tcW w:w="1432" w:type="dxa"/>
          </w:tcPr>
          <w:p w14:paraId="1D6335E4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59</w:t>
            </w:r>
          </w:p>
        </w:tc>
        <w:tc>
          <w:tcPr>
            <w:tcW w:w="1223" w:type="dxa"/>
          </w:tcPr>
          <w:p w14:paraId="02172D3F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Italy</w:t>
            </w:r>
          </w:p>
        </w:tc>
        <w:tc>
          <w:tcPr>
            <w:tcW w:w="1403" w:type="dxa"/>
          </w:tcPr>
          <w:p w14:paraId="4E2F6CF4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Positive</w:t>
            </w:r>
          </w:p>
        </w:tc>
        <w:tc>
          <w:tcPr>
            <w:tcW w:w="3820" w:type="dxa"/>
          </w:tcPr>
          <w:p w14:paraId="0C73A6C9" w14:textId="77777777" w:rsidR="008D1DC6" w:rsidRPr="008D1DC6" w:rsidRDefault="008D1DC6" w:rsidP="008D1DC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20 (33.9%) had at least one taste or olfactory disorder and 11 (18.6%) had both.</w:t>
            </w:r>
          </w:p>
          <w:p w14:paraId="4BD224D7" w14:textId="77777777" w:rsidR="008D1DC6" w:rsidRPr="008D1DC6" w:rsidRDefault="008D1DC6" w:rsidP="008D1DC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 xml:space="preserve">12 patients had the symptoms prior to hospitalization while 8 of them started experiencing the symptoms during the hospital stay. </w:t>
            </w:r>
          </w:p>
          <w:p w14:paraId="57DC324E" w14:textId="77777777" w:rsidR="008D1DC6" w:rsidRPr="008D1DC6" w:rsidRDefault="008D1DC6" w:rsidP="008D1DC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Females reported these symptoms more frequently than males [ 10 out of 19 females (52.6%); 10 out of 40 males (25%); p=0.036]</w:t>
            </w:r>
          </w:p>
        </w:tc>
      </w:tr>
      <w:tr w:rsidR="008D1DC6" w:rsidRPr="008D1DC6" w14:paraId="7F5D830A" w14:textId="77777777" w:rsidTr="00FA5FE8">
        <w:trPr>
          <w:trHeight w:val="264"/>
        </w:trPr>
        <w:tc>
          <w:tcPr>
            <w:tcW w:w="1329" w:type="dxa"/>
          </w:tcPr>
          <w:p w14:paraId="76A241D7" w14:textId="7CAD7B2A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proofErr w:type="spellStart"/>
            <w:r w:rsidRPr="008D1DC6">
              <w:rPr>
                <w:rFonts w:ascii="Times New Roman" w:eastAsia="Calibri" w:hAnsi="Times New Roman"/>
                <w:lang w:val="en-MY"/>
              </w:rPr>
              <w:t>Lechien</w:t>
            </w:r>
            <w:proofErr w:type="spellEnd"/>
            <w:r w:rsidRPr="008D1DC6">
              <w:rPr>
                <w:rFonts w:ascii="Times New Roman" w:eastAsia="Calibri" w:hAnsi="Times New Roman"/>
                <w:lang w:val="en-MY"/>
              </w:rPr>
              <w:t xml:space="preserve"> et al., 2020</w:t>
            </w:r>
            <w:r w:rsidR="00D13627">
              <w:rPr>
                <w:rFonts w:ascii="Times New Roman" w:eastAsia="Calibri" w:hAnsi="Times New Roman"/>
                <w:lang w:val="en-MY"/>
              </w:rPr>
              <w:t xml:space="preserve"> </w: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begin">
                <w:fldData xml:space="preserve">PEVuZE5vdGU+PENpdGU+PEF1dGhvcj5MZWNoaWVuPC9BdXRob3I+PFllYXI+MjAyMDwvWWVhcj48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</w:fldData>
              </w:fldChar>
            </w:r>
            <w:r w:rsidRPr="008D1DC6">
              <w:rPr>
                <w:rFonts w:ascii="Times New Roman" w:eastAsia="Calibri" w:hAnsi="Times New Roman"/>
                <w:lang w:val="en-MY"/>
              </w:rPr>
              <w:instrText xml:space="preserve"> ADDIN EN.CITE </w:instrTex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begin">
                <w:fldData xml:space="preserve">PEVuZE5vdGU+PENpdGU+PEF1dGhvcj5MZWNoaWVuPC9BdXRob3I+PFllYXI+MjAyMDwvWWVhcj48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</w:fldData>
              </w:fldChar>
            </w:r>
            <w:r w:rsidRPr="008D1DC6">
              <w:rPr>
                <w:rFonts w:ascii="Times New Roman" w:eastAsia="Calibri" w:hAnsi="Times New Roman"/>
                <w:lang w:val="en-MY"/>
              </w:rPr>
              <w:instrText xml:space="preserve"> ADDIN EN.CITE.DATA </w:instrText>
            </w:r>
            <w:r w:rsidRPr="008D1DC6">
              <w:rPr>
                <w:rFonts w:ascii="Times New Roman" w:eastAsia="Calibri" w:hAnsi="Times New Roman"/>
                <w:lang w:val="en-MY"/>
              </w:rPr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end"/>
            </w:r>
            <w:r w:rsidRPr="008D1DC6">
              <w:rPr>
                <w:rFonts w:ascii="Times New Roman" w:eastAsia="Calibri" w:hAnsi="Times New Roman"/>
                <w:lang w:val="en-MY"/>
              </w:rPr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separate"/>
            </w:r>
            <w:r w:rsidRPr="008D1DC6">
              <w:rPr>
                <w:rFonts w:ascii="Times New Roman" w:eastAsia="Calibri" w:hAnsi="Times New Roman"/>
                <w:noProof/>
                <w:lang w:val="en-MY"/>
              </w:rPr>
              <w:t>(10)</w: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end"/>
            </w:r>
          </w:p>
        </w:tc>
        <w:tc>
          <w:tcPr>
            <w:tcW w:w="1432" w:type="dxa"/>
          </w:tcPr>
          <w:p w14:paraId="49C4BAC8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417</w:t>
            </w:r>
          </w:p>
        </w:tc>
        <w:tc>
          <w:tcPr>
            <w:tcW w:w="1223" w:type="dxa"/>
          </w:tcPr>
          <w:p w14:paraId="1B3E773B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12 European hospitals (Belgium, France, Italy, Spain)</w:t>
            </w:r>
          </w:p>
        </w:tc>
        <w:tc>
          <w:tcPr>
            <w:tcW w:w="1403" w:type="dxa"/>
          </w:tcPr>
          <w:p w14:paraId="4670CD7A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Positive</w:t>
            </w:r>
          </w:p>
        </w:tc>
        <w:tc>
          <w:tcPr>
            <w:tcW w:w="3820" w:type="dxa"/>
          </w:tcPr>
          <w:p w14:paraId="7087A040" w14:textId="77777777" w:rsidR="008D1DC6" w:rsidRPr="008D1DC6" w:rsidRDefault="008D1DC6" w:rsidP="008D1DC6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 xml:space="preserve">357 patients (85.6%) had olfactory dysfunction.  </w:t>
            </w:r>
          </w:p>
          <w:p w14:paraId="1E1BBCC6" w14:textId="77777777" w:rsidR="008D1DC6" w:rsidRPr="008D1DC6" w:rsidRDefault="008D1DC6" w:rsidP="008D1DC6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 xml:space="preserve">Anosmia was present in 284 patients (79.6%) while hyposmia was present in 72 patients (20.4%). </w:t>
            </w:r>
          </w:p>
          <w:p w14:paraId="2925C5C8" w14:textId="77777777" w:rsidR="008D1DC6" w:rsidRPr="008D1DC6" w:rsidRDefault="008D1DC6" w:rsidP="008D1DC6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 xml:space="preserve">Females were found to be more affected by anosmia or hyposmia than males. </w:t>
            </w:r>
          </w:p>
          <w:p w14:paraId="292158EF" w14:textId="77777777" w:rsidR="008D1DC6" w:rsidRPr="008D1DC6" w:rsidRDefault="008D1DC6" w:rsidP="008D1DC6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72.6% regained olfactory function within the first 8 days following disease resolution</w:t>
            </w:r>
          </w:p>
        </w:tc>
      </w:tr>
      <w:tr w:rsidR="008D1DC6" w:rsidRPr="008D1DC6" w14:paraId="202D0AF4" w14:textId="77777777" w:rsidTr="00FA5FE8">
        <w:trPr>
          <w:trHeight w:val="264"/>
        </w:trPr>
        <w:tc>
          <w:tcPr>
            <w:tcW w:w="1329" w:type="dxa"/>
          </w:tcPr>
          <w:p w14:paraId="41791C01" w14:textId="265B0148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Bagheri et al., 2020</w:t>
            </w:r>
            <w:r w:rsidR="00D13627">
              <w:rPr>
                <w:rFonts w:ascii="Times New Roman" w:eastAsia="Calibri" w:hAnsi="Times New Roman"/>
                <w:lang w:val="en-MY"/>
              </w:rPr>
              <w:t xml:space="preserve"> </w: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begin"/>
            </w:r>
            <w:r w:rsidRPr="008D1DC6">
              <w:rPr>
                <w:rFonts w:ascii="Times New Roman" w:eastAsia="Calibri" w:hAnsi="Times New Roman"/>
                <w:lang w:val="en-MY"/>
              </w:rPr>
              <w:instrText xml:space="preserve"> ADDIN EN.CITE &lt;EndNote&gt;&lt;Cite&gt;&lt;Author&gt;Bagheri&lt;/Author&gt;&lt;Year&gt;2020&lt;/Year&gt;&lt;RecNum&gt;11&lt;/RecNum&gt;&lt;DisplayText&gt;(11)&lt;/DisplayText&gt;&lt;record&gt;&lt;rec-number&gt;11&lt;/rec-number&gt;&lt;foreign-keys&gt;&lt;key app="EN" db-id="2p0rf5dx7exz21ev5t6502rs2fts5x9sxezr" timestamp="1586500369"&gt;11&lt;/key&gt;&lt;/foreign-keys&gt;&lt;ref-type name="Journal Article"&gt;17&lt;/ref-type&gt;&lt;contributors&gt;&lt;authors&gt;&lt;author&gt;Bagheri, Seyed Hamid Reza&lt;/author&gt;&lt;author&gt;Asghari, Ali Mohammad&lt;/author&gt;&lt;author&gt;Farhadi, Mohammad&lt;/author&gt;&lt;author&gt;Shamshiri, Ahmad Reza&lt;/author&gt;&lt;author&gt;Kabir, Ali&lt;/author&gt;&lt;author&gt;Kamrava, Seyed Kamran&lt;/author&gt;&lt;author&gt;Jalessi, Maryam&lt;/author&gt;&lt;author&gt;Mohebbi, Alireza&lt;/author&gt;&lt;author&gt;Alizadeh, Rafieh&lt;/author&gt;&lt;author&gt;Honarmand, Ali Asghar&lt;/author&gt;&lt;author&gt;Ghalehbaghi, Babak&lt;/author&gt;&lt;author&gt;Salimi, Alireza&lt;/author&gt;&lt;/authors&gt;&lt;/contributors&gt;&lt;titles&gt;&lt;title&gt;Coincidence of COVID-19 epidemic and olfactory dysfunction outbreak&lt;/title&gt;&lt;secondary-title&gt;medRxiv&lt;/secondary-title&gt;&lt;/titles&gt;&lt;periodical&gt;&lt;full-title&gt;medRxiv&lt;/full-title&gt;&lt;/periodical&gt;&lt;pages&gt;2020.03.23.20041889&lt;/pages&gt;&lt;dates&gt;&lt;year&gt;2020&lt;/year&gt;&lt;/dates&gt;&lt;urls&gt;&lt;related-urls&gt;&lt;url&gt;http://medrxiv.org/content/early/2020/03/27/2020.03.23.20041889.abstract&lt;/url&gt;&lt;/related-urls&gt;&lt;/urls&gt;&lt;electronic-resource-num&gt;10.1101/2020.03.23.20041889&lt;/electronic-resource-num&gt;&lt;/record&gt;&lt;/Cite&gt;&lt;/EndNote&gt;</w:instrTex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separate"/>
            </w:r>
            <w:r w:rsidRPr="008D1DC6">
              <w:rPr>
                <w:rFonts w:ascii="Times New Roman" w:eastAsia="Calibri" w:hAnsi="Times New Roman"/>
                <w:noProof/>
                <w:lang w:val="en-MY"/>
              </w:rPr>
              <w:t>(11)</w: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end"/>
            </w:r>
          </w:p>
        </w:tc>
        <w:tc>
          <w:tcPr>
            <w:tcW w:w="1432" w:type="dxa"/>
          </w:tcPr>
          <w:p w14:paraId="5E34387D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10069</w:t>
            </w:r>
          </w:p>
        </w:tc>
        <w:tc>
          <w:tcPr>
            <w:tcW w:w="1223" w:type="dxa"/>
          </w:tcPr>
          <w:p w14:paraId="1468035B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Iran</w:t>
            </w:r>
          </w:p>
        </w:tc>
        <w:tc>
          <w:tcPr>
            <w:tcW w:w="1403" w:type="dxa"/>
          </w:tcPr>
          <w:p w14:paraId="75557BC5" w14:textId="77777777" w:rsidR="008D1DC6" w:rsidRPr="008D1DC6" w:rsidRDefault="008D1DC6" w:rsidP="008D1DC6">
            <w:pPr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 xml:space="preserve">Uncertain -the study enrolled all with hyposmia/anosmia within 1-month (since the start of COVID-19 epidemic in Iran) No information provided if </w:t>
            </w:r>
            <w:r w:rsidRPr="008D1DC6">
              <w:rPr>
                <w:rFonts w:ascii="Times New Roman" w:eastAsia="Calibri" w:hAnsi="Times New Roman"/>
                <w:lang w:val="en-MY"/>
              </w:rPr>
              <w:lastRenderedPageBreak/>
              <w:t>they were then tested</w:t>
            </w:r>
          </w:p>
        </w:tc>
        <w:tc>
          <w:tcPr>
            <w:tcW w:w="3820" w:type="dxa"/>
          </w:tcPr>
          <w:p w14:paraId="6B7A19DE" w14:textId="77777777" w:rsidR="008D1DC6" w:rsidRPr="008D1DC6" w:rsidRDefault="008D1DC6" w:rsidP="008D1DC6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lastRenderedPageBreak/>
              <w:t>There was a surge of olfactory dysfunction coinciding with the COVID-19 epidemic in Iran</w:t>
            </w:r>
          </w:p>
          <w:p w14:paraId="463F49AB" w14:textId="77777777" w:rsidR="008D1DC6" w:rsidRPr="008D1DC6" w:rsidRDefault="008D1DC6" w:rsidP="008D1DC6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The correlation between anosmia with the number of COVID-19 positive patients was significant (Spearman correlation coefficient 0.87; p &lt; 0.001)</w:t>
            </w:r>
          </w:p>
          <w:p w14:paraId="04F9EDE1" w14:textId="77777777" w:rsidR="008D1DC6" w:rsidRPr="008D1DC6" w:rsidRDefault="008D1DC6" w:rsidP="008D1DC6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The onset of anosmia was sudden in 76.24%</w:t>
            </w:r>
          </w:p>
          <w:p w14:paraId="03279288" w14:textId="77777777" w:rsidR="008D1DC6" w:rsidRPr="008D1DC6" w:rsidRDefault="008D1DC6" w:rsidP="008D1DC6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83.38% had decreased taste sensation in association with anosmia.</w:t>
            </w:r>
          </w:p>
        </w:tc>
      </w:tr>
      <w:tr w:rsidR="008D1DC6" w:rsidRPr="008D1DC6" w14:paraId="6EC5B16A" w14:textId="77777777" w:rsidTr="00FA5FE8">
        <w:trPr>
          <w:trHeight w:val="264"/>
        </w:trPr>
        <w:tc>
          <w:tcPr>
            <w:tcW w:w="1329" w:type="dxa"/>
            <w:tcBorders>
              <w:bottom w:val="single" w:sz="4" w:space="0" w:color="auto"/>
            </w:tcBorders>
          </w:tcPr>
          <w:p w14:paraId="7B09F82C" w14:textId="0C4CE6EC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proofErr w:type="spellStart"/>
            <w:r w:rsidRPr="008D1DC6">
              <w:rPr>
                <w:rFonts w:ascii="Times New Roman" w:eastAsia="Calibri" w:hAnsi="Times New Roman"/>
                <w:lang w:val="en-MY"/>
              </w:rPr>
              <w:t>Menni</w:t>
            </w:r>
            <w:proofErr w:type="spellEnd"/>
            <w:r w:rsidRPr="008D1DC6">
              <w:rPr>
                <w:rFonts w:ascii="Times New Roman" w:eastAsia="Calibri" w:hAnsi="Times New Roman"/>
                <w:lang w:val="en-MY"/>
              </w:rPr>
              <w:t xml:space="preserve"> et al., 2020</w:t>
            </w:r>
            <w:r w:rsidR="00D13627">
              <w:rPr>
                <w:rFonts w:ascii="Times New Roman" w:eastAsia="Calibri" w:hAnsi="Times New Roman"/>
                <w:lang w:val="en-MY"/>
              </w:rPr>
              <w:t xml:space="preserve"> </w: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begin"/>
            </w:r>
            <w:r w:rsidRPr="008D1DC6">
              <w:rPr>
                <w:rFonts w:ascii="Times New Roman" w:eastAsia="Calibri" w:hAnsi="Times New Roman"/>
                <w:lang w:val="en-MY"/>
              </w:rPr>
              <w:instrText xml:space="preserve"> ADDIN EN.CITE &lt;EndNote&gt;&lt;Cite&gt;&lt;Author&gt;Menni&lt;/Author&gt;&lt;Year&gt;2020&lt;/Year&gt;&lt;RecNum&gt;12&lt;/RecNum&gt;&lt;DisplayText&gt;(12)&lt;/DisplayText&gt;&lt;record&gt;&lt;rec-number&gt;12&lt;/rec-number&gt;&lt;foreign-keys&gt;&lt;key app="EN" db-id="2p0rf5dx7exz21ev5t6502rs2fts5x9sxezr" timestamp="1586500576"&gt;12&lt;/key&gt;&lt;/foreign-keys&gt;&lt;ref-type name="Journal Article"&gt;17&lt;/ref-type&gt;&lt;contributors&gt;&lt;authors&gt;&lt;author&gt;Menni, Cristina&lt;/author&gt;&lt;author&gt;Valdes, Ana&lt;/author&gt;&lt;author&gt;Freydin, Maxim B.&lt;/author&gt;&lt;author&gt;Ganesh, Sajaysurya&lt;/author&gt;&lt;author&gt;El-Sayed Moustafa, Julia&lt;/author&gt;&lt;author&gt;Visconti, Alessia&lt;/author&gt;&lt;author&gt;Hysi, Pirro&lt;/author&gt;&lt;author&gt;Bowyer, Ruth C. E.&lt;/author&gt;&lt;author&gt;Mangino, Massimo&lt;/author&gt;&lt;author&gt;Falchi, Mario&lt;/author&gt;&lt;author&gt;Wolf, Jonathan&lt;/author&gt;&lt;author&gt;Steves, Claire&lt;/author&gt;&lt;author&gt;Spector, Tim&lt;/author&gt;&lt;/authors&gt;&lt;/contributors&gt;&lt;titles&gt;&lt;title&gt;Loss of smell and taste in combination with other symptoms is a strong predictor of COVID-19 infection&lt;/title&gt;&lt;secondary-title&gt;medRxiv&lt;/secondary-title&gt;&lt;/titles&gt;&lt;periodical&gt;&lt;full-title&gt;medRxiv&lt;/full-title&gt;&lt;/periodical&gt;&lt;pages&gt;2020.04.05.20048421&lt;/pages&gt;&lt;dates&gt;&lt;year&gt;2020&lt;/year&gt;&lt;/dates&gt;&lt;urls&gt;&lt;related-urls&gt;&lt;url&gt;http://medrxiv.org/content/early/2020/04/07/2020.04.05.20048421.abstract&lt;/url&gt;&lt;/related-urls&gt;&lt;/urls&gt;&lt;electronic-resource-num&gt;10.1101/2020.04.05.20048421&lt;/electronic-resource-num&gt;&lt;/record&gt;&lt;/Cite&gt;&lt;/EndNote&gt;</w:instrTex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separate"/>
            </w:r>
            <w:r w:rsidRPr="008D1DC6">
              <w:rPr>
                <w:rFonts w:ascii="Times New Roman" w:eastAsia="Calibri" w:hAnsi="Times New Roman"/>
                <w:noProof/>
                <w:lang w:val="en-MY"/>
              </w:rPr>
              <w:t>(12)</w:t>
            </w:r>
            <w:r w:rsidRPr="008D1DC6">
              <w:rPr>
                <w:rFonts w:ascii="Times New Roman" w:eastAsia="Calibri" w:hAnsi="Times New Roman"/>
                <w:lang w:val="en-MY"/>
              </w:rPr>
              <w:fldChar w:fldCharType="end"/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4882B668" w14:textId="5C1744BC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1</w:t>
            </w:r>
            <w:r w:rsidR="00D13627">
              <w:rPr>
                <w:rFonts w:ascii="Times New Roman" w:eastAsia="Calibri" w:hAnsi="Times New Roman"/>
                <w:lang w:val="en-MY"/>
              </w:rPr>
              <w:t xml:space="preserve"> </w:t>
            </w:r>
            <w:r w:rsidRPr="008D1DC6">
              <w:rPr>
                <w:rFonts w:ascii="Times New Roman" w:eastAsia="Calibri" w:hAnsi="Times New Roman"/>
                <w:lang w:val="en-MY"/>
              </w:rPr>
              <w:t>573</w:t>
            </w:r>
            <w:r w:rsidR="00D13627">
              <w:rPr>
                <w:rFonts w:ascii="Times New Roman" w:eastAsia="Calibri" w:hAnsi="Times New Roman"/>
                <w:lang w:val="en-MY"/>
              </w:rPr>
              <w:t xml:space="preserve"> </w:t>
            </w:r>
            <w:r w:rsidRPr="008D1DC6">
              <w:rPr>
                <w:rFonts w:ascii="Times New Roman" w:eastAsia="Calibri" w:hAnsi="Times New Roman"/>
                <w:lang w:val="en-MY"/>
              </w:rPr>
              <w:t>103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599C8886" w14:textId="77777777" w:rsidR="008D1DC6" w:rsidRPr="008D1DC6" w:rsidRDefault="008D1DC6" w:rsidP="008D1DC6">
            <w:pPr>
              <w:jc w:val="center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United Kingdom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652E673A" w14:textId="77777777" w:rsidR="008D1DC6" w:rsidRPr="008D1DC6" w:rsidRDefault="008D1DC6" w:rsidP="008D1DC6">
            <w:pPr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Only 1702 tested, 579 were positive, 1123 negative</w:t>
            </w:r>
          </w:p>
        </w:tc>
        <w:tc>
          <w:tcPr>
            <w:tcW w:w="3820" w:type="dxa"/>
            <w:tcBorders>
              <w:bottom w:val="single" w:sz="4" w:space="0" w:color="auto"/>
            </w:tcBorders>
          </w:tcPr>
          <w:p w14:paraId="403B0126" w14:textId="77777777" w:rsidR="008D1DC6" w:rsidRPr="008D1DC6" w:rsidRDefault="008D1DC6" w:rsidP="008D1DC6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>Loss of smell and taste was reported in 59% of the those tested positive and 18% of those tested negative (OR 6.59; 95% CI 5.25 to 8.27; p=1.9x10</w:t>
            </w:r>
            <w:r w:rsidRPr="008D1DC6">
              <w:rPr>
                <w:rFonts w:ascii="Times New Roman" w:eastAsia="Calibri" w:hAnsi="Times New Roman"/>
                <w:vertAlign w:val="superscript"/>
                <w:lang w:val="en-MY"/>
              </w:rPr>
              <w:t>-59</w:t>
            </w:r>
            <w:r w:rsidRPr="008D1DC6">
              <w:rPr>
                <w:rFonts w:ascii="Times New Roman" w:eastAsia="Calibri" w:hAnsi="Times New Roman"/>
                <w:lang w:val="en-MY"/>
              </w:rPr>
              <w:t>)</w:t>
            </w:r>
          </w:p>
          <w:p w14:paraId="32A7E9EB" w14:textId="77777777" w:rsidR="008D1DC6" w:rsidRPr="008D1DC6" w:rsidRDefault="008D1DC6" w:rsidP="008D1D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lang w:val="en-MY"/>
              </w:rPr>
            </w:pPr>
            <w:r w:rsidRPr="008D1DC6">
              <w:rPr>
                <w:rFonts w:ascii="Times New Roman" w:eastAsia="Calibri" w:hAnsi="Times New Roman"/>
                <w:lang w:val="en-MY"/>
              </w:rPr>
              <w:t xml:space="preserve">Combination of loss of smell and taste, fever, persistent cough, fatigue, </w:t>
            </w:r>
            <w:proofErr w:type="spellStart"/>
            <w:r w:rsidRPr="008D1DC6">
              <w:rPr>
                <w:rFonts w:ascii="Times New Roman" w:eastAsia="Calibri" w:hAnsi="Times New Roman"/>
                <w:lang w:val="en-MY"/>
              </w:rPr>
              <w:t>diarrhea</w:t>
            </w:r>
            <w:proofErr w:type="spellEnd"/>
            <w:r w:rsidRPr="008D1DC6">
              <w:rPr>
                <w:rFonts w:ascii="Times New Roman" w:eastAsia="Calibri" w:hAnsi="Times New Roman"/>
                <w:lang w:val="en-MY"/>
              </w:rPr>
              <w:t>, abdominal pain and loss of appetite is predictive of COVID-19 positive test with sensitivity 0.54, specificity 0.86</w:t>
            </w:r>
          </w:p>
        </w:tc>
      </w:tr>
    </w:tbl>
    <w:p w14:paraId="6813158F" w14:textId="77777777" w:rsidR="00B7000D" w:rsidRDefault="00B7000D"/>
    <w:sectPr w:rsidR="00B70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427F2"/>
    <w:multiLevelType w:val="hybridMultilevel"/>
    <w:tmpl w:val="61AC6D2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0B4B1B"/>
    <w:multiLevelType w:val="hybridMultilevel"/>
    <w:tmpl w:val="02105F8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BD03D7"/>
    <w:multiLevelType w:val="hybridMultilevel"/>
    <w:tmpl w:val="FB905E7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573A5A"/>
    <w:multiLevelType w:val="hybridMultilevel"/>
    <w:tmpl w:val="AECE933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DC6"/>
    <w:rsid w:val="003E328D"/>
    <w:rsid w:val="00691AAA"/>
    <w:rsid w:val="006B3082"/>
    <w:rsid w:val="007A1C9F"/>
    <w:rsid w:val="008D1DC6"/>
    <w:rsid w:val="00B7000D"/>
    <w:rsid w:val="00BF43E8"/>
    <w:rsid w:val="00D1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74A6C"/>
  <w15:chartTrackingRefBased/>
  <w15:docId w15:val="{C9047EDB-8D93-4764-BF20-7545446A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AAA"/>
    <w:pPr>
      <w:spacing w:after="0" w:line="240" w:lineRule="auto"/>
    </w:pPr>
    <w:rPr>
      <w:rFonts w:ascii="Arial" w:hAnsi="Arial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MAR">
    <w:name w:val="Style1 MAR"/>
    <w:basedOn w:val="Normal"/>
    <w:qFormat/>
    <w:rsid w:val="00BF43E8"/>
    <w:rPr>
      <w:rFonts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8D1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</dc:creator>
  <cp:keywords/>
  <dc:description/>
  <cp:lastModifiedBy>KAREN CHRISTELLE</cp:lastModifiedBy>
  <cp:revision>2</cp:revision>
  <dcterms:created xsi:type="dcterms:W3CDTF">2020-04-16T14:43:00Z</dcterms:created>
  <dcterms:modified xsi:type="dcterms:W3CDTF">2020-04-16T14:43:00Z</dcterms:modified>
</cp:coreProperties>
</file>