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41D95" w14:textId="5D8AE952" w:rsidR="00B3610D" w:rsidRPr="00B97413" w:rsidRDefault="00FA61C1">
      <w:pPr>
        <w:pStyle w:val="Title"/>
        <w:spacing w:line="240" w:lineRule="auto"/>
        <w:jc w:val="center"/>
        <w:rPr>
          <w:rFonts w:ascii="Calibri" w:eastAsia="Calibri" w:hAnsi="Calibri" w:cs="Calibri"/>
          <w:sz w:val="50"/>
          <w:szCs w:val="50"/>
        </w:rPr>
      </w:pPr>
      <w:r>
        <w:rPr>
          <w:rFonts w:ascii="Calibri" w:eastAsia="Calibri" w:hAnsi="Calibri" w:cs="Calibri"/>
          <w:sz w:val="50"/>
          <w:szCs w:val="50"/>
        </w:rPr>
        <w:t>Additional</w:t>
      </w:r>
      <w:r w:rsidRPr="00B97413">
        <w:rPr>
          <w:rFonts w:ascii="Calibri" w:eastAsia="Calibri" w:hAnsi="Calibri" w:cs="Calibri"/>
          <w:sz w:val="50"/>
          <w:szCs w:val="50"/>
        </w:rPr>
        <w:t xml:space="preserve"> file 1</w:t>
      </w:r>
    </w:p>
    <w:p w14:paraId="30230716" w14:textId="55381397" w:rsidR="00B3610D" w:rsidRPr="00B97413" w:rsidRDefault="00944D8D">
      <w:pPr>
        <w:jc w:val="center"/>
        <w:rPr>
          <w:rFonts w:ascii="Calibri" w:eastAsia="Calibri" w:hAnsi="Calibri" w:cs="Calibri"/>
          <w:b/>
          <w:sz w:val="24"/>
          <w:szCs w:val="24"/>
        </w:rPr>
      </w:pPr>
      <w:r w:rsidRPr="00944D8D">
        <w:rPr>
          <w:rFonts w:ascii="Calibri" w:eastAsia="Calibri" w:hAnsi="Calibri" w:cs="Calibri"/>
          <w:sz w:val="30"/>
          <w:szCs w:val="30"/>
        </w:rPr>
        <w:t>Perennial malaria chemoprevention with and without malaria vaccination to reduce malaria burden in young children: a modeling analysis</w:t>
      </w:r>
    </w:p>
    <w:p w14:paraId="4AD3B2DB" w14:textId="77777777" w:rsidR="00B3610D" w:rsidRPr="00B97413" w:rsidRDefault="00B3610D">
      <w:pPr>
        <w:jc w:val="center"/>
        <w:rPr>
          <w:rFonts w:ascii="Calibri" w:eastAsia="Calibri" w:hAnsi="Calibri" w:cs="Calibri"/>
          <w:b/>
        </w:rPr>
      </w:pPr>
    </w:p>
    <w:p w14:paraId="3681498F" w14:textId="77777777" w:rsidR="00B3610D" w:rsidRPr="00B97413" w:rsidRDefault="00B3610D">
      <w:pPr>
        <w:jc w:val="center"/>
        <w:rPr>
          <w:rFonts w:ascii="Calibri" w:eastAsia="Calibri" w:hAnsi="Calibri" w:cs="Calibri"/>
          <w:b/>
        </w:rPr>
      </w:pPr>
    </w:p>
    <w:p w14:paraId="18EFD02A" w14:textId="77777777" w:rsidR="00B3610D" w:rsidRPr="00B97413" w:rsidRDefault="00000000">
      <w:pPr>
        <w:rPr>
          <w:rFonts w:ascii="Calibri" w:eastAsia="Calibri" w:hAnsi="Calibri" w:cs="Calibri"/>
        </w:rPr>
      </w:pPr>
      <w:r w:rsidRPr="00B97413">
        <w:rPr>
          <w:rFonts w:ascii="Calibri" w:eastAsia="Calibri" w:hAnsi="Calibri" w:cs="Calibri"/>
          <w:b/>
          <w:sz w:val="26"/>
          <w:szCs w:val="26"/>
        </w:rPr>
        <w:t>Table of contents</w:t>
      </w:r>
    </w:p>
    <w:sdt>
      <w:sdtPr>
        <w:id w:val="-1534258108"/>
        <w:docPartObj>
          <w:docPartGallery w:val="Table of Contents"/>
          <w:docPartUnique/>
        </w:docPartObj>
      </w:sdtPr>
      <w:sdtContent>
        <w:p w14:paraId="7B9A39BB" w14:textId="3E6BDC73" w:rsidR="00235D01" w:rsidRDefault="00000000">
          <w:pPr>
            <w:pStyle w:val="TOC2"/>
            <w:tabs>
              <w:tab w:val="right" w:pos="9019"/>
            </w:tabs>
            <w:rPr>
              <w:rFonts w:asciiTheme="minorHAnsi" w:eastAsiaTheme="minorEastAsia" w:hAnsiTheme="minorHAnsi" w:cstheme="minorBidi"/>
              <w:noProof/>
              <w:lang w:val="en-US"/>
            </w:rPr>
          </w:pPr>
          <w:r w:rsidRPr="00B97413">
            <w:fldChar w:fldCharType="begin"/>
          </w:r>
          <w:r w:rsidRPr="00B97413">
            <w:instrText xml:space="preserve"> TOC \h \u \z </w:instrText>
          </w:r>
          <w:r w:rsidRPr="00B97413">
            <w:fldChar w:fldCharType="separate"/>
          </w:r>
          <w:hyperlink w:anchor="_Toc130051863" w:history="1">
            <w:r w:rsidR="00235D01" w:rsidRPr="000A7C27">
              <w:rPr>
                <w:rStyle w:val="Hyperlink"/>
                <w:rFonts w:ascii="Calibri" w:eastAsia="Calibri" w:hAnsi="Calibri" w:cs="Calibri"/>
                <w:b/>
                <w:noProof/>
              </w:rPr>
              <w:t>A1.1: PMC and malaria vaccine efficacy calibration and validation</w:t>
            </w:r>
            <w:r w:rsidR="00235D01">
              <w:rPr>
                <w:noProof/>
                <w:webHidden/>
              </w:rPr>
              <w:tab/>
            </w:r>
            <w:r w:rsidR="00235D01">
              <w:rPr>
                <w:noProof/>
                <w:webHidden/>
              </w:rPr>
              <w:fldChar w:fldCharType="begin"/>
            </w:r>
            <w:r w:rsidR="00235D01">
              <w:rPr>
                <w:noProof/>
                <w:webHidden/>
              </w:rPr>
              <w:instrText xml:space="preserve"> PAGEREF _Toc130051863 \h </w:instrText>
            </w:r>
            <w:r w:rsidR="00235D01">
              <w:rPr>
                <w:noProof/>
                <w:webHidden/>
              </w:rPr>
            </w:r>
            <w:r w:rsidR="00235D01">
              <w:rPr>
                <w:noProof/>
                <w:webHidden/>
              </w:rPr>
              <w:fldChar w:fldCharType="separate"/>
            </w:r>
            <w:r w:rsidR="00235D01">
              <w:rPr>
                <w:noProof/>
                <w:webHidden/>
              </w:rPr>
              <w:t>1</w:t>
            </w:r>
            <w:r w:rsidR="00235D01">
              <w:rPr>
                <w:noProof/>
                <w:webHidden/>
              </w:rPr>
              <w:fldChar w:fldCharType="end"/>
            </w:r>
          </w:hyperlink>
        </w:p>
        <w:p w14:paraId="66A5BF42" w14:textId="4D358BAB" w:rsidR="00235D01" w:rsidRDefault="00000000">
          <w:pPr>
            <w:pStyle w:val="TOC3"/>
            <w:rPr>
              <w:rFonts w:asciiTheme="minorHAnsi" w:eastAsiaTheme="minorEastAsia" w:hAnsiTheme="minorHAnsi" w:cstheme="minorBidi"/>
              <w:noProof/>
              <w:lang w:val="en-US"/>
            </w:rPr>
          </w:pPr>
          <w:hyperlink w:anchor="_Toc130051864" w:history="1">
            <w:r w:rsidR="00235D01" w:rsidRPr="000A7C27">
              <w:rPr>
                <w:rStyle w:val="Hyperlink"/>
                <w:rFonts w:ascii="Calibri" w:eastAsia="Calibri" w:hAnsi="Calibri" w:cs="Calibri"/>
                <w:i/>
                <w:noProof/>
              </w:rPr>
              <w:t>PMC</w:t>
            </w:r>
            <w:r w:rsidR="00235D01">
              <w:rPr>
                <w:noProof/>
                <w:webHidden/>
              </w:rPr>
              <w:tab/>
            </w:r>
            <w:r w:rsidR="00235D01">
              <w:rPr>
                <w:noProof/>
                <w:webHidden/>
              </w:rPr>
              <w:fldChar w:fldCharType="begin"/>
            </w:r>
            <w:r w:rsidR="00235D01">
              <w:rPr>
                <w:noProof/>
                <w:webHidden/>
              </w:rPr>
              <w:instrText xml:space="preserve"> PAGEREF _Toc130051864 \h </w:instrText>
            </w:r>
            <w:r w:rsidR="00235D01">
              <w:rPr>
                <w:noProof/>
                <w:webHidden/>
              </w:rPr>
            </w:r>
            <w:r w:rsidR="00235D01">
              <w:rPr>
                <w:noProof/>
                <w:webHidden/>
              </w:rPr>
              <w:fldChar w:fldCharType="separate"/>
            </w:r>
            <w:r w:rsidR="00235D01">
              <w:rPr>
                <w:noProof/>
                <w:webHidden/>
              </w:rPr>
              <w:t>1</w:t>
            </w:r>
            <w:r w:rsidR="00235D01">
              <w:rPr>
                <w:noProof/>
                <w:webHidden/>
              </w:rPr>
              <w:fldChar w:fldCharType="end"/>
            </w:r>
          </w:hyperlink>
        </w:p>
        <w:p w14:paraId="7FA723CF" w14:textId="217821A8" w:rsidR="00235D01" w:rsidRDefault="00000000">
          <w:pPr>
            <w:pStyle w:val="TOC3"/>
            <w:rPr>
              <w:rFonts w:asciiTheme="minorHAnsi" w:eastAsiaTheme="minorEastAsia" w:hAnsiTheme="minorHAnsi" w:cstheme="minorBidi"/>
              <w:noProof/>
              <w:lang w:val="en-US"/>
            </w:rPr>
          </w:pPr>
          <w:hyperlink w:anchor="_Toc130051865" w:history="1">
            <w:r w:rsidR="00235D01" w:rsidRPr="000A7C27">
              <w:rPr>
                <w:rStyle w:val="Hyperlink"/>
                <w:rFonts w:ascii="Calibri" w:eastAsia="Calibri" w:hAnsi="Calibri" w:cs="Calibri"/>
                <w:i/>
                <w:noProof/>
              </w:rPr>
              <w:t>Malaria vaccine</w:t>
            </w:r>
            <w:r w:rsidR="00235D01">
              <w:rPr>
                <w:noProof/>
                <w:webHidden/>
              </w:rPr>
              <w:tab/>
            </w:r>
            <w:r w:rsidR="00235D01">
              <w:rPr>
                <w:noProof/>
                <w:webHidden/>
              </w:rPr>
              <w:fldChar w:fldCharType="begin"/>
            </w:r>
            <w:r w:rsidR="00235D01">
              <w:rPr>
                <w:noProof/>
                <w:webHidden/>
              </w:rPr>
              <w:instrText xml:space="preserve"> PAGEREF _Toc130051865 \h </w:instrText>
            </w:r>
            <w:r w:rsidR="00235D01">
              <w:rPr>
                <w:noProof/>
                <w:webHidden/>
              </w:rPr>
            </w:r>
            <w:r w:rsidR="00235D01">
              <w:rPr>
                <w:noProof/>
                <w:webHidden/>
              </w:rPr>
              <w:fldChar w:fldCharType="separate"/>
            </w:r>
            <w:r w:rsidR="00235D01">
              <w:rPr>
                <w:noProof/>
                <w:webHidden/>
              </w:rPr>
              <w:t>4</w:t>
            </w:r>
            <w:r w:rsidR="00235D01">
              <w:rPr>
                <w:noProof/>
                <w:webHidden/>
              </w:rPr>
              <w:fldChar w:fldCharType="end"/>
            </w:r>
          </w:hyperlink>
        </w:p>
        <w:p w14:paraId="4A15BE6D" w14:textId="62060107" w:rsidR="00235D01" w:rsidRDefault="00000000">
          <w:pPr>
            <w:pStyle w:val="TOC2"/>
            <w:tabs>
              <w:tab w:val="right" w:pos="9019"/>
            </w:tabs>
            <w:rPr>
              <w:rFonts w:asciiTheme="minorHAnsi" w:eastAsiaTheme="minorEastAsia" w:hAnsiTheme="minorHAnsi" w:cstheme="minorBidi"/>
              <w:noProof/>
              <w:lang w:val="en-US"/>
            </w:rPr>
          </w:pPr>
          <w:hyperlink w:anchor="_Toc130051866" w:history="1">
            <w:r w:rsidR="00235D01" w:rsidRPr="000A7C27">
              <w:rPr>
                <w:rStyle w:val="Hyperlink"/>
                <w:rFonts w:ascii="Calibri" w:eastAsia="Calibri" w:hAnsi="Calibri" w:cs="Calibri"/>
                <w:b/>
                <w:noProof/>
              </w:rPr>
              <w:t>A1.2: Geographic-agnostic model</w:t>
            </w:r>
            <w:r w:rsidR="00235D01">
              <w:rPr>
                <w:noProof/>
                <w:webHidden/>
              </w:rPr>
              <w:tab/>
            </w:r>
            <w:r w:rsidR="00235D01">
              <w:rPr>
                <w:noProof/>
                <w:webHidden/>
              </w:rPr>
              <w:fldChar w:fldCharType="begin"/>
            </w:r>
            <w:r w:rsidR="00235D01">
              <w:rPr>
                <w:noProof/>
                <w:webHidden/>
              </w:rPr>
              <w:instrText xml:space="preserve"> PAGEREF _Toc130051866 \h </w:instrText>
            </w:r>
            <w:r w:rsidR="00235D01">
              <w:rPr>
                <w:noProof/>
                <w:webHidden/>
              </w:rPr>
            </w:r>
            <w:r w:rsidR="00235D01">
              <w:rPr>
                <w:noProof/>
                <w:webHidden/>
              </w:rPr>
              <w:fldChar w:fldCharType="separate"/>
            </w:r>
            <w:r w:rsidR="00235D01">
              <w:rPr>
                <w:noProof/>
                <w:webHidden/>
              </w:rPr>
              <w:t>5</w:t>
            </w:r>
            <w:r w:rsidR="00235D01">
              <w:rPr>
                <w:noProof/>
                <w:webHidden/>
              </w:rPr>
              <w:fldChar w:fldCharType="end"/>
            </w:r>
          </w:hyperlink>
        </w:p>
        <w:p w14:paraId="3F3729C0" w14:textId="5C4EB52B" w:rsidR="00235D01" w:rsidRDefault="00000000">
          <w:pPr>
            <w:pStyle w:val="TOC3"/>
            <w:rPr>
              <w:rFonts w:asciiTheme="minorHAnsi" w:eastAsiaTheme="minorEastAsia" w:hAnsiTheme="minorHAnsi" w:cstheme="minorBidi"/>
              <w:noProof/>
              <w:lang w:val="en-US"/>
            </w:rPr>
          </w:pPr>
          <w:hyperlink w:anchor="_Toc130051867" w:history="1">
            <w:r w:rsidR="00235D01" w:rsidRPr="000A7C27">
              <w:rPr>
                <w:rStyle w:val="Hyperlink"/>
                <w:rFonts w:ascii="Calibri" w:eastAsia="Calibri" w:hAnsi="Calibri" w:cs="Calibri"/>
                <w:i/>
                <w:noProof/>
              </w:rPr>
              <w:t>Transmission seasonality</w:t>
            </w:r>
            <w:r w:rsidR="00235D01">
              <w:rPr>
                <w:noProof/>
                <w:webHidden/>
              </w:rPr>
              <w:tab/>
            </w:r>
            <w:r w:rsidR="00235D01">
              <w:rPr>
                <w:noProof/>
                <w:webHidden/>
              </w:rPr>
              <w:fldChar w:fldCharType="begin"/>
            </w:r>
            <w:r w:rsidR="00235D01">
              <w:rPr>
                <w:noProof/>
                <w:webHidden/>
              </w:rPr>
              <w:instrText xml:space="preserve"> PAGEREF _Toc130051867 \h </w:instrText>
            </w:r>
            <w:r w:rsidR="00235D01">
              <w:rPr>
                <w:noProof/>
                <w:webHidden/>
              </w:rPr>
            </w:r>
            <w:r w:rsidR="00235D01">
              <w:rPr>
                <w:noProof/>
                <w:webHidden/>
              </w:rPr>
              <w:fldChar w:fldCharType="separate"/>
            </w:r>
            <w:r w:rsidR="00235D01">
              <w:rPr>
                <w:noProof/>
                <w:webHidden/>
              </w:rPr>
              <w:t>5</w:t>
            </w:r>
            <w:r w:rsidR="00235D01">
              <w:rPr>
                <w:noProof/>
                <w:webHidden/>
              </w:rPr>
              <w:fldChar w:fldCharType="end"/>
            </w:r>
          </w:hyperlink>
        </w:p>
        <w:p w14:paraId="42496F89" w14:textId="0E840E36" w:rsidR="00235D01" w:rsidRDefault="00000000">
          <w:pPr>
            <w:pStyle w:val="TOC3"/>
            <w:rPr>
              <w:rFonts w:asciiTheme="minorHAnsi" w:eastAsiaTheme="minorEastAsia" w:hAnsiTheme="minorHAnsi" w:cstheme="minorBidi"/>
              <w:noProof/>
              <w:lang w:val="en-US"/>
            </w:rPr>
          </w:pPr>
          <w:hyperlink w:anchor="_Toc130051868" w:history="1">
            <w:r w:rsidR="00235D01" w:rsidRPr="000A7C27">
              <w:rPr>
                <w:rStyle w:val="Hyperlink"/>
                <w:rFonts w:ascii="Calibri" w:eastAsia="Calibri" w:hAnsi="Calibri" w:cs="Calibri"/>
                <w:i/>
                <w:noProof/>
              </w:rPr>
              <w:t>Transmission intensity, prevalence, and incidence relationships</w:t>
            </w:r>
            <w:r w:rsidR="00235D01">
              <w:rPr>
                <w:noProof/>
                <w:webHidden/>
              </w:rPr>
              <w:tab/>
            </w:r>
            <w:r w:rsidR="00235D01">
              <w:rPr>
                <w:noProof/>
                <w:webHidden/>
              </w:rPr>
              <w:fldChar w:fldCharType="begin"/>
            </w:r>
            <w:r w:rsidR="00235D01">
              <w:rPr>
                <w:noProof/>
                <w:webHidden/>
              </w:rPr>
              <w:instrText xml:space="preserve"> PAGEREF _Toc130051868 \h </w:instrText>
            </w:r>
            <w:r w:rsidR="00235D01">
              <w:rPr>
                <w:noProof/>
                <w:webHidden/>
              </w:rPr>
            </w:r>
            <w:r w:rsidR="00235D01">
              <w:rPr>
                <w:noProof/>
                <w:webHidden/>
              </w:rPr>
              <w:fldChar w:fldCharType="separate"/>
            </w:r>
            <w:r w:rsidR="00235D01">
              <w:rPr>
                <w:noProof/>
                <w:webHidden/>
              </w:rPr>
              <w:t>5</w:t>
            </w:r>
            <w:r w:rsidR="00235D01">
              <w:rPr>
                <w:noProof/>
                <w:webHidden/>
              </w:rPr>
              <w:fldChar w:fldCharType="end"/>
            </w:r>
          </w:hyperlink>
        </w:p>
        <w:p w14:paraId="1648AADF" w14:textId="329D912E" w:rsidR="00235D01" w:rsidRDefault="00000000">
          <w:pPr>
            <w:pStyle w:val="TOC3"/>
            <w:rPr>
              <w:rFonts w:asciiTheme="minorHAnsi" w:eastAsiaTheme="minorEastAsia" w:hAnsiTheme="minorHAnsi" w:cstheme="minorBidi"/>
              <w:noProof/>
              <w:lang w:val="en-US"/>
            </w:rPr>
          </w:pPr>
          <w:hyperlink w:anchor="_Toc130051869" w:history="1">
            <w:r w:rsidR="00235D01" w:rsidRPr="000A7C27">
              <w:rPr>
                <w:rStyle w:val="Hyperlink"/>
                <w:rFonts w:ascii="Calibri" w:eastAsia="Calibri" w:hAnsi="Calibri" w:cs="Calibri"/>
                <w:i/>
                <w:noProof/>
              </w:rPr>
              <w:t>Additional result figures</w:t>
            </w:r>
            <w:r w:rsidR="00235D01">
              <w:rPr>
                <w:noProof/>
                <w:webHidden/>
              </w:rPr>
              <w:tab/>
            </w:r>
            <w:r w:rsidR="00235D01">
              <w:rPr>
                <w:noProof/>
                <w:webHidden/>
              </w:rPr>
              <w:fldChar w:fldCharType="begin"/>
            </w:r>
            <w:r w:rsidR="00235D01">
              <w:rPr>
                <w:noProof/>
                <w:webHidden/>
              </w:rPr>
              <w:instrText xml:space="preserve"> PAGEREF _Toc130051869 \h </w:instrText>
            </w:r>
            <w:r w:rsidR="00235D01">
              <w:rPr>
                <w:noProof/>
                <w:webHidden/>
              </w:rPr>
            </w:r>
            <w:r w:rsidR="00235D01">
              <w:rPr>
                <w:noProof/>
                <w:webHidden/>
              </w:rPr>
              <w:fldChar w:fldCharType="separate"/>
            </w:r>
            <w:r w:rsidR="00235D01">
              <w:rPr>
                <w:noProof/>
                <w:webHidden/>
              </w:rPr>
              <w:t>6</w:t>
            </w:r>
            <w:r w:rsidR="00235D01">
              <w:rPr>
                <w:noProof/>
                <w:webHidden/>
              </w:rPr>
              <w:fldChar w:fldCharType="end"/>
            </w:r>
          </w:hyperlink>
        </w:p>
        <w:p w14:paraId="7CCFE727" w14:textId="5B93BBBD" w:rsidR="00235D01" w:rsidRDefault="00000000">
          <w:pPr>
            <w:pStyle w:val="TOC2"/>
            <w:tabs>
              <w:tab w:val="right" w:pos="9019"/>
            </w:tabs>
            <w:rPr>
              <w:rFonts w:asciiTheme="minorHAnsi" w:eastAsiaTheme="minorEastAsia" w:hAnsiTheme="minorHAnsi" w:cstheme="minorBidi"/>
              <w:noProof/>
              <w:lang w:val="en-US"/>
            </w:rPr>
          </w:pPr>
          <w:hyperlink w:anchor="_Toc130051870" w:history="1">
            <w:r w:rsidR="00235D01" w:rsidRPr="000A7C27">
              <w:rPr>
                <w:rStyle w:val="Hyperlink"/>
                <w:rFonts w:ascii="Calibri" w:eastAsia="Calibri" w:hAnsi="Calibri" w:cs="Calibri"/>
                <w:b/>
                <w:noProof/>
              </w:rPr>
              <w:t>A1.3: Sensitivity analysis, exploration of parameter uncertainty</w:t>
            </w:r>
            <w:r w:rsidR="00235D01">
              <w:rPr>
                <w:noProof/>
                <w:webHidden/>
              </w:rPr>
              <w:tab/>
            </w:r>
            <w:r w:rsidR="00235D01">
              <w:rPr>
                <w:noProof/>
                <w:webHidden/>
              </w:rPr>
              <w:fldChar w:fldCharType="begin"/>
            </w:r>
            <w:r w:rsidR="00235D01">
              <w:rPr>
                <w:noProof/>
                <w:webHidden/>
              </w:rPr>
              <w:instrText xml:space="preserve"> PAGEREF _Toc130051870 \h </w:instrText>
            </w:r>
            <w:r w:rsidR="00235D01">
              <w:rPr>
                <w:noProof/>
                <w:webHidden/>
              </w:rPr>
            </w:r>
            <w:r w:rsidR="00235D01">
              <w:rPr>
                <w:noProof/>
                <w:webHidden/>
              </w:rPr>
              <w:fldChar w:fldCharType="separate"/>
            </w:r>
            <w:r w:rsidR="00235D01">
              <w:rPr>
                <w:noProof/>
                <w:webHidden/>
              </w:rPr>
              <w:t>11</w:t>
            </w:r>
            <w:r w:rsidR="00235D01">
              <w:rPr>
                <w:noProof/>
                <w:webHidden/>
              </w:rPr>
              <w:fldChar w:fldCharType="end"/>
            </w:r>
          </w:hyperlink>
        </w:p>
        <w:p w14:paraId="4EE3C192" w14:textId="5832DC31" w:rsidR="00235D01" w:rsidRDefault="00000000">
          <w:pPr>
            <w:pStyle w:val="TOC3"/>
            <w:rPr>
              <w:rFonts w:asciiTheme="minorHAnsi" w:eastAsiaTheme="minorEastAsia" w:hAnsiTheme="minorHAnsi" w:cstheme="minorBidi"/>
              <w:noProof/>
              <w:lang w:val="en-US"/>
            </w:rPr>
          </w:pPr>
          <w:hyperlink w:anchor="_Toc130051871" w:history="1">
            <w:r w:rsidR="00235D01" w:rsidRPr="000A7C27">
              <w:rPr>
                <w:rStyle w:val="Hyperlink"/>
                <w:rFonts w:ascii="Calibri" w:eastAsia="Calibri" w:hAnsi="Calibri" w:cs="Calibri"/>
                <w:noProof/>
              </w:rPr>
              <w:t>Completeness of PMC doses</w:t>
            </w:r>
            <w:r w:rsidR="00235D01">
              <w:rPr>
                <w:noProof/>
                <w:webHidden/>
              </w:rPr>
              <w:tab/>
            </w:r>
            <w:r w:rsidR="00235D01">
              <w:rPr>
                <w:noProof/>
                <w:webHidden/>
              </w:rPr>
              <w:fldChar w:fldCharType="begin"/>
            </w:r>
            <w:r w:rsidR="00235D01">
              <w:rPr>
                <w:noProof/>
                <w:webHidden/>
              </w:rPr>
              <w:instrText xml:space="preserve"> PAGEREF _Toc130051871 \h </w:instrText>
            </w:r>
            <w:r w:rsidR="00235D01">
              <w:rPr>
                <w:noProof/>
                <w:webHidden/>
              </w:rPr>
            </w:r>
            <w:r w:rsidR="00235D01">
              <w:rPr>
                <w:noProof/>
                <w:webHidden/>
              </w:rPr>
              <w:fldChar w:fldCharType="separate"/>
            </w:r>
            <w:r w:rsidR="00235D01">
              <w:rPr>
                <w:noProof/>
                <w:webHidden/>
              </w:rPr>
              <w:t>11</w:t>
            </w:r>
            <w:r w:rsidR="00235D01">
              <w:rPr>
                <w:noProof/>
                <w:webHidden/>
              </w:rPr>
              <w:fldChar w:fldCharType="end"/>
            </w:r>
          </w:hyperlink>
        </w:p>
        <w:p w14:paraId="1285E85E" w14:textId="79A418A8" w:rsidR="00235D01" w:rsidRDefault="00000000">
          <w:pPr>
            <w:pStyle w:val="TOC3"/>
            <w:rPr>
              <w:rFonts w:asciiTheme="minorHAnsi" w:eastAsiaTheme="minorEastAsia" w:hAnsiTheme="minorHAnsi" w:cstheme="minorBidi"/>
              <w:noProof/>
              <w:lang w:val="en-US"/>
            </w:rPr>
          </w:pPr>
          <w:hyperlink w:anchor="_Toc130051872" w:history="1">
            <w:r w:rsidR="00235D01" w:rsidRPr="000A7C27">
              <w:rPr>
                <w:rStyle w:val="Hyperlink"/>
                <w:rFonts w:ascii="Calibri" w:eastAsia="Calibri" w:hAnsi="Calibri" w:cs="Calibri"/>
                <w:noProof/>
              </w:rPr>
              <w:t>Clinical treatment coverage</w:t>
            </w:r>
            <w:r w:rsidR="00235D01">
              <w:rPr>
                <w:noProof/>
                <w:webHidden/>
              </w:rPr>
              <w:tab/>
            </w:r>
            <w:r w:rsidR="00235D01">
              <w:rPr>
                <w:noProof/>
                <w:webHidden/>
              </w:rPr>
              <w:fldChar w:fldCharType="begin"/>
            </w:r>
            <w:r w:rsidR="00235D01">
              <w:rPr>
                <w:noProof/>
                <w:webHidden/>
              </w:rPr>
              <w:instrText xml:space="preserve"> PAGEREF _Toc130051872 \h </w:instrText>
            </w:r>
            <w:r w:rsidR="00235D01">
              <w:rPr>
                <w:noProof/>
                <w:webHidden/>
              </w:rPr>
            </w:r>
            <w:r w:rsidR="00235D01">
              <w:rPr>
                <w:noProof/>
                <w:webHidden/>
              </w:rPr>
              <w:fldChar w:fldCharType="separate"/>
            </w:r>
            <w:r w:rsidR="00235D01">
              <w:rPr>
                <w:noProof/>
                <w:webHidden/>
              </w:rPr>
              <w:t>13</w:t>
            </w:r>
            <w:r w:rsidR="00235D01">
              <w:rPr>
                <w:noProof/>
                <w:webHidden/>
              </w:rPr>
              <w:fldChar w:fldCharType="end"/>
            </w:r>
          </w:hyperlink>
        </w:p>
        <w:p w14:paraId="363007F6" w14:textId="05DDC9E1" w:rsidR="00235D01" w:rsidRDefault="00000000">
          <w:pPr>
            <w:pStyle w:val="TOC3"/>
            <w:rPr>
              <w:rFonts w:asciiTheme="minorHAnsi" w:eastAsiaTheme="minorEastAsia" w:hAnsiTheme="minorHAnsi" w:cstheme="minorBidi"/>
              <w:noProof/>
              <w:lang w:val="en-US"/>
            </w:rPr>
          </w:pPr>
          <w:hyperlink w:anchor="_Toc130051873" w:history="1">
            <w:r w:rsidR="00235D01" w:rsidRPr="000A7C27">
              <w:rPr>
                <w:rStyle w:val="Hyperlink"/>
                <w:rFonts w:ascii="Calibri" w:eastAsia="Calibri" w:hAnsi="Calibri" w:cs="Calibri"/>
                <w:noProof/>
              </w:rPr>
              <w:t>Age-varying clinical treatment coverage</w:t>
            </w:r>
            <w:r w:rsidR="00235D01">
              <w:rPr>
                <w:noProof/>
                <w:webHidden/>
              </w:rPr>
              <w:tab/>
            </w:r>
            <w:r w:rsidR="00235D01">
              <w:rPr>
                <w:noProof/>
                <w:webHidden/>
              </w:rPr>
              <w:fldChar w:fldCharType="begin"/>
            </w:r>
            <w:r w:rsidR="00235D01">
              <w:rPr>
                <w:noProof/>
                <w:webHidden/>
              </w:rPr>
              <w:instrText xml:space="preserve"> PAGEREF _Toc130051873 \h </w:instrText>
            </w:r>
            <w:r w:rsidR="00235D01">
              <w:rPr>
                <w:noProof/>
                <w:webHidden/>
              </w:rPr>
            </w:r>
            <w:r w:rsidR="00235D01">
              <w:rPr>
                <w:noProof/>
                <w:webHidden/>
              </w:rPr>
              <w:fldChar w:fldCharType="separate"/>
            </w:r>
            <w:r w:rsidR="00235D01">
              <w:rPr>
                <w:noProof/>
                <w:webHidden/>
              </w:rPr>
              <w:t>13</w:t>
            </w:r>
            <w:r w:rsidR="00235D01">
              <w:rPr>
                <w:noProof/>
                <w:webHidden/>
              </w:rPr>
              <w:fldChar w:fldCharType="end"/>
            </w:r>
          </w:hyperlink>
        </w:p>
        <w:p w14:paraId="6BAE297A" w14:textId="4E38272D" w:rsidR="00235D01" w:rsidRDefault="00000000">
          <w:pPr>
            <w:pStyle w:val="TOC3"/>
            <w:rPr>
              <w:rFonts w:asciiTheme="minorHAnsi" w:eastAsiaTheme="minorEastAsia" w:hAnsiTheme="minorHAnsi" w:cstheme="minorBidi"/>
              <w:noProof/>
              <w:lang w:val="en-US"/>
            </w:rPr>
          </w:pPr>
          <w:hyperlink w:anchor="_Toc130051874" w:history="1">
            <w:r w:rsidR="00235D01" w:rsidRPr="000A7C27">
              <w:rPr>
                <w:rStyle w:val="Hyperlink"/>
                <w:rFonts w:ascii="Calibri" w:eastAsia="Calibri" w:hAnsi="Calibri" w:cs="Calibri"/>
                <w:noProof/>
              </w:rPr>
              <w:t>Maternal antibody protection</w:t>
            </w:r>
            <w:r w:rsidR="00235D01">
              <w:rPr>
                <w:noProof/>
                <w:webHidden/>
              </w:rPr>
              <w:tab/>
            </w:r>
            <w:r w:rsidR="00235D01">
              <w:rPr>
                <w:noProof/>
                <w:webHidden/>
              </w:rPr>
              <w:fldChar w:fldCharType="begin"/>
            </w:r>
            <w:r w:rsidR="00235D01">
              <w:rPr>
                <w:noProof/>
                <w:webHidden/>
              </w:rPr>
              <w:instrText xml:space="preserve"> PAGEREF _Toc130051874 \h </w:instrText>
            </w:r>
            <w:r w:rsidR="00235D01">
              <w:rPr>
                <w:noProof/>
                <w:webHidden/>
              </w:rPr>
            </w:r>
            <w:r w:rsidR="00235D01">
              <w:rPr>
                <w:noProof/>
                <w:webHidden/>
              </w:rPr>
              <w:fldChar w:fldCharType="separate"/>
            </w:r>
            <w:r w:rsidR="00235D01">
              <w:rPr>
                <w:noProof/>
                <w:webHidden/>
              </w:rPr>
              <w:t>14</w:t>
            </w:r>
            <w:r w:rsidR="00235D01">
              <w:rPr>
                <w:noProof/>
                <w:webHidden/>
              </w:rPr>
              <w:fldChar w:fldCharType="end"/>
            </w:r>
          </w:hyperlink>
        </w:p>
        <w:p w14:paraId="137A279B" w14:textId="1DEC2524" w:rsidR="00235D01" w:rsidRDefault="00000000">
          <w:pPr>
            <w:pStyle w:val="TOC2"/>
            <w:tabs>
              <w:tab w:val="right" w:pos="9019"/>
            </w:tabs>
            <w:rPr>
              <w:rFonts w:asciiTheme="minorHAnsi" w:eastAsiaTheme="minorEastAsia" w:hAnsiTheme="minorHAnsi" w:cstheme="minorBidi"/>
              <w:noProof/>
              <w:lang w:val="en-US"/>
            </w:rPr>
          </w:pPr>
          <w:hyperlink w:anchor="_Toc130051875" w:history="1">
            <w:r w:rsidR="00235D01" w:rsidRPr="000A7C27">
              <w:rPr>
                <w:rStyle w:val="Hyperlink"/>
                <w:rFonts w:ascii="Calibri" w:eastAsia="Calibri" w:hAnsi="Calibri" w:cs="Calibri"/>
                <w:b/>
                <w:noProof/>
              </w:rPr>
              <w:t>A1.4: Country application to Southern Nigeria</w:t>
            </w:r>
            <w:r w:rsidR="00235D01">
              <w:rPr>
                <w:noProof/>
                <w:webHidden/>
              </w:rPr>
              <w:tab/>
            </w:r>
            <w:r w:rsidR="00235D01">
              <w:rPr>
                <w:noProof/>
                <w:webHidden/>
              </w:rPr>
              <w:fldChar w:fldCharType="begin"/>
            </w:r>
            <w:r w:rsidR="00235D01">
              <w:rPr>
                <w:noProof/>
                <w:webHidden/>
              </w:rPr>
              <w:instrText xml:space="preserve"> PAGEREF _Toc130051875 \h </w:instrText>
            </w:r>
            <w:r w:rsidR="00235D01">
              <w:rPr>
                <w:noProof/>
                <w:webHidden/>
              </w:rPr>
            </w:r>
            <w:r w:rsidR="00235D01">
              <w:rPr>
                <w:noProof/>
                <w:webHidden/>
              </w:rPr>
              <w:fldChar w:fldCharType="separate"/>
            </w:r>
            <w:r w:rsidR="00235D01">
              <w:rPr>
                <w:noProof/>
                <w:webHidden/>
              </w:rPr>
              <w:t>16</w:t>
            </w:r>
            <w:r w:rsidR="00235D01">
              <w:rPr>
                <w:noProof/>
                <w:webHidden/>
              </w:rPr>
              <w:fldChar w:fldCharType="end"/>
            </w:r>
          </w:hyperlink>
        </w:p>
        <w:p w14:paraId="504E2991" w14:textId="0CAF9438" w:rsidR="00235D01" w:rsidRDefault="00000000">
          <w:pPr>
            <w:pStyle w:val="TOC2"/>
            <w:tabs>
              <w:tab w:val="right" w:pos="9019"/>
            </w:tabs>
            <w:rPr>
              <w:rFonts w:asciiTheme="minorHAnsi" w:eastAsiaTheme="minorEastAsia" w:hAnsiTheme="minorHAnsi" w:cstheme="minorBidi"/>
              <w:noProof/>
              <w:lang w:val="en-US"/>
            </w:rPr>
          </w:pPr>
          <w:hyperlink w:anchor="_Toc130051876" w:history="1">
            <w:r w:rsidR="00235D01" w:rsidRPr="000A7C27">
              <w:rPr>
                <w:rStyle w:val="Hyperlink"/>
                <w:rFonts w:ascii="Calibri" w:eastAsia="Calibri" w:hAnsi="Calibri" w:cs="Calibri"/>
                <w:b/>
                <w:noProof/>
              </w:rPr>
              <w:t>References</w:t>
            </w:r>
            <w:r w:rsidR="00235D01">
              <w:rPr>
                <w:noProof/>
                <w:webHidden/>
              </w:rPr>
              <w:tab/>
            </w:r>
            <w:r w:rsidR="00235D01">
              <w:rPr>
                <w:noProof/>
                <w:webHidden/>
              </w:rPr>
              <w:fldChar w:fldCharType="begin"/>
            </w:r>
            <w:r w:rsidR="00235D01">
              <w:rPr>
                <w:noProof/>
                <w:webHidden/>
              </w:rPr>
              <w:instrText xml:space="preserve"> PAGEREF _Toc130051876 \h </w:instrText>
            </w:r>
            <w:r w:rsidR="00235D01">
              <w:rPr>
                <w:noProof/>
                <w:webHidden/>
              </w:rPr>
            </w:r>
            <w:r w:rsidR="00235D01">
              <w:rPr>
                <w:noProof/>
                <w:webHidden/>
              </w:rPr>
              <w:fldChar w:fldCharType="separate"/>
            </w:r>
            <w:r w:rsidR="00235D01">
              <w:rPr>
                <w:noProof/>
                <w:webHidden/>
              </w:rPr>
              <w:t>18</w:t>
            </w:r>
            <w:r w:rsidR="00235D01">
              <w:rPr>
                <w:noProof/>
                <w:webHidden/>
              </w:rPr>
              <w:fldChar w:fldCharType="end"/>
            </w:r>
          </w:hyperlink>
        </w:p>
        <w:p w14:paraId="6AB1D51D" w14:textId="619D8BB8" w:rsidR="00B3610D" w:rsidRPr="00B97413" w:rsidRDefault="00000000">
          <w:pPr>
            <w:tabs>
              <w:tab w:val="right" w:pos="9025"/>
            </w:tabs>
            <w:spacing w:before="200" w:after="80" w:line="240" w:lineRule="auto"/>
            <w:rPr>
              <w:rFonts w:ascii="Calibri" w:eastAsia="Calibri" w:hAnsi="Calibri" w:cs="Calibri"/>
              <w:b/>
            </w:rPr>
          </w:pPr>
          <w:r w:rsidRPr="00B97413">
            <w:fldChar w:fldCharType="end"/>
          </w:r>
        </w:p>
      </w:sdtContent>
    </w:sdt>
    <w:p w14:paraId="4349BC49" w14:textId="77777777" w:rsidR="00B3610D" w:rsidRPr="00B97413" w:rsidRDefault="00B3610D">
      <w:pPr>
        <w:rPr>
          <w:rFonts w:ascii="Calibri" w:eastAsia="Calibri" w:hAnsi="Calibri" w:cs="Calibri"/>
        </w:rPr>
      </w:pPr>
    </w:p>
    <w:p w14:paraId="7EC914EE" w14:textId="0B4EFB22" w:rsidR="00B3610D" w:rsidRDefault="00B3610D">
      <w:pPr>
        <w:rPr>
          <w:rFonts w:ascii="Calibri" w:eastAsia="Calibri" w:hAnsi="Calibri" w:cs="Calibri"/>
        </w:rPr>
      </w:pPr>
    </w:p>
    <w:p w14:paraId="700502B1" w14:textId="0B453B1D" w:rsidR="00B97413" w:rsidRDefault="00B97413">
      <w:pPr>
        <w:rPr>
          <w:rFonts w:ascii="Calibri" w:eastAsia="Calibri" w:hAnsi="Calibri" w:cs="Calibri"/>
        </w:rPr>
      </w:pPr>
    </w:p>
    <w:p w14:paraId="79F96FEB" w14:textId="714786E6" w:rsidR="00B97413" w:rsidRDefault="00B97413">
      <w:pPr>
        <w:rPr>
          <w:rFonts w:ascii="Calibri" w:eastAsia="Calibri" w:hAnsi="Calibri" w:cs="Calibri"/>
        </w:rPr>
      </w:pPr>
    </w:p>
    <w:p w14:paraId="600F218F" w14:textId="3F875C77" w:rsidR="00B97413" w:rsidRDefault="00B97413">
      <w:pPr>
        <w:rPr>
          <w:rFonts w:ascii="Calibri" w:eastAsia="Calibri" w:hAnsi="Calibri" w:cs="Calibri"/>
        </w:rPr>
      </w:pPr>
    </w:p>
    <w:p w14:paraId="46F32230" w14:textId="787366EC" w:rsidR="00B97413" w:rsidRDefault="00B97413">
      <w:pPr>
        <w:rPr>
          <w:rFonts w:ascii="Calibri" w:eastAsia="Calibri" w:hAnsi="Calibri" w:cs="Calibri"/>
        </w:rPr>
      </w:pPr>
    </w:p>
    <w:p w14:paraId="7E40639E" w14:textId="073A9638" w:rsidR="00B97413" w:rsidRDefault="00B97413">
      <w:pPr>
        <w:rPr>
          <w:rFonts w:ascii="Calibri" w:eastAsia="Calibri" w:hAnsi="Calibri" w:cs="Calibri"/>
        </w:rPr>
      </w:pPr>
    </w:p>
    <w:p w14:paraId="6DA19285" w14:textId="6A7EF0A6" w:rsidR="00B97413" w:rsidRDefault="00B97413">
      <w:pPr>
        <w:rPr>
          <w:rFonts w:ascii="Calibri" w:eastAsia="Calibri" w:hAnsi="Calibri" w:cs="Calibri"/>
        </w:rPr>
      </w:pPr>
    </w:p>
    <w:p w14:paraId="22E305B8" w14:textId="7A5F2F85" w:rsidR="00B97413" w:rsidRDefault="00B97413">
      <w:pPr>
        <w:rPr>
          <w:rFonts w:ascii="Calibri" w:eastAsia="Calibri" w:hAnsi="Calibri" w:cs="Calibri"/>
        </w:rPr>
      </w:pPr>
    </w:p>
    <w:p w14:paraId="30AEECB1" w14:textId="41BB0104" w:rsidR="00B97413" w:rsidRDefault="00B97413">
      <w:pPr>
        <w:rPr>
          <w:rFonts w:ascii="Calibri" w:eastAsia="Calibri" w:hAnsi="Calibri" w:cs="Calibri"/>
        </w:rPr>
      </w:pPr>
    </w:p>
    <w:p w14:paraId="3E22D191" w14:textId="58CE7CB8" w:rsidR="00B97413" w:rsidRDefault="00B97413">
      <w:pPr>
        <w:rPr>
          <w:rFonts w:ascii="Calibri" w:eastAsia="Calibri" w:hAnsi="Calibri" w:cs="Calibri"/>
        </w:rPr>
      </w:pPr>
    </w:p>
    <w:p w14:paraId="04937EE8" w14:textId="29783884" w:rsidR="00B97413" w:rsidRDefault="00B97413">
      <w:pPr>
        <w:rPr>
          <w:rFonts w:ascii="Calibri" w:eastAsia="Calibri" w:hAnsi="Calibri" w:cs="Calibri"/>
        </w:rPr>
      </w:pPr>
    </w:p>
    <w:p w14:paraId="48D071C1" w14:textId="7FA8C743" w:rsidR="00B97413" w:rsidRDefault="00B97413">
      <w:pPr>
        <w:rPr>
          <w:rFonts w:ascii="Calibri" w:eastAsia="Calibri" w:hAnsi="Calibri" w:cs="Calibri"/>
        </w:rPr>
      </w:pPr>
    </w:p>
    <w:p w14:paraId="08F1407E" w14:textId="2A43CBA9" w:rsidR="00B97413" w:rsidRDefault="00B97413">
      <w:pPr>
        <w:rPr>
          <w:rFonts w:ascii="Calibri" w:eastAsia="Calibri" w:hAnsi="Calibri" w:cs="Calibri"/>
        </w:rPr>
      </w:pPr>
    </w:p>
    <w:p w14:paraId="05E8DA7B" w14:textId="77777777" w:rsidR="00B97413" w:rsidRPr="00B97413" w:rsidRDefault="00B97413">
      <w:pPr>
        <w:rPr>
          <w:rFonts w:ascii="Calibri" w:eastAsia="Calibri" w:hAnsi="Calibri" w:cs="Calibri"/>
        </w:rPr>
      </w:pPr>
    </w:p>
    <w:p w14:paraId="0334FB8E" w14:textId="77777777" w:rsidR="00B3610D" w:rsidRPr="00B97413" w:rsidRDefault="00B3610D"/>
    <w:p w14:paraId="68BF776A" w14:textId="296973D9" w:rsidR="00B3610D" w:rsidRPr="00B97413" w:rsidRDefault="00071298">
      <w:pPr>
        <w:pStyle w:val="Heading2"/>
        <w:rPr>
          <w:rFonts w:ascii="Calibri" w:eastAsia="Calibri" w:hAnsi="Calibri" w:cs="Calibri"/>
          <w:b/>
          <w:sz w:val="28"/>
          <w:szCs w:val="28"/>
        </w:rPr>
      </w:pPr>
      <w:bookmarkStart w:id="0" w:name="_ix9urjyjo2uy" w:colFirst="0" w:colLast="0"/>
      <w:bookmarkStart w:id="1" w:name="_Toc130051863"/>
      <w:bookmarkEnd w:id="0"/>
      <w:r>
        <w:rPr>
          <w:rFonts w:ascii="Calibri" w:eastAsia="Calibri" w:hAnsi="Calibri" w:cs="Calibri"/>
          <w:b/>
          <w:sz w:val="28"/>
          <w:szCs w:val="28"/>
        </w:rPr>
        <w:lastRenderedPageBreak/>
        <w:t>A</w:t>
      </w:r>
      <w:r w:rsidRPr="00B97413">
        <w:rPr>
          <w:rFonts w:ascii="Calibri" w:eastAsia="Calibri" w:hAnsi="Calibri" w:cs="Calibri"/>
          <w:b/>
          <w:sz w:val="28"/>
          <w:szCs w:val="28"/>
        </w:rPr>
        <w:t>1.1: PMC and malaria vaccine efficacy calibration and validation</w:t>
      </w:r>
      <w:bookmarkEnd w:id="1"/>
    </w:p>
    <w:p w14:paraId="145518B1" w14:textId="77777777" w:rsidR="00B3610D" w:rsidRPr="00B97413" w:rsidRDefault="00000000">
      <w:pPr>
        <w:pStyle w:val="Heading3"/>
        <w:spacing w:before="240" w:after="0"/>
        <w:rPr>
          <w:color w:val="auto"/>
          <w:sz w:val="26"/>
          <w:szCs w:val="26"/>
        </w:rPr>
      </w:pPr>
      <w:bookmarkStart w:id="2" w:name="_Toc130051864"/>
      <w:r w:rsidRPr="00B97413">
        <w:rPr>
          <w:rFonts w:ascii="Calibri" w:eastAsia="Calibri" w:hAnsi="Calibri" w:cs="Calibri"/>
          <w:i/>
          <w:color w:val="auto"/>
          <w:sz w:val="24"/>
          <w:szCs w:val="24"/>
        </w:rPr>
        <w:t>PMC</w:t>
      </w:r>
      <w:bookmarkEnd w:id="2"/>
    </w:p>
    <w:p w14:paraId="1FA10975" w14:textId="4DA7F58B" w:rsidR="00B3610D" w:rsidRPr="00B97413" w:rsidRDefault="00EE28A2">
      <w:pPr>
        <w:rPr>
          <w:rFonts w:ascii="Calibri" w:eastAsia="Calibri" w:hAnsi="Calibri" w:cs="Calibri"/>
        </w:rPr>
      </w:pPr>
      <w:r>
        <w:rPr>
          <w:rFonts w:ascii="Calibri" w:eastAsia="Calibri" w:hAnsi="Calibri" w:cs="Calibri"/>
        </w:rPr>
        <w:t>The simulation was based on a</w:t>
      </w:r>
      <w:r w:rsidRPr="00B97413">
        <w:rPr>
          <w:rFonts w:ascii="Calibri" w:eastAsia="Calibri" w:hAnsi="Calibri" w:cs="Calibri"/>
        </w:rPr>
        <w:t xml:space="preserve"> geographic-agnostic model with 32 infectious bites per person per annum (ibppa) and clinical case management at 60% with a single </w:t>
      </w:r>
      <w:r>
        <w:rPr>
          <w:rFonts w:ascii="Calibri" w:eastAsia="Calibri" w:hAnsi="Calibri" w:cs="Calibri"/>
        </w:rPr>
        <w:t>dose</w:t>
      </w:r>
      <w:r w:rsidRPr="00B97413">
        <w:rPr>
          <w:rFonts w:ascii="Calibri" w:eastAsia="Calibri" w:hAnsi="Calibri" w:cs="Calibri"/>
        </w:rPr>
        <w:t xml:space="preserve"> of PMC administered at 14 weeks of age at 100% coverage (for efficacy). </w:t>
      </w:r>
      <w:r>
        <w:rPr>
          <w:rFonts w:ascii="Calibri" w:eastAsia="Calibri" w:hAnsi="Calibri" w:cs="Calibri"/>
        </w:rPr>
        <w:t xml:space="preserve">We used </w:t>
      </w:r>
      <w:r w:rsidRPr="00B97413">
        <w:rPr>
          <w:rFonts w:ascii="Calibri" w:eastAsia="Calibri" w:hAnsi="Calibri" w:cs="Calibri"/>
        </w:rPr>
        <w:t xml:space="preserve">the EMOD vaccine campaign event </w:t>
      </w:r>
      <w:r>
        <w:rPr>
          <w:rFonts w:ascii="Calibri" w:eastAsia="Calibri" w:hAnsi="Calibri" w:cs="Calibri"/>
        </w:rPr>
        <w:t>to model PMC, which allowed us</w:t>
      </w:r>
      <w:r w:rsidRPr="00B97413">
        <w:rPr>
          <w:rFonts w:ascii="Calibri" w:eastAsia="Calibri" w:hAnsi="Calibri" w:cs="Calibri"/>
        </w:rPr>
        <w:t xml:space="preserve"> to specify custom waning efficacy curves</w:t>
      </w:r>
      <w:r w:rsidRPr="00B97413">
        <w:rPr>
          <w:rFonts w:ascii="Calibri" w:eastAsia="Calibri" w:hAnsi="Calibri" w:cs="Calibri"/>
          <w:vertAlign w:val="superscript"/>
        </w:rPr>
        <w:footnoteReference w:id="1"/>
      </w:r>
      <w:r w:rsidRPr="00B97413">
        <w:rPr>
          <w:rFonts w:ascii="Calibri" w:eastAsia="Calibri" w:hAnsi="Calibri" w:cs="Calibri"/>
        </w:rPr>
        <w:t xml:space="preserve">. </w:t>
      </w:r>
      <w:r w:rsidRPr="00EE28A2">
        <w:rPr>
          <w:rFonts w:ascii="Calibri" w:eastAsia="Calibri" w:hAnsi="Calibri" w:cs="Calibri"/>
        </w:rPr>
        <w:t>An empirically derived reference efficacy curve of sulfadoxine-pyrimethamine (SP) based on a Ghana IPTi trial was used to estimate initial efficacy and decay patterns</w:t>
      </w:r>
      <w:r w:rsidRPr="00EE28A2" w:rsidDel="00EE28A2">
        <w:rPr>
          <w:rFonts w:ascii="Calibri" w:eastAsia="Calibri" w:hAnsi="Calibri" w:cs="Calibri"/>
        </w:rPr>
        <w:t xml:space="preserve"> </w:t>
      </w:r>
      <w:hyperlink r:id="rId7">
        <w:r w:rsidRPr="00B97413">
          <w:rPr>
            <w:rFonts w:ascii="Calibri" w:eastAsia="Calibri" w:hAnsi="Calibri" w:cs="Calibri"/>
          </w:rPr>
          <w:t>[1]</w:t>
        </w:r>
      </w:hyperlink>
      <w:r w:rsidRPr="00B97413">
        <w:rPr>
          <w:rFonts w:ascii="Calibri" w:eastAsia="Calibri" w:hAnsi="Calibri" w:cs="Calibri"/>
        </w:rPr>
        <w:t xml:space="preserve">. In the </w:t>
      </w:r>
      <w:r>
        <w:rPr>
          <w:rFonts w:ascii="Calibri" w:eastAsia="Calibri" w:hAnsi="Calibri" w:cs="Calibri"/>
        </w:rPr>
        <w:t>simulated</w:t>
      </w:r>
      <w:r w:rsidRPr="00B97413">
        <w:rPr>
          <w:rFonts w:ascii="Calibri" w:eastAsia="Calibri" w:hAnsi="Calibri" w:cs="Calibri"/>
        </w:rPr>
        <w:t xml:space="preserve"> population, 100 drug response groups </w:t>
      </w:r>
      <w:r>
        <w:rPr>
          <w:rFonts w:ascii="Calibri" w:eastAsia="Calibri" w:hAnsi="Calibri" w:cs="Calibri"/>
        </w:rPr>
        <w:t xml:space="preserve">were defined </w:t>
      </w:r>
      <w:r w:rsidRPr="00B97413">
        <w:rPr>
          <w:rFonts w:ascii="Calibri" w:eastAsia="Calibri" w:hAnsi="Calibri" w:cs="Calibri"/>
        </w:rPr>
        <w:t xml:space="preserve">to </w:t>
      </w:r>
      <w:r>
        <w:rPr>
          <w:rFonts w:ascii="Calibri" w:eastAsia="Calibri" w:hAnsi="Calibri" w:cs="Calibri"/>
        </w:rPr>
        <w:t xml:space="preserve">model </w:t>
      </w:r>
      <w:r w:rsidRPr="00B97413">
        <w:rPr>
          <w:rFonts w:ascii="Calibri" w:eastAsia="Calibri" w:hAnsi="Calibri" w:cs="Calibri"/>
        </w:rPr>
        <w:t xml:space="preserve">variation in the initial efficacy of the drug, defined as the maximum proportion of blood-stage parasites killed by the drug. </w:t>
      </w:r>
      <w:r>
        <w:rPr>
          <w:rFonts w:ascii="Calibri" w:eastAsia="Calibri" w:hAnsi="Calibri" w:cs="Calibri"/>
        </w:rPr>
        <w:t>The p</w:t>
      </w:r>
      <w:r w:rsidRPr="00B97413">
        <w:rPr>
          <w:rFonts w:ascii="Calibri" w:eastAsia="Calibri" w:hAnsi="Calibri" w:cs="Calibri"/>
        </w:rPr>
        <w:t>arameter values were drawn from a normal distribution with a mean of 0.8, a standard deviation of 0.025</w:t>
      </w:r>
      <w:r>
        <w:rPr>
          <w:rFonts w:ascii="Calibri" w:eastAsia="Calibri" w:hAnsi="Calibri" w:cs="Calibri"/>
        </w:rPr>
        <w:t>,</w:t>
      </w:r>
      <w:r w:rsidRPr="00B97413">
        <w:rPr>
          <w:rFonts w:ascii="Calibri" w:eastAsia="Calibri" w:hAnsi="Calibri" w:cs="Calibri"/>
        </w:rPr>
        <w:t xml:space="preserve"> and truncated at 0.75 and 0.9, arbitrarily chosen. The efficacy was held constant for a specific time before decaying exponentially and parameters (</w:t>
      </w:r>
      <w:r w:rsidRPr="00B97413">
        <w:rPr>
          <w:rFonts w:ascii="Calibri" w:eastAsia="Calibri" w:hAnsi="Calibri" w:cs="Calibri"/>
          <w:i/>
        </w:rPr>
        <w:t>Box_Duration</w:t>
      </w:r>
      <w:r w:rsidRPr="00B97413">
        <w:rPr>
          <w:rFonts w:ascii="Calibri" w:eastAsia="Calibri" w:hAnsi="Calibri" w:cs="Calibri"/>
        </w:rPr>
        <w:t xml:space="preserve">, </w:t>
      </w:r>
      <w:r w:rsidRPr="00B97413">
        <w:rPr>
          <w:rFonts w:ascii="Calibri" w:eastAsia="Calibri" w:hAnsi="Calibri" w:cs="Calibri"/>
          <w:i/>
          <w:sz w:val="20"/>
          <w:szCs w:val="20"/>
        </w:rPr>
        <w:t xml:space="preserve">Decay_Time_Constant) </w:t>
      </w:r>
      <w:r w:rsidRPr="00B97413">
        <w:rPr>
          <w:rFonts w:ascii="Calibri" w:eastAsia="Calibri" w:hAnsi="Calibri" w:cs="Calibri"/>
        </w:rPr>
        <w:t xml:space="preserve">were fitted using values between 28 and 34 days and between 14.4 and 21.6 respectively. The protective efficacy against clinical malaria per week following simulated administration of the single dose of PMC was calculated and matched to the reference SP efficacy curve </w:t>
      </w:r>
      <w:hyperlink r:id="rId8">
        <w:r w:rsidRPr="00B97413">
          <w:rPr>
            <w:rFonts w:ascii="Calibri" w:eastAsia="Calibri" w:hAnsi="Calibri" w:cs="Calibri"/>
          </w:rPr>
          <w:t>[1]</w:t>
        </w:r>
      </w:hyperlink>
      <w:r w:rsidRPr="00B97413">
        <w:rPr>
          <w:rFonts w:ascii="Calibri" w:eastAsia="Calibri" w:hAnsi="Calibri" w:cs="Calibri"/>
        </w:rPr>
        <w:t xml:space="preserve"> using </w:t>
      </w:r>
      <w:r>
        <w:rPr>
          <w:rFonts w:ascii="Calibri" w:eastAsia="Calibri" w:hAnsi="Calibri" w:cs="Calibri"/>
        </w:rPr>
        <w:t xml:space="preserve">the </w:t>
      </w:r>
      <w:r w:rsidRPr="00B97413">
        <w:rPr>
          <w:rFonts w:ascii="Calibri" w:eastAsia="Calibri" w:hAnsi="Calibri" w:cs="Calibri"/>
        </w:rPr>
        <w:t xml:space="preserve">least sum of squares. The estimated parameters were </w:t>
      </w:r>
      <w:r>
        <w:rPr>
          <w:rFonts w:ascii="Calibri" w:eastAsia="Calibri" w:hAnsi="Calibri" w:cs="Calibri"/>
        </w:rPr>
        <w:t>used</w:t>
      </w:r>
      <w:r w:rsidRPr="00B97413">
        <w:rPr>
          <w:rFonts w:ascii="Calibri" w:eastAsia="Calibri" w:hAnsi="Calibri" w:cs="Calibri"/>
        </w:rPr>
        <w:t xml:space="preserve"> in a follow up simulation </w:t>
      </w:r>
      <w:r>
        <w:rPr>
          <w:rFonts w:ascii="Calibri" w:eastAsia="Calibri" w:hAnsi="Calibri" w:cs="Calibri"/>
        </w:rPr>
        <w:t>with</w:t>
      </w:r>
      <w:r w:rsidRPr="00B97413">
        <w:rPr>
          <w:rFonts w:ascii="Calibri" w:eastAsia="Calibri" w:hAnsi="Calibri" w:cs="Calibri"/>
        </w:rPr>
        <w:t xml:space="preserve"> varying transmission intensities (annual EIR &lt;10 to 256 infectious bites per person per annum (ibpa)) </w:t>
      </w:r>
      <w:r>
        <w:rPr>
          <w:rFonts w:ascii="Calibri" w:eastAsia="Calibri" w:hAnsi="Calibri" w:cs="Calibri"/>
        </w:rPr>
        <w:t>to compare</w:t>
      </w:r>
      <w:r w:rsidRPr="00B97413">
        <w:rPr>
          <w:rFonts w:ascii="Calibri" w:eastAsia="Calibri" w:hAnsi="Calibri" w:cs="Calibri"/>
        </w:rPr>
        <w:t xml:space="preserve"> resulting protective efficacies in children 0-12 month</w:t>
      </w:r>
      <w:r>
        <w:rPr>
          <w:rFonts w:ascii="Calibri" w:eastAsia="Calibri" w:hAnsi="Calibri" w:cs="Calibri"/>
        </w:rPr>
        <w:t>s</w:t>
      </w:r>
      <w:r w:rsidRPr="00B97413">
        <w:rPr>
          <w:rFonts w:ascii="Calibri" w:eastAsia="Calibri" w:hAnsi="Calibri" w:cs="Calibri"/>
        </w:rPr>
        <w:t xml:space="preserve"> to reported protective efficacy estimates in infants from previous IPTi trials </w:t>
      </w:r>
      <w:hyperlink r:id="rId9">
        <w:r w:rsidRPr="00B97413">
          <w:rPr>
            <w:rFonts w:ascii="Calibri" w:eastAsia="Calibri" w:hAnsi="Calibri" w:cs="Calibri"/>
          </w:rPr>
          <w:t>[2,3]</w:t>
        </w:r>
      </w:hyperlink>
      <w:r w:rsidRPr="00B97413">
        <w:rPr>
          <w:rFonts w:ascii="Calibri" w:eastAsia="Calibri" w:hAnsi="Calibri" w:cs="Calibri"/>
        </w:rPr>
        <w:t xml:space="preserve"> (Fig </w:t>
      </w:r>
      <w:r w:rsidR="00071298">
        <w:rPr>
          <w:rFonts w:ascii="Calibri" w:eastAsia="Calibri" w:hAnsi="Calibri" w:cs="Calibri"/>
        </w:rPr>
        <w:t>A</w:t>
      </w:r>
      <w:r w:rsidRPr="00B97413">
        <w:rPr>
          <w:rFonts w:ascii="Calibri" w:eastAsia="Calibri" w:hAnsi="Calibri" w:cs="Calibri"/>
        </w:rPr>
        <w:t>1.1.1).</w:t>
      </w:r>
    </w:p>
    <w:p w14:paraId="7FF48818" w14:textId="77777777" w:rsidR="00B3610D" w:rsidRPr="00B97413" w:rsidRDefault="00B3610D">
      <w:pPr>
        <w:rPr>
          <w:rFonts w:ascii="Calibri" w:eastAsia="Calibri" w:hAnsi="Calibri" w:cs="Calibri"/>
        </w:rPr>
      </w:pPr>
    </w:p>
    <w:p w14:paraId="52018502" w14:textId="77777777" w:rsidR="00B3610D" w:rsidRPr="00B97413" w:rsidRDefault="00B3610D">
      <w:pPr>
        <w:spacing w:line="240" w:lineRule="auto"/>
        <w:rPr>
          <w:rFonts w:ascii="Calibri" w:eastAsia="Calibri" w:hAnsi="Calibri" w:cs="Calibri"/>
          <w:sz w:val="20"/>
          <w:szCs w:val="20"/>
        </w:rPr>
      </w:pPr>
    </w:p>
    <w:p w14:paraId="1F5885BB"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noProof/>
          <w:sz w:val="20"/>
          <w:szCs w:val="20"/>
        </w:rPr>
        <w:drawing>
          <wp:inline distT="114300" distB="114300" distL="114300" distR="114300" wp14:anchorId="42A9BE35" wp14:editId="04F2CD5A">
            <wp:extent cx="5731200" cy="2286000"/>
            <wp:effectExtent l="0" t="0" r="0" b="0"/>
            <wp:docPr id="1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a:stretch>
                      <a:fillRect/>
                    </a:stretch>
                  </pic:blipFill>
                  <pic:spPr>
                    <a:xfrm>
                      <a:off x="0" y="0"/>
                      <a:ext cx="5731200" cy="2286000"/>
                    </a:xfrm>
                    <a:prstGeom prst="rect">
                      <a:avLst/>
                    </a:prstGeom>
                    <a:ln/>
                  </pic:spPr>
                </pic:pic>
              </a:graphicData>
            </a:graphic>
          </wp:inline>
        </w:drawing>
      </w:r>
    </w:p>
    <w:p w14:paraId="220F0EE8" w14:textId="5DEC8FD3"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1.1.0: A) </w:t>
      </w:r>
      <w:r w:rsidRPr="00B97413">
        <w:rPr>
          <w:rFonts w:ascii="Calibri" w:eastAsia="Calibri" w:hAnsi="Calibri" w:cs="Calibri"/>
          <w:sz w:val="20"/>
          <w:szCs w:val="20"/>
        </w:rPr>
        <w:t>Time offset in efficacy curve of a single dose of SP for clinical malaria. For each age touchpoint</w:t>
      </w:r>
      <w:r w:rsidR="00EE28A2">
        <w:rPr>
          <w:rFonts w:ascii="Calibri" w:eastAsia="Calibri" w:hAnsi="Calibri" w:cs="Calibri"/>
          <w:sz w:val="20"/>
          <w:szCs w:val="20"/>
        </w:rPr>
        <w:t>,</w:t>
      </w:r>
      <w:r w:rsidRPr="00B97413">
        <w:rPr>
          <w:rFonts w:ascii="Calibri" w:eastAsia="Calibri" w:hAnsi="Calibri" w:cs="Calibri"/>
          <w:sz w:val="20"/>
          <w:szCs w:val="20"/>
        </w:rPr>
        <w:t xml:space="preserve"> an offset of 10 days was included in the simulation. To match the reference curve with immediate efficacy at around 80%, an additional offset of 7 days was required. </w:t>
      </w:r>
      <w:r w:rsidRPr="00B97413">
        <w:rPr>
          <w:rFonts w:ascii="Calibri" w:eastAsia="Calibri" w:hAnsi="Calibri" w:cs="Calibri"/>
          <w:b/>
          <w:sz w:val="20"/>
          <w:szCs w:val="20"/>
        </w:rPr>
        <w:t xml:space="preserve">B) </w:t>
      </w:r>
      <w:r w:rsidRPr="00B97413">
        <w:rPr>
          <w:rFonts w:ascii="Calibri" w:eastAsia="Calibri" w:hAnsi="Calibri" w:cs="Calibri"/>
          <w:sz w:val="20"/>
          <w:szCs w:val="20"/>
        </w:rPr>
        <w:t>Distribution of initial efficacy of single PMC dose for 100 dose-response groups in the simulated population (mean = 0.8, sd = 0.025, min =0.75, max = 0.9).</w:t>
      </w:r>
    </w:p>
    <w:p w14:paraId="36BBA80F" w14:textId="77777777" w:rsidR="00B3610D" w:rsidRPr="00B97413" w:rsidRDefault="00000000">
      <w:pPr>
        <w:spacing w:before="240" w:after="200"/>
        <w:rPr>
          <w:rFonts w:ascii="Calibri" w:eastAsia="Calibri" w:hAnsi="Calibri" w:cs="Calibri"/>
        </w:rPr>
      </w:pPr>
      <w:r w:rsidRPr="00B97413">
        <w:rPr>
          <w:rFonts w:ascii="Calibri" w:eastAsia="Calibri" w:hAnsi="Calibri" w:cs="Calibri"/>
          <w:noProof/>
        </w:rPr>
        <w:lastRenderedPageBreak/>
        <w:drawing>
          <wp:inline distT="114300" distB="114300" distL="114300" distR="114300" wp14:anchorId="71BC9DDB" wp14:editId="6C00C22F">
            <wp:extent cx="5292462" cy="3824288"/>
            <wp:effectExtent l="0" t="0" r="0" b="0"/>
            <wp:docPr id="1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1"/>
                    <a:srcRect/>
                    <a:stretch>
                      <a:fillRect/>
                    </a:stretch>
                  </pic:blipFill>
                  <pic:spPr>
                    <a:xfrm>
                      <a:off x="0" y="0"/>
                      <a:ext cx="5292462" cy="3824288"/>
                    </a:xfrm>
                    <a:prstGeom prst="rect">
                      <a:avLst/>
                    </a:prstGeom>
                    <a:ln/>
                  </pic:spPr>
                </pic:pic>
              </a:graphicData>
            </a:graphic>
          </wp:inline>
        </w:drawing>
      </w:r>
    </w:p>
    <w:p w14:paraId="582B0FC1" w14:textId="3AADBF1F"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1.1.1: A) </w:t>
      </w:r>
      <w:r w:rsidRPr="00B97413">
        <w:rPr>
          <w:rFonts w:ascii="Calibri" w:eastAsia="Calibri" w:hAnsi="Calibri" w:cs="Calibri"/>
          <w:sz w:val="20"/>
          <w:szCs w:val="20"/>
        </w:rPr>
        <w:t xml:space="preserve">Efficacy curve of a single dose of SP for clinical malaria by varying levels of transmission intensity. Reference points smoothed estimates based on averaged effect across four doses in children less than 15 months in Ghana IPTi 2005 trial </w:t>
      </w:r>
      <w:hyperlink r:id="rId12">
        <w:r w:rsidRPr="00B97413">
          <w:rPr>
            <w:rFonts w:ascii="Calibri" w:eastAsia="Calibri" w:hAnsi="Calibri" w:cs="Calibri"/>
            <w:sz w:val="20"/>
            <w:szCs w:val="20"/>
          </w:rPr>
          <w:t>[1,4]</w:t>
        </w:r>
      </w:hyperlink>
      <w:r w:rsidRPr="00B97413">
        <w:rPr>
          <w:rFonts w:ascii="Calibri" w:eastAsia="Calibri" w:hAnsi="Calibri" w:cs="Calibri"/>
          <w:sz w:val="20"/>
          <w:szCs w:val="20"/>
        </w:rPr>
        <w:t xml:space="preserve">. Simulations were adjusted with an offset of 7 days since no immediate parasite clearance was simulated. </w:t>
      </w:r>
      <w:r w:rsidRPr="00B97413">
        <w:rPr>
          <w:rFonts w:ascii="Calibri" w:eastAsia="Calibri" w:hAnsi="Calibri" w:cs="Calibri"/>
          <w:b/>
          <w:sz w:val="20"/>
          <w:szCs w:val="20"/>
        </w:rPr>
        <w:t xml:space="preserve">B) </w:t>
      </w:r>
      <w:r w:rsidRPr="00B97413">
        <w:rPr>
          <w:rFonts w:ascii="Calibri" w:eastAsia="Calibri" w:hAnsi="Calibri" w:cs="Calibri"/>
          <w:sz w:val="20"/>
          <w:szCs w:val="20"/>
        </w:rPr>
        <w:t>Comparison of protective efficacies for clinical malaria across clinical trials, pooled analysis</w:t>
      </w:r>
      <w:r w:rsidR="00EE28A2">
        <w:rPr>
          <w:rFonts w:ascii="Calibri" w:eastAsia="Calibri" w:hAnsi="Calibri" w:cs="Calibri"/>
          <w:sz w:val="20"/>
          <w:szCs w:val="20"/>
        </w:rPr>
        <w:t>,</w:t>
      </w:r>
      <w:r w:rsidRPr="00B97413">
        <w:rPr>
          <w:rFonts w:ascii="Calibri" w:eastAsia="Calibri" w:hAnsi="Calibri" w:cs="Calibri"/>
          <w:sz w:val="20"/>
          <w:szCs w:val="20"/>
        </w:rPr>
        <w:t xml:space="preserve"> and EMOD simulations. Effect sizes per trial were obtained from </w:t>
      </w:r>
      <w:hyperlink r:id="rId13">
        <w:r w:rsidRPr="00B97413">
          <w:rPr>
            <w:rFonts w:ascii="Calibri" w:eastAsia="Calibri" w:hAnsi="Calibri" w:cs="Calibri"/>
            <w:sz w:val="20"/>
            <w:szCs w:val="20"/>
          </w:rPr>
          <w:t>[2]</w:t>
        </w:r>
      </w:hyperlink>
      <w:r w:rsidRPr="00B97413">
        <w:rPr>
          <w:rFonts w:ascii="Calibri" w:eastAsia="Calibri" w:hAnsi="Calibri" w:cs="Calibri"/>
          <w:sz w:val="20"/>
          <w:szCs w:val="20"/>
        </w:rPr>
        <w:t xml:space="preserve"> as well as source publications. </w:t>
      </w:r>
    </w:p>
    <w:p w14:paraId="070843D2" w14:textId="77777777" w:rsidR="00B3610D" w:rsidRPr="00B97413" w:rsidRDefault="00B3610D">
      <w:pPr>
        <w:spacing w:line="240" w:lineRule="auto"/>
        <w:rPr>
          <w:rFonts w:ascii="Calibri" w:eastAsia="Calibri" w:hAnsi="Calibri" w:cs="Calibri"/>
          <w:sz w:val="20"/>
          <w:szCs w:val="20"/>
        </w:rPr>
      </w:pPr>
    </w:p>
    <w:p w14:paraId="631E878F" w14:textId="77777777" w:rsidR="00B3610D" w:rsidRPr="00B97413" w:rsidRDefault="00B3610D">
      <w:pPr>
        <w:spacing w:line="240" w:lineRule="auto"/>
        <w:rPr>
          <w:rFonts w:ascii="Calibri" w:eastAsia="Calibri" w:hAnsi="Calibri" w:cs="Calibri"/>
          <w:i/>
          <w:sz w:val="24"/>
          <w:szCs w:val="24"/>
        </w:rPr>
      </w:pPr>
    </w:p>
    <w:p w14:paraId="2543629A" w14:textId="795C5146" w:rsidR="00B3610D" w:rsidRPr="00B97413" w:rsidRDefault="00000000">
      <w:pPr>
        <w:rPr>
          <w:rFonts w:ascii="Calibri" w:eastAsia="Calibri" w:hAnsi="Calibri" w:cs="Calibri"/>
          <w:i/>
          <w:sz w:val="20"/>
          <w:szCs w:val="20"/>
        </w:rPr>
      </w:pPr>
      <w:r w:rsidRPr="00B97413">
        <w:rPr>
          <w:rFonts w:ascii="Calibri" w:eastAsia="Calibri" w:hAnsi="Calibri" w:cs="Calibri"/>
          <w:i/>
          <w:sz w:val="24"/>
          <w:szCs w:val="24"/>
        </w:rPr>
        <w:t xml:space="preserve">Validation of modeled PMC-SP efficacy in </w:t>
      </w:r>
      <w:r w:rsidR="00EE28A2">
        <w:rPr>
          <w:rFonts w:ascii="Calibri" w:eastAsia="Calibri" w:hAnsi="Calibri" w:cs="Calibri"/>
          <w:i/>
          <w:sz w:val="24"/>
          <w:szCs w:val="24"/>
        </w:rPr>
        <w:t>Ghana IPTi trial</w:t>
      </w:r>
    </w:p>
    <w:p w14:paraId="252A65C5" w14:textId="60E22611" w:rsidR="00B3610D" w:rsidRPr="00B97413" w:rsidRDefault="00000000">
      <w:pPr>
        <w:spacing w:after="200"/>
        <w:rPr>
          <w:rFonts w:ascii="Calibri" w:eastAsia="Calibri" w:hAnsi="Calibri" w:cs="Calibri"/>
        </w:rPr>
      </w:pPr>
      <w:r w:rsidRPr="00B97413">
        <w:rPr>
          <w:rFonts w:ascii="Calibri" w:eastAsia="Calibri" w:hAnsi="Calibri" w:cs="Calibri"/>
        </w:rPr>
        <w:t>Between 2000 and 2004 a PMC clinical trial was conducted in Navrongo [8], a demographic sentinel site in Northern Ghana.</w:t>
      </w:r>
      <w:r w:rsidR="000151A4">
        <w:rPr>
          <w:rFonts w:ascii="Calibri" w:eastAsia="Calibri" w:hAnsi="Calibri" w:cs="Calibri"/>
        </w:rPr>
        <w:t xml:space="preserve"> </w:t>
      </w:r>
      <w:r w:rsidRPr="00B97413">
        <w:rPr>
          <w:rFonts w:ascii="Calibri" w:eastAsia="Calibri" w:hAnsi="Calibri" w:cs="Calibri"/>
        </w:rPr>
        <w:t>At the time of the study, the first line treatment was chloroquine</w:t>
      </w:r>
      <w:r w:rsidR="00EE28A2">
        <w:rPr>
          <w:rFonts w:ascii="Calibri" w:eastAsia="Calibri" w:hAnsi="Calibri" w:cs="Calibri"/>
        </w:rPr>
        <w:t>,</w:t>
      </w:r>
      <w:r w:rsidRPr="00B97413">
        <w:rPr>
          <w:rFonts w:ascii="Calibri" w:eastAsia="Calibri" w:hAnsi="Calibri" w:cs="Calibri"/>
        </w:rPr>
        <w:t xml:space="preserve"> and second line treatment SP. Transmission in the study area in 2002 was very high (418 ibppa) and highly seasonal with a transmission peak in October. Children born between September 2000 and July 2002 were enrolled in the study and given SP or placebo at the age of two, three, nine</w:t>
      </w:r>
      <w:r w:rsidR="00EE28A2">
        <w:rPr>
          <w:rFonts w:ascii="Calibri" w:eastAsia="Calibri" w:hAnsi="Calibri" w:cs="Calibri"/>
        </w:rPr>
        <w:t>,</w:t>
      </w:r>
      <w:r w:rsidRPr="00B97413">
        <w:rPr>
          <w:rFonts w:ascii="Calibri" w:eastAsia="Calibri" w:hAnsi="Calibri" w:cs="Calibri"/>
        </w:rPr>
        <w:t xml:space="preserve"> and twelve months and followed up until July 2004. The primary endpoint was malaria incidence in children attending health facilities or hospitals. The study found a reduction of 24.8% (14.3 - 34.0%) in clinical cases in infants as for PMC-4 </w:t>
      </w:r>
      <w:hyperlink r:id="rId14">
        <w:r w:rsidRPr="00B97413">
          <w:rPr>
            <w:rFonts w:ascii="Calibri" w:eastAsia="Calibri" w:hAnsi="Calibri" w:cs="Calibri"/>
          </w:rPr>
          <w:t>[4]</w:t>
        </w:r>
      </w:hyperlink>
      <w:r w:rsidRPr="00B97413">
        <w:rPr>
          <w:rFonts w:ascii="Calibri" w:eastAsia="Calibri" w:hAnsi="Calibri" w:cs="Calibri"/>
        </w:rPr>
        <w:t xml:space="preserve">. </w:t>
      </w:r>
    </w:p>
    <w:p w14:paraId="668EF667" w14:textId="1403083C" w:rsidR="00B3610D" w:rsidRPr="00B97413" w:rsidRDefault="00000000">
      <w:pPr>
        <w:spacing w:after="200"/>
        <w:rPr>
          <w:rFonts w:ascii="Calibri" w:eastAsia="Calibri" w:hAnsi="Calibri" w:cs="Calibri"/>
        </w:rPr>
      </w:pPr>
      <w:r w:rsidRPr="00B97413">
        <w:rPr>
          <w:rFonts w:ascii="Calibri" w:eastAsia="Calibri" w:hAnsi="Calibri" w:cs="Calibri"/>
        </w:rPr>
        <w:t xml:space="preserve">An EMOD simulation was set up to mimic the IPTI trial in Ghana, with individuals assigned to either a placebo or a treatment group at three months of age and followed up for four years. No conclusive data were found for the drug efficacy of chloroquine in the early 2000s in Northern Ghana, and an effective treatment coverage of 40% for children under the age of five years was assumed. The effective treatment coverage was selected under consideration of high resistance against chloroquine in 2003 </w:t>
      </w:r>
      <w:hyperlink r:id="rId15">
        <w:r w:rsidRPr="00B97413">
          <w:rPr>
            <w:rFonts w:ascii="Calibri" w:eastAsia="Calibri" w:hAnsi="Calibri" w:cs="Calibri"/>
          </w:rPr>
          <w:t>[5,6]</w:t>
        </w:r>
      </w:hyperlink>
      <w:r w:rsidRPr="00B97413">
        <w:rPr>
          <w:rFonts w:ascii="Calibri" w:eastAsia="Calibri" w:hAnsi="Calibri" w:cs="Calibri"/>
        </w:rPr>
        <w:t>, as well as case management numbers in the study area in the early 2000s</w:t>
      </w:r>
      <w:r w:rsidR="000151A4">
        <w:rPr>
          <w:rFonts w:ascii="Calibri" w:eastAsia="Calibri" w:hAnsi="Calibri" w:cs="Calibri"/>
        </w:rPr>
        <w:t xml:space="preserve"> </w:t>
      </w:r>
      <w:hyperlink r:id="rId16">
        <w:r w:rsidRPr="00B97413">
          <w:rPr>
            <w:rFonts w:ascii="Calibri" w:eastAsia="Calibri" w:hAnsi="Calibri" w:cs="Calibri"/>
          </w:rPr>
          <w:t>[7]</w:t>
        </w:r>
      </w:hyperlink>
      <w:r w:rsidRPr="00B97413">
        <w:rPr>
          <w:rFonts w:ascii="Calibri" w:eastAsia="Calibri" w:hAnsi="Calibri" w:cs="Calibri"/>
        </w:rPr>
        <w:t xml:space="preserve"> (i.e. around 36% care seeking at government clinics, 93% of action taken within 24 hours, and 56% appropriateness of prescription). Reported EIR values from an entomological study </w:t>
      </w:r>
      <w:hyperlink r:id="rId17">
        <w:r w:rsidRPr="00B97413">
          <w:rPr>
            <w:rFonts w:ascii="Calibri" w:eastAsia="Calibri" w:hAnsi="Calibri" w:cs="Calibri"/>
          </w:rPr>
          <w:t>[8]</w:t>
        </w:r>
      </w:hyperlink>
      <w:r w:rsidRPr="00B97413">
        <w:rPr>
          <w:rFonts w:ascii="Calibri" w:eastAsia="Calibri" w:hAnsi="Calibri" w:cs="Calibri"/>
        </w:rPr>
        <w:t xml:space="preserve"> in the </w:t>
      </w:r>
      <w:r w:rsidRPr="00B97413">
        <w:rPr>
          <w:rFonts w:ascii="Calibri" w:eastAsia="Calibri" w:hAnsi="Calibri" w:cs="Calibri"/>
        </w:rPr>
        <w:lastRenderedPageBreak/>
        <w:t xml:space="preserve">same area and time as the IPTi trial informed the transmission seasonality in the simulation. However, to be able to match the seasonal trend in cases reported in the IPTi trial, the monthly EIR values had to be shifted back by one month. Additionally, a scaling factor on the transmission intensity was fitted to the reported monthly case data for the placebo group using least sum of squares, resulting in an EIR of 290 ibpa (Fig </w:t>
      </w:r>
      <w:r w:rsidR="00071298">
        <w:rPr>
          <w:rFonts w:ascii="Calibri" w:eastAsia="Calibri" w:hAnsi="Calibri" w:cs="Calibri"/>
        </w:rPr>
        <w:t>A</w:t>
      </w:r>
      <w:r w:rsidRPr="00B97413">
        <w:rPr>
          <w:rFonts w:ascii="Calibri" w:eastAsia="Calibri" w:hAnsi="Calibri" w:cs="Calibri"/>
        </w:rPr>
        <w:t>1.1.2A).</w:t>
      </w:r>
      <w:r w:rsidR="000151A4">
        <w:rPr>
          <w:rFonts w:ascii="Calibri" w:eastAsia="Calibri" w:hAnsi="Calibri" w:cs="Calibri"/>
        </w:rPr>
        <w:t xml:space="preserve"> </w:t>
      </w:r>
      <w:r w:rsidRPr="00B97413">
        <w:rPr>
          <w:rFonts w:ascii="Calibri" w:eastAsia="Calibri" w:hAnsi="Calibri" w:cs="Calibri"/>
        </w:rPr>
        <w:t xml:space="preserve">The reported prevalence at two timepoints during the IPTi trial was used for cross-validation (Fig </w:t>
      </w:r>
      <w:r w:rsidR="00071298">
        <w:rPr>
          <w:rFonts w:ascii="Calibri" w:eastAsia="Calibri" w:hAnsi="Calibri" w:cs="Calibri"/>
        </w:rPr>
        <w:t>A</w:t>
      </w:r>
      <w:r w:rsidRPr="00B97413">
        <w:rPr>
          <w:rFonts w:ascii="Calibri" w:eastAsia="Calibri" w:hAnsi="Calibri" w:cs="Calibri"/>
        </w:rPr>
        <w:t>1.1.2B)</w:t>
      </w:r>
    </w:p>
    <w:p w14:paraId="158FC455" w14:textId="171A5200" w:rsidR="00B3610D" w:rsidRPr="00B97413" w:rsidRDefault="00000000">
      <w:pPr>
        <w:spacing w:after="200"/>
        <w:rPr>
          <w:rFonts w:ascii="Calibri" w:eastAsia="Calibri" w:hAnsi="Calibri" w:cs="Calibri"/>
          <w:sz w:val="20"/>
          <w:szCs w:val="20"/>
        </w:rPr>
      </w:pPr>
      <w:r w:rsidRPr="00B97413">
        <w:rPr>
          <w:rFonts w:ascii="Calibri" w:eastAsia="Calibri" w:hAnsi="Calibri" w:cs="Calibri"/>
          <w:noProof/>
          <w:sz w:val="20"/>
          <w:szCs w:val="20"/>
        </w:rPr>
        <w:drawing>
          <wp:inline distT="114300" distB="114300" distL="114300" distR="114300" wp14:anchorId="74266701" wp14:editId="004A7ACB">
            <wp:extent cx="5731200" cy="3098800"/>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5731200" cy="3098800"/>
                    </a:xfrm>
                    <a:prstGeom prst="rect">
                      <a:avLst/>
                    </a:prstGeom>
                    <a:ln/>
                  </pic:spPr>
                </pic:pic>
              </a:graphicData>
            </a:graphic>
          </wp:inline>
        </w:drawing>
      </w: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1.1.2: </w:t>
      </w:r>
      <w:r w:rsidRPr="00B97413">
        <w:rPr>
          <w:rFonts w:ascii="Calibri" w:eastAsia="Calibri" w:hAnsi="Calibri" w:cs="Calibri"/>
          <w:sz w:val="20"/>
          <w:szCs w:val="20"/>
        </w:rPr>
        <w:t>Model calibration to Navrongo</w:t>
      </w:r>
      <w:r w:rsidR="00462736">
        <w:rPr>
          <w:rFonts w:ascii="Calibri" w:eastAsia="Calibri" w:hAnsi="Calibri" w:cs="Calibri"/>
          <w:sz w:val="20"/>
          <w:szCs w:val="20"/>
        </w:rPr>
        <w:t>, Northern Ghana</w:t>
      </w:r>
      <w:r w:rsidRPr="00B97413">
        <w:rPr>
          <w:rFonts w:ascii="Calibri" w:eastAsia="Calibri" w:hAnsi="Calibri" w:cs="Calibri"/>
          <w:b/>
          <w:sz w:val="20"/>
          <w:szCs w:val="20"/>
        </w:rPr>
        <w:t xml:space="preserve">. A) </w:t>
      </w:r>
      <w:r w:rsidRPr="00B97413">
        <w:rPr>
          <w:rFonts w:ascii="Calibri" w:eastAsia="Calibri" w:hAnsi="Calibri" w:cs="Calibri"/>
          <w:sz w:val="20"/>
          <w:szCs w:val="20"/>
        </w:rPr>
        <w:t xml:space="preserve">Simulated and observed clinical malaria in the placebo group. </w:t>
      </w:r>
      <w:r w:rsidRPr="00B97413">
        <w:rPr>
          <w:rFonts w:ascii="Calibri" w:eastAsia="Calibri" w:hAnsi="Calibri" w:cs="Calibri"/>
          <w:b/>
          <w:sz w:val="20"/>
          <w:szCs w:val="20"/>
        </w:rPr>
        <w:t>B)</w:t>
      </w:r>
      <w:r w:rsidRPr="00B97413">
        <w:rPr>
          <w:rFonts w:ascii="Calibri" w:eastAsia="Calibri" w:hAnsi="Calibri" w:cs="Calibri"/>
          <w:sz w:val="20"/>
          <w:szCs w:val="20"/>
        </w:rPr>
        <w:t xml:space="preserve"> Simulated and observed prevalence in the placebo group, not fitted. Data</w:t>
      </w:r>
      <w:r w:rsidR="000151A4">
        <w:rPr>
          <w:rFonts w:ascii="Calibri" w:eastAsia="Calibri" w:hAnsi="Calibri" w:cs="Calibri"/>
          <w:sz w:val="20"/>
          <w:szCs w:val="20"/>
        </w:rPr>
        <w:t xml:space="preserve"> </w:t>
      </w:r>
      <w:r w:rsidRPr="00B97413">
        <w:rPr>
          <w:rFonts w:ascii="Calibri" w:eastAsia="Calibri" w:hAnsi="Calibri" w:cs="Calibri"/>
          <w:sz w:val="20"/>
          <w:szCs w:val="20"/>
        </w:rPr>
        <w:t xml:space="preserve">obtained from </w:t>
      </w:r>
      <w:hyperlink r:id="rId19">
        <w:r w:rsidRPr="00B97413">
          <w:rPr>
            <w:rFonts w:ascii="Calibri" w:eastAsia="Calibri" w:hAnsi="Calibri" w:cs="Calibri"/>
            <w:sz w:val="20"/>
            <w:szCs w:val="20"/>
          </w:rPr>
          <w:t>[4]</w:t>
        </w:r>
      </w:hyperlink>
      <w:r w:rsidRPr="00B97413">
        <w:rPr>
          <w:rFonts w:ascii="Calibri" w:eastAsia="Calibri" w:hAnsi="Calibri" w:cs="Calibri"/>
          <w:sz w:val="20"/>
          <w:szCs w:val="20"/>
        </w:rPr>
        <w:t>.</w:t>
      </w:r>
    </w:p>
    <w:p w14:paraId="09111746" w14:textId="68A384F3" w:rsidR="00B3610D" w:rsidRPr="00B97413" w:rsidRDefault="00000000">
      <w:pPr>
        <w:spacing w:after="200"/>
        <w:rPr>
          <w:rFonts w:ascii="Calibri" w:eastAsia="Calibri" w:hAnsi="Calibri" w:cs="Calibri"/>
        </w:rPr>
      </w:pPr>
      <w:r w:rsidRPr="00B97413">
        <w:rPr>
          <w:rFonts w:ascii="Calibri" w:eastAsia="Calibri" w:hAnsi="Calibri" w:cs="Calibri"/>
        </w:rPr>
        <w:t xml:space="preserve">In the simulation, PMC was administered to the treatment group as described in the study and the simulated total clinical cases compared to reported clinical cases for the period after each dose as well as for all doses combined (Fig </w:t>
      </w:r>
      <w:r w:rsidR="00071298">
        <w:rPr>
          <w:rFonts w:ascii="Calibri" w:eastAsia="Calibri" w:hAnsi="Calibri" w:cs="Calibri"/>
        </w:rPr>
        <w:t>A</w:t>
      </w:r>
      <w:r w:rsidRPr="00B97413">
        <w:rPr>
          <w:rFonts w:ascii="Calibri" w:eastAsia="Calibri" w:hAnsi="Calibri" w:cs="Calibri"/>
        </w:rPr>
        <w:t xml:space="preserve">1.1.3). </w:t>
      </w:r>
    </w:p>
    <w:p w14:paraId="6FB69E8F" w14:textId="77777777" w:rsidR="00B3610D" w:rsidRPr="00B97413" w:rsidRDefault="00B3610D">
      <w:pPr>
        <w:spacing w:line="240" w:lineRule="auto"/>
        <w:rPr>
          <w:rFonts w:ascii="Calibri" w:eastAsia="Calibri" w:hAnsi="Calibri" w:cs="Calibri"/>
          <w:sz w:val="20"/>
          <w:szCs w:val="20"/>
        </w:rPr>
      </w:pPr>
    </w:p>
    <w:p w14:paraId="4BEDD4C0"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noProof/>
          <w:sz w:val="20"/>
          <w:szCs w:val="20"/>
        </w:rPr>
        <w:lastRenderedPageBreak/>
        <w:drawing>
          <wp:inline distT="114300" distB="114300" distL="114300" distR="114300" wp14:anchorId="445560BD" wp14:editId="1A6D05D6">
            <wp:extent cx="5731200" cy="37465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0"/>
                    <a:srcRect/>
                    <a:stretch>
                      <a:fillRect/>
                    </a:stretch>
                  </pic:blipFill>
                  <pic:spPr>
                    <a:xfrm>
                      <a:off x="0" y="0"/>
                      <a:ext cx="5731200" cy="3746500"/>
                    </a:xfrm>
                    <a:prstGeom prst="rect">
                      <a:avLst/>
                    </a:prstGeom>
                    <a:ln/>
                  </pic:spPr>
                </pic:pic>
              </a:graphicData>
            </a:graphic>
          </wp:inline>
        </w:drawing>
      </w:r>
    </w:p>
    <w:p w14:paraId="7E07ACE0" w14:textId="2D9FD220"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1.1.3: </w:t>
      </w:r>
      <w:r w:rsidRPr="00B97413">
        <w:rPr>
          <w:rFonts w:ascii="Calibri" w:eastAsia="Calibri" w:hAnsi="Calibri" w:cs="Calibri"/>
          <w:sz w:val="20"/>
          <w:szCs w:val="20"/>
        </w:rPr>
        <w:t xml:space="preserve">Simulated and observed PMC efficacy per dose in Navrongo trial. </w:t>
      </w:r>
      <w:r w:rsidRPr="00B97413">
        <w:rPr>
          <w:rFonts w:ascii="Calibri" w:eastAsia="Calibri" w:hAnsi="Calibri" w:cs="Calibri"/>
          <w:b/>
          <w:sz w:val="20"/>
          <w:szCs w:val="20"/>
        </w:rPr>
        <w:t xml:space="preserve">A) </w:t>
      </w:r>
      <w:r w:rsidRPr="00B97413">
        <w:rPr>
          <w:rFonts w:ascii="Calibri" w:eastAsia="Calibri" w:hAnsi="Calibri" w:cs="Calibri"/>
          <w:sz w:val="20"/>
          <w:szCs w:val="20"/>
        </w:rPr>
        <w:t xml:space="preserve">per PMC dose. </w:t>
      </w:r>
      <w:r w:rsidRPr="00B97413">
        <w:rPr>
          <w:rFonts w:ascii="Calibri" w:eastAsia="Calibri" w:hAnsi="Calibri" w:cs="Calibri"/>
          <w:b/>
          <w:sz w:val="20"/>
          <w:szCs w:val="20"/>
        </w:rPr>
        <w:t xml:space="preserve">B) </w:t>
      </w:r>
      <w:r w:rsidRPr="00B97413">
        <w:rPr>
          <w:rFonts w:ascii="Calibri" w:eastAsia="Calibri" w:hAnsi="Calibri" w:cs="Calibri"/>
          <w:sz w:val="20"/>
          <w:szCs w:val="20"/>
        </w:rPr>
        <w:t>averaged across doses.</w:t>
      </w:r>
      <w:r w:rsidRPr="00B97413">
        <w:rPr>
          <w:rFonts w:ascii="Calibri" w:eastAsia="Calibri" w:hAnsi="Calibri" w:cs="Calibri"/>
          <w:b/>
          <w:sz w:val="20"/>
          <w:szCs w:val="20"/>
        </w:rPr>
        <w:t xml:space="preserve"> C) </w:t>
      </w:r>
      <w:r w:rsidRPr="00B97413">
        <w:rPr>
          <w:rFonts w:ascii="Calibri" w:eastAsia="Calibri" w:hAnsi="Calibri" w:cs="Calibri"/>
          <w:sz w:val="20"/>
          <w:szCs w:val="20"/>
        </w:rPr>
        <w:t xml:space="preserve">PE for clinical cases aggregated for children U1. Data source for clinical trial in study cohort obtained from </w:t>
      </w:r>
      <w:hyperlink r:id="rId21">
        <w:r w:rsidRPr="00B97413">
          <w:rPr>
            <w:rFonts w:ascii="Calibri" w:eastAsia="Calibri" w:hAnsi="Calibri" w:cs="Calibri"/>
            <w:sz w:val="20"/>
            <w:szCs w:val="20"/>
          </w:rPr>
          <w:t>[4]</w:t>
        </w:r>
      </w:hyperlink>
      <w:r w:rsidRPr="00B97413">
        <w:rPr>
          <w:rFonts w:ascii="Calibri" w:eastAsia="Calibri" w:hAnsi="Calibri" w:cs="Calibri"/>
          <w:sz w:val="20"/>
          <w:szCs w:val="20"/>
        </w:rPr>
        <w:t>. Simulation results shown with mean and 90% prediction interval based on stochastic runs. In this figure, the number in PMC-2, PMC-3, and PMC-4 denotes the timing of PMC dose (age 3,9,12 months of age).</w:t>
      </w:r>
    </w:p>
    <w:p w14:paraId="0780197F" w14:textId="77777777" w:rsidR="00B3610D" w:rsidRPr="00B97413" w:rsidRDefault="00B3610D">
      <w:pPr>
        <w:spacing w:line="240" w:lineRule="auto"/>
        <w:rPr>
          <w:rFonts w:ascii="Calibri" w:eastAsia="Calibri" w:hAnsi="Calibri" w:cs="Calibri"/>
        </w:rPr>
      </w:pPr>
    </w:p>
    <w:p w14:paraId="585EC406" w14:textId="77777777" w:rsidR="00B3610D" w:rsidRPr="00B97413" w:rsidRDefault="00000000">
      <w:pPr>
        <w:pStyle w:val="Heading3"/>
        <w:spacing w:after="0"/>
        <w:rPr>
          <w:color w:val="auto"/>
          <w:sz w:val="26"/>
          <w:szCs w:val="26"/>
        </w:rPr>
      </w:pPr>
      <w:bookmarkStart w:id="3" w:name="_Toc130051865"/>
      <w:r w:rsidRPr="00B97413">
        <w:rPr>
          <w:rFonts w:ascii="Calibri" w:eastAsia="Calibri" w:hAnsi="Calibri" w:cs="Calibri"/>
          <w:i/>
          <w:color w:val="auto"/>
          <w:sz w:val="24"/>
          <w:szCs w:val="24"/>
        </w:rPr>
        <w:t>Malaria vaccine</w:t>
      </w:r>
      <w:bookmarkEnd w:id="3"/>
    </w:p>
    <w:p w14:paraId="4692FE6F" w14:textId="299B10E4" w:rsidR="00B3610D" w:rsidRPr="00B97413" w:rsidRDefault="00000000">
      <w:r w:rsidRPr="00B97413">
        <w:rPr>
          <w:rFonts w:ascii="Calibri" w:eastAsia="Calibri" w:hAnsi="Calibri" w:cs="Calibri"/>
        </w:rPr>
        <w:t xml:space="preserve">In EMOD pre-erythrocytic vaccines are modeled with a proportionate reduction in the force of infection following an exponential decay. The malaria vaccine RTS,S was modeled, which has been previously calibrated to phase-3 trial data </w:t>
      </w:r>
      <w:hyperlink r:id="rId22">
        <w:r w:rsidRPr="00B97413">
          <w:rPr>
            <w:rFonts w:ascii="Calibri" w:eastAsia="Calibri" w:hAnsi="Calibri" w:cs="Calibri"/>
          </w:rPr>
          <w:t>[9]</w:t>
        </w:r>
      </w:hyperlink>
      <w:r w:rsidRPr="00B97413">
        <w:rPr>
          <w:rFonts w:ascii="Calibri" w:eastAsia="Calibri" w:hAnsi="Calibri" w:cs="Calibri"/>
        </w:rPr>
        <w:t xml:space="preserve">, and published with </w:t>
      </w:r>
      <w:r w:rsidR="001D6B63">
        <w:rPr>
          <w:rFonts w:ascii="Calibri" w:eastAsia="Calibri" w:hAnsi="Calibri" w:cs="Calibri"/>
        </w:rPr>
        <w:t xml:space="preserve">a </w:t>
      </w:r>
      <w:r w:rsidRPr="00B97413">
        <w:rPr>
          <w:rFonts w:ascii="Calibri" w:eastAsia="Calibri" w:hAnsi="Calibri" w:cs="Calibri"/>
        </w:rPr>
        <w:t xml:space="preserve">detailed description of methods </w:t>
      </w:r>
      <w:hyperlink r:id="rId23">
        <w:r w:rsidRPr="00B97413">
          <w:rPr>
            <w:rFonts w:ascii="Calibri" w:eastAsia="Calibri" w:hAnsi="Calibri" w:cs="Calibri"/>
          </w:rPr>
          <w:t>[10]</w:t>
        </w:r>
      </w:hyperlink>
      <w:r w:rsidRPr="00B97413">
        <w:rPr>
          <w:rFonts w:ascii="Calibri" w:eastAsia="Calibri" w:hAnsi="Calibri" w:cs="Calibri"/>
        </w:rPr>
        <w:t>. The best</w:t>
      </w:r>
      <w:r w:rsidR="001D6B63">
        <w:rPr>
          <w:rFonts w:ascii="Calibri" w:eastAsia="Calibri" w:hAnsi="Calibri" w:cs="Calibri"/>
        </w:rPr>
        <w:t>-</w:t>
      </w:r>
      <w:r w:rsidRPr="00B97413">
        <w:rPr>
          <w:rFonts w:ascii="Calibri" w:eastAsia="Calibri" w:hAnsi="Calibri" w:cs="Calibri"/>
        </w:rPr>
        <w:t xml:space="preserve">fitting parameters were an initial efficacy of 80% immediately after the third dose, assuming no partial effect of earlier doses, and an exponential decay over 13.5 months </w:t>
      </w:r>
      <w:hyperlink r:id="rId24">
        <w:r w:rsidRPr="00B97413">
          <w:rPr>
            <w:rFonts w:ascii="Calibri" w:eastAsia="Calibri" w:hAnsi="Calibri" w:cs="Calibri"/>
          </w:rPr>
          <w:t>[10]</w:t>
        </w:r>
      </w:hyperlink>
      <w:r w:rsidRPr="00B97413">
        <w:rPr>
          <w:rFonts w:ascii="Calibri" w:eastAsia="Calibri" w:hAnsi="Calibri" w:cs="Calibri"/>
        </w:rPr>
        <w:t>.</w:t>
      </w:r>
    </w:p>
    <w:p w14:paraId="1037C384" w14:textId="77777777" w:rsidR="00B3610D" w:rsidRPr="00B97413" w:rsidRDefault="00B3610D"/>
    <w:p w14:paraId="7D5DC966" w14:textId="77777777" w:rsidR="00B3610D" w:rsidRPr="00B97413" w:rsidRDefault="00000000">
      <w:pPr>
        <w:spacing w:line="240" w:lineRule="auto"/>
        <w:rPr>
          <w:rFonts w:ascii="Calibri" w:eastAsia="Calibri" w:hAnsi="Calibri" w:cs="Calibri"/>
          <w:i/>
          <w:sz w:val="24"/>
          <w:szCs w:val="24"/>
        </w:rPr>
      </w:pPr>
      <w:r w:rsidRPr="00B97413">
        <w:rPr>
          <w:rFonts w:ascii="Calibri" w:eastAsia="Calibri" w:hAnsi="Calibri" w:cs="Calibri"/>
          <w:i/>
          <w:noProof/>
          <w:sz w:val="24"/>
          <w:szCs w:val="24"/>
        </w:rPr>
        <w:drawing>
          <wp:inline distT="114300" distB="114300" distL="114300" distR="114300" wp14:anchorId="63859611" wp14:editId="16DAF447">
            <wp:extent cx="4962525" cy="2481263"/>
            <wp:effectExtent l="0" t="0" r="0" b="0"/>
            <wp:docPr id="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5"/>
                    <a:srcRect/>
                    <a:stretch>
                      <a:fillRect/>
                    </a:stretch>
                  </pic:blipFill>
                  <pic:spPr>
                    <a:xfrm>
                      <a:off x="0" y="0"/>
                      <a:ext cx="4962525" cy="2481263"/>
                    </a:xfrm>
                    <a:prstGeom prst="rect">
                      <a:avLst/>
                    </a:prstGeom>
                    <a:ln/>
                  </pic:spPr>
                </pic:pic>
              </a:graphicData>
            </a:graphic>
          </wp:inline>
        </w:drawing>
      </w:r>
    </w:p>
    <w:p w14:paraId="12044B1D" w14:textId="1137C65C"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lastRenderedPageBreak/>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1.1.4:</w:t>
      </w:r>
      <w:r w:rsidR="000151A4">
        <w:rPr>
          <w:rFonts w:ascii="Calibri" w:eastAsia="Calibri" w:hAnsi="Calibri" w:cs="Calibri"/>
          <w:b/>
          <w:sz w:val="20"/>
          <w:szCs w:val="20"/>
        </w:rPr>
        <w:t xml:space="preserve"> </w:t>
      </w:r>
      <w:r w:rsidRPr="00B97413">
        <w:rPr>
          <w:rFonts w:ascii="Calibri" w:eastAsia="Calibri" w:hAnsi="Calibri" w:cs="Calibri"/>
          <w:sz w:val="20"/>
          <w:szCs w:val="20"/>
        </w:rPr>
        <w:t>Intervention efficacy of the modeled malaria vaccine RTS,S on clinical malaria over age and by transmission intensity.</w:t>
      </w:r>
    </w:p>
    <w:p w14:paraId="49C25128" w14:textId="77777777" w:rsidR="00B3610D" w:rsidRPr="00B97413" w:rsidRDefault="00B3610D">
      <w:pPr>
        <w:spacing w:line="240" w:lineRule="auto"/>
        <w:rPr>
          <w:rFonts w:ascii="Calibri" w:eastAsia="Calibri" w:hAnsi="Calibri" w:cs="Calibri"/>
          <w:sz w:val="20"/>
          <w:szCs w:val="20"/>
        </w:rPr>
      </w:pPr>
    </w:p>
    <w:p w14:paraId="3EB03928" w14:textId="59C5F863" w:rsidR="00B3610D" w:rsidRPr="00B97413" w:rsidRDefault="00071298">
      <w:pPr>
        <w:pStyle w:val="Heading2"/>
        <w:rPr>
          <w:rFonts w:ascii="Calibri" w:eastAsia="Calibri" w:hAnsi="Calibri" w:cs="Calibri"/>
          <w:b/>
          <w:sz w:val="28"/>
          <w:szCs w:val="28"/>
        </w:rPr>
      </w:pPr>
      <w:bookmarkStart w:id="4" w:name="_Toc130051866"/>
      <w:r>
        <w:rPr>
          <w:rFonts w:ascii="Calibri" w:eastAsia="Calibri" w:hAnsi="Calibri" w:cs="Calibri"/>
          <w:b/>
          <w:sz w:val="28"/>
          <w:szCs w:val="28"/>
        </w:rPr>
        <w:t>A</w:t>
      </w:r>
      <w:r w:rsidRPr="00B97413">
        <w:rPr>
          <w:rFonts w:ascii="Calibri" w:eastAsia="Calibri" w:hAnsi="Calibri" w:cs="Calibri"/>
          <w:b/>
          <w:sz w:val="28"/>
          <w:szCs w:val="28"/>
        </w:rPr>
        <w:t>1.2: Geographic-agnostic model</w:t>
      </w:r>
      <w:bookmarkEnd w:id="4"/>
      <w:r w:rsidRPr="00B97413">
        <w:rPr>
          <w:rFonts w:ascii="Calibri" w:eastAsia="Calibri" w:hAnsi="Calibri" w:cs="Calibri"/>
          <w:b/>
          <w:sz w:val="28"/>
          <w:szCs w:val="28"/>
        </w:rPr>
        <w:t xml:space="preserve"> </w:t>
      </w:r>
    </w:p>
    <w:p w14:paraId="098D9444" w14:textId="77777777" w:rsidR="00B3610D" w:rsidRPr="00B97413" w:rsidRDefault="00000000">
      <w:pPr>
        <w:pStyle w:val="Heading3"/>
        <w:spacing w:after="0"/>
        <w:rPr>
          <w:rFonts w:ascii="Calibri" w:eastAsia="Calibri" w:hAnsi="Calibri" w:cs="Calibri"/>
          <w:i/>
          <w:color w:val="auto"/>
          <w:sz w:val="24"/>
          <w:szCs w:val="24"/>
        </w:rPr>
      </w:pPr>
      <w:bookmarkStart w:id="5" w:name="_Toc130051867"/>
      <w:r w:rsidRPr="00B97413">
        <w:rPr>
          <w:rFonts w:ascii="Calibri" w:eastAsia="Calibri" w:hAnsi="Calibri" w:cs="Calibri"/>
          <w:i/>
          <w:color w:val="auto"/>
          <w:sz w:val="24"/>
          <w:szCs w:val="24"/>
        </w:rPr>
        <w:t>Transmission seasonality</w:t>
      </w:r>
      <w:bookmarkEnd w:id="5"/>
    </w:p>
    <w:p w14:paraId="177DBB4A" w14:textId="40FD6A7E" w:rsidR="00B3610D" w:rsidRPr="00B97413" w:rsidRDefault="00000000">
      <w:pPr>
        <w:spacing w:line="259" w:lineRule="auto"/>
        <w:rPr>
          <w:rFonts w:ascii="Calibri" w:eastAsia="Calibri" w:hAnsi="Calibri" w:cs="Calibri"/>
        </w:rPr>
      </w:pPr>
      <w:r w:rsidRPr="00B97413">
        <w:rPr>
          <w:rFonts w:ascii="Calibri" w:eastAsia="Calibri" w:hAnsi="Calibri" w:cs="Calibri"/>
        </w:rPr>
        <w:t xml:space="preserve">Monthly transmission values determine malaria exposure of each of the 12 birth cohorts simulated and were presented in the results as uncertainty intervals. To obtain realistic seasonality patterns for perennial transmission setting, monthly EIR values were extracted from the Nigeria model calibration described in Ozodiegwu et al </w:t>
      </w:r>
      <w:hyperlink r:id="rId26">
        <w:r w:rsidRPr="00B97413">
          <w:rPr>
            <w:rFonts w:ascii="Calibri" w:eastAsia="Calibri" w:hAnsi="Calibri" w:cs="Calibri"/>
          </w:rPr>
          <w:t>[11]</w:t>
        </w:r>
      </w:hyperlink>
      <w:r w:rsidRPr="00B97413">
        <w:rPr>
          <w:rFonts w:ascii="Calibri" w:eastAsia="Calibri" w:hAnsi="Calibri" w:cs="Calibri"/>
        </w:rPr>
        <w:t xml:space="preserve">. The monthly EIR values were categorized based on the start of the season, the variability across months and </w:t>
      </w:r>
      <w:r w:rsidR="001D6B63">
        <w:rPr>
          <w:rFonts w:ascii="Calibri" w:eastAsia="Calibri" w:hAnsi="Calibri" w:cs="Calibri"/>
        </w:rPr>
        <w:t xml:space="preserve">the </w:t>
      </w:r>
      <w:r w:rsidRPr="00B97413">
        <w:rPr>
          <w:rFonts w:ascii="Calibri" w:eastAsia="Calibri" w:hAnsi="Calibri" w:cs="Calibri"/>
        </w:rPr>
        <w:t xml:space="preserve">number of consecutive high/ low transmission months in relation to the annual average. Depending on the number of peaks and variability, three seasonality patterns were defined and rescaled to different annual EIR levels (Fig </w:t>
      </w:r>
      <w:r w:rsidR="00071298">
        <w:rPr>
          <w:rFonts w:ascii="Calibri" w:eastAsia="Calibri" w:hAnsi="Calibri" w:cs="Calibri"/>
        </w:rPr>
        <w:t>A</w:t>
      </w:r>
      <w:r w:rsidRPr="00B97413">
        <w:rPr>
          <w:rFonts w:ascii="Calibri" w:eastAsia="Calibri" w:hAnsi="Calibri" w:cs="Calibri"/>
        </w:rPr>
        <w:t xml:space="preserve">1.2.1). To constrain computational costs and limit the range of prediction intervals, only ‘seasonality pattern 1’ was used in the main manuscript. </w:t>
      </w:r>
    </w:p>
    <w:p w14:paraId="4D86BD67" w14:textId="77777777" w:rsidR="00B3610D" w:rsidRPr="00B97413" w:rsidRDefault="00B3610D">
      <w:pPr>
        <w:spacing w:line="259" w:lineRule="auto"/>
        <w:rPr>
          <w:rFonts w:ascii="Calibri" w:eastAsia="Calibri" w:hAnsi="Calibri" w:cs="Calibri"/>
        </w:rPr>
      </w:pPr>
    </w:p>
    <w:p w14:paraId="451D091C" w14:textId="77777777" w:rsidR="00B3610D" w:rsidRPr="00B97413" w:rsidRDefault="00000000">
      <w:pPr>
        <w:rPr>
          <w:rFonts w:ascii="Calibri" w:eastAsia="Calibri" w:hAnsi="Calibri" w:cs="Calibri"/>
        </w:rPr>
      </w:pPr>
      <w:r w:rsidRPr="00B97413">
        <w:rPr>
          <w:rFonts w:ascii="Calibri" w:eastAsia="Calibri" w:hAnsi="Calibri" w:cs="Calibri"/>
          <w:noProof/>
        </w:rPr>
        <w:drawing>
          <wp:inline distT="114300" distB="114300" distL="114300" distR="114300" wp14:anchorId="68DA030F" wp14:editId="0EB44A4B">
            <wp:extent cx="5424488" cy="2027425"/>
            <wp:effectExtent l="0" t="0" r="0" b="0"/>
            <wp:docPr id="25"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27"/>
                    <a:srcRect/>
                    <a:stretch>
                      <a:fillRect/>
                    </a:stretch>
                  </pic:blipFill>
                  <pic:spPr>
                    <a:xfrm>
                      <a:off x="0" y="0"/>
                      <a:ext cx="5424488" cy="2027425"/>
                    </a:xfrm>
                    <a:prstGeom prst="rect">
                      <a:avLst/>
                    </a:prstGeom>
                    <a:ln/>
                  </pic:spPr>
                </pic:pic>
              </a:graphicData>
            </a:graphic>
          </wp:inline>
        </w:drawing>
      </w:r>
    </w:p>
    <w:p w14:paraId="3A4C952A" w14:textId="16A6EB63" w:rsidR="00027FA9" w:rsidRPr="00B97413" w:rsidRDefault="00000000" w:rsidP="00027FA9">
      <w:pPr>
        <w:spacing w:line="259"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1.2.1:</w:t>
      </w:r>
      <w:r w:rsidR="000151A4">
        <w:rPr>
          <w:rFonts w:ascii="Calibri" w:eastAsia="Calibri" w:hAnsi="Calibri" w:cs="Calibri"/>
          <w:b/>
          <w:sz w:val="20"/>
          <w:szCs w:val="20"/>
        </w:rPr>
        <w:t xml:space="preserve"> </w:t>
      </w:r>
      <w:r w:rsidRPr="00B97413">
        <w:rPr>
          <w:rFonts w:ascii="Calibri" w:eastAsia="Calibri" w:hAnsi="Calibri" w:cs="Calibri"/>
          <w:sz w:val="20"/>
          <w:szCs w:val="20"/>
        </w:rPr>
        <w:t>Seasonality patterns in perennial transmission settings corresponding to</w:t>
      </w:r>
      <w:r w:rsidR="000151A4">
        <w:rPr>
          <w:rFonts w:ascii="Calibri" w:eastAsia="Calibri" w:hAnsi="Calibri" w:cs="Calibri"/>
          <w:sz w:val="20"/>
          <w:szCs w:val="20"/>
        </w:rPr>
        <w:t xml:space="preserve"> </w:t>
      </w:r>
      <w:r w:rsidRPr="00B97413">
        <w:rPr>
          <w:rFonts w:ascii="Calibri" w:eastAsia="Calibri" w:hAnsi="Calibri" w:cs="Calibri"/>
          <w:sz w:val="20"/>
          <w:szCs w:val="20"/>
        </w:rPr>
        <w:t xml:space="preserve">Southern Nigeria. Seasonality patterns derived from fitted monthly EIR estimates from Nigeria High Burden to High impact model, calibrated to monthly malaria incidence </w:t>
      </w:r>
      <w:hyperlink r:id="rId28">
        <w:r w:rsidRPr="00B97413">
          <w:rPr>
            <w:rFonts w:ascii="Calibri" w:eastAsia="Calibri" w:hAnsi="Calibri" w:cs="Calibri"/>
            <w:sz w:val="20"/>
            <w:szCs w:val="20"/>
          </w:rPr>
          <w:t>[11]</w:t>
        </w:r>
      </w:hyperlink>
      <w:r w:rsidRPr="00B97413">
        <w:rPr>
          <w:rFonts w:ascii="Calibri" w:eastAsia="Calibri" w:hAnsi="Calibri" w:cs="Calibri"/>
          <w:sz w:val="20"/>
          <w:szCs w:val="20"/>
        </w:rPr>
        <w:t>. Monthly EIR on y-axis shown on log-scale.</w:t>
      </w:r>
      <w:r w:rsidR="00027FA9" w:rsidRPr="00B97413">
        <w:rPr>
          <w:rFonts w:ascii="Calibri" w:eastAsia="Calibri" w:hAnsi="Calibri" w:cs="Calibri"/>
          <w:sz w:val="20"/>
          <w:szCs w:val="20"/>
        </w:rPr>
        <w:t xml:space="preserve"> Only ‘seasonality pattern 1’ was used in the main manuscript. </w:t>
      </w:r>
    </w:p>
    <w:p w14:paraId="05F35835" w14:textId="270344E6"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sz w:val="20"/>
          <w:szCs w:val="20"/>
        </w:rPr>
        <w:t xml:space="preserve"> </w:t>
      </w:r>
    </w:p>
    <w:p w14:paraId="638BA558" w14:textId="60288D06" w:rsidR="00B3610D" w:rsidRPr="00B97413" w:rsidRDefault="00000000">
      <w:pPr>
        <w:pStyle w:val="Heading3"/>
        <w:spacing w:after="0"/>
        <w:rPr>
          <w:rFonts w:ascii="Calibri" w:eastAsia="Calibri" w:hAnsi="Calibri" w:cs="Calibri"/>
          <w:i/>
          <w:color w:val="auto"/>
          <w:sz w:val="24"/>
          <w:szCs w:val="24"/>
        </w:rPr>
      </w:pPr>
      <w:bookmarkStart w:id="6" w:name="_Toc130051868"/>
      <w:r w:rsidRPr="00B97413">
        <w:rPr>
          <w:rFonts w:ascii="Calibri" w:eastAsia="Calibri" w:hAnsi="Calibri" w:cs="Calibri"/>
          <w:i/>
          <w:color w:val="auto"/>
          <w:sz w:val="24"/>
          <w:szCs w:val="24"/>
        </w:rPr>
        <w:t>Transmission intensity, prevalence</w:t>
      </w:r>
      <w:r w:rsidR="005B78C1">
        <w:rPr>
          <w:rFonts w:ascii="Calibri" w:eastAsia="Calibri" w:hAnsi="Calibri" w:cs="Calibri"/>
          <w:i/>
          <w:color w:val="auto"/>
          <w:sz w:val="24"/>
          <w:szCs w:val="24"/>
        </w:rPr>
        <w:t>,</w:t>
      </w:r>
      <w:r w:rsidRPr="00B97413">
        <w:rPr>
          <w:rFonts w:ascii="Calibri" w:eastAsia="Calibri" w:hAnsi="Calibri" w:cs="Calibri"/>
          <w:i/>
          <w:color w:val="auto"/>
          <w:sz w:val="24"/>
          <w:szCs w:val="24"/>
        </w:rPr>
        <w:t xml:space="preserve"> and incidence relationships</w:t>
      </w:r>
      <w:bookmarkEnd w:id="6"/>
    </w:p>
    <w:p w14:paraId="7F5314BB" w14:textId="63838E69" w:rsidR="00B3610D" w:rsidRPr="00B97413" w:rsidRDefault="00000000">
      <w:pPr>
        <w:rPr>
          <w:rFonts w:ascii="Calibri" w:eastAsia="Calibri" w:hAnsi="Calibri" w:cs="Calibri"/>
        </w:rPr>
      </w:pPr>
      <w:r w:rsidRPr="00B97413">
        <w:rPr>
          <w:rFonts w:ascii="Calibri" w:eastAsia="Calibri" w:hAnsi="Calibri" w:cs="Calibri"/>
        </w:rPr>
        <w:t>The geographic-agnostic model ran for EIRs between 1 and 128 ibpa and fixed treatment coverage levels without additional interventions to assess trends in malaria outcomes (</w:t>
      </w:r>
      <w:r w:rsidRPr="00B97413">
        <w:rPr>
          <w:rFonts w:ascii="Calibri" w:eastAsia="Calibri" w:hAnsi="Calibri" w:cs="Calibri"/>
          <w:i/>
        </w:rPr>
        <w:t>Plasmodium falciparum</w:t>
      </w:r>
      <w:r w:rsidRPr="00B97413">
        <w:rPr>
          <w:rFonts w:ascii="Calibri" w:eastAsia="Calibri" w:hAnsi="Calibri" w:cs="Calibri"/>
        </w:rPr>
        <w:t xml:space="preserve"> prevalence rate (</w:t>
      </w:r>
      <w:r w:rsidRPr="00B97413">
        <w:rPr>
          <w:rFonts w:ascii="Calibri" w:eastAsia="Calibri" w:hAnsi="Calibri" w:cs="Calibri"/>
          <w:i/>
        </w:rPr>
        <w:t>Pf</w:t>
      </w:r>
      <w:r w:rsidRPr="00B97413">
        <w:rPr>
          <w:rFonts w:ascii="Calibri" w:eastAsia="Calibri" w:hAnsi="Calibri" w:cs="Calibri"/>
        </w:rPr>
        <w:t xml:space="preserve">PR), clinical and severe malaria incidence). Overall, as transmission increased so did the malaria outcome metrics, </w:t>
      </w:r>
      <w:r w:rsidR="00027FA9" w:rsidRPr="00B97413">
        <w:rPr>
          <w:rFonts w:ascii="Calibri" w:eastAsia="Calibri" w:hAnsi="Calibri" w:cs="Calibri"/>
        </w:rPr>
        <w:t>however,</w:t>
      </w:r>
      <w:r w:rsidRPr="00B97413">
        <w:rPr>
          <w:rFonts w:ascii="Calibri" w:eastAsia="Calibri" w:hAnsi="Calibri" w:cs="Calibri"/>
        </w:rPr>
        <w:t xml:space="preserve"> to varying extents depending on age group. Malaria prevalence reached higher levels in older than in younger children, with a maximum of 60%-80% at 128 ibpa. The maximum clinical incidence ranged between 4-5.5 episodes per person per year and was highest for children U5, U2</w:t>
      </w:r>
      <w:r w:rsidR="00D90B37">
        <w:rPr>
          <w:rFonts w:ascii="Calibri" w:eastAsia="Calibri" w:hAnsi="Calibri" w:cs="Calibri"/>
        </w:rPr>
        <w:t>,</w:t>
      </w:r>
      <w:r w:rsidRPr="00B97413">
        <w:rPr>
          <w:rFonts w:ascii="Calibri" w:eastAsia="Calibri" w:hAnsi="Calibri" w:cs="Calibri"/>
        </w:rPr>
        <w:t xml:space="preserve"> and U1, whereas cases in children U10</w:t>
      </w:r>
      <w:r w:rsidR="000151A4">
        <w:rPr>
          <w:rFonts w:ascii="Calibri" w:eastAsia="Calibri" w:hAnsi="Calibri" w:cs="Calibri"/>
        </w:rPr>
        <w:t xml:space="preserve"> </w:t>
      </w:r>
      <w:r w:rsidRPr="00B97413">
        <w:rPr>
          <w:rFonts w:ascii="Calibri" w:eastAsia="Calibri" w:hAnsi="Calibri" w:cs="Calibri"/>
        </w:rPr>
        <w:t xml:space="preserve">clinical incidence plateaued at around 32 ibpa. The maximum severe incidence ranged between 0.02 to 0.11 episodes per person per year and for EIR levels higher than 16 ibpa was highest in children U1 and U2 and substantially lower in children U5 and U10 (Fig </w:t>
      </w:r>
      <w:r w:rsidR="00071298">
        <w:rPr>
          <w:rFonts w:ascii="Calibri" w:eastAsia="Calibri" w:hAnsi="Calibri" w:cs="Calibri"/>
        </w:rPr>
        <w:t>A</w:t>
      </w:r>
      <w:r w:rsidRPr="00B97413">
        <w:rPr>
          <w:rFonts w:ascii="Calibri" w:eastAsia="Calibri" w:hAnsi="Calibri" w:cs="Calibri"/>
        </w:rPr>
        <w:t xml:space="preserve">1.2.3). </w:t>
      </w:r>
    </w:p>
    <w:p w14:paraId="314F3C20" w14:textId="77777777" w:rsidR="00B3610D" w:rsidRPr="00B97413" w:rsidRDefault="00B3610D"/>
    <w:p w14:paraId="47C26A92" w14:textId="77777777" w:rsidR="00B3610D" w:rsidRPr="00B97413" w:rsidRDefault="00000000">
      <w:r w:rsidRPr="00B97413">
        <w:rPr>
          <w:noProof/>
        </w:rPr>
        <w:lastRenderedPageBreak/>
        <w:drawing>
          <wp:inline distT="114300" distB="114300" distL="114300" distR="114300" wp14:anchorId="3592CBAE" wp14:editId="5B9CA109">
            <wp:extent cx="6342143" cy="1585536"/>
            <wp:effectExtent l="0" t="0" r="0" b="0"/>
            <wp:docPr id="2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9"/>
                    <a:srcRect/>
                    <a:stretch>
                      <a:fillRect/>
                    </a:stretch>
                  </pic:blipFill>
                  <pic:spPr>
                    <a:xfrm>
                      <a:off x="0" y="0"/>
                      <a:ext cx="6342143" cy="1585536"/>
                    </a:xfrm>
                    <a:prstGeom prst="rect">
                      <a:avLst/>
                    </a:prstGeom>
                    <a:ln/>
                  </pic:spPr>
                </pic:pic>
              </a:graphicData>
            </a:graphic>
          </wp:inline>
        </w:drawing>
      </w:r>
    </w:p>
    <w:p w14:paraId="087F3FCE" w14:textId="6AEF44E2" w:rsidR="00B3610D" w:rsidRPr="00B97413" w:rsidRDefault="00000000">
      <w:pPr>
        <w:spacing w:line="240" w:lineRule="auto"/>
        <w:rPr>
          <w:rFonts w:ascii="Calibri" w:eastAsia="Calibri" w:hAnsi="Calibri" w:cs="Calibri"/>
          <w:b/>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1.2.2: Prevalence, incidence curves by transmission intensity and age group.</w:t>
      </w:r>
      <w:r w:rsidR="000151A4">
        <w:rPr>
          <w:rFonts w:ascii="Calibri" w:eastAsia="Calibri" w:hAnsi="Calibri" w:cs="Calibri"/>
          <w:b/>
          <w:sz w:val="20"/>
          <w:szCs w:val="20"/>
        </w:rPr>
        <w:t xml:space="preserve"> </w:t>
      </w:r>
    </w:p>
    <w:p w14:paraId="14BF705F" w14:textId="4540A1CF"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A) </w:t>
      </w:r>
      <w:r w:rsidRPr="00B97413">
        <w:rPr>
          <w:rFonts w:ascii="Calibri" w:eastAsia="Calibri" w:hAnsi="Calibri" w:cs="Calibri"/>
          <w:i/>
          <w:sz w:val="20"/>
          <w:szCs w:val="20"/>
        </w:rPr>
        <w:t>Pf</w:t>
      </w:r>
      <w:r w:rsidRPr="00B97413">
        <w:rPr>
          <w:rFonts w:ascii="Calibri" w:eastAsia="Calibri" w:hAnsi="Calibri" w:cs="Calibri"/>
          <w:sz w:val="20"/>
          <w:szCs w:val="20"/>
        </w:rPr>
        <w:t xml:space="preserve">PR - EIR curve by age group. </w:t>
      </w:r>
      <w:r w:rsidRPr="00B97413">
        <w:rPr>
          <w:rFonts w:ascii="Calibri" w:eastAsia="Calibri" w:hAnsi="Calibri" w:cs="Calibri"/>
          <w:b/>
          <w:sz w:val="20"/>
          <w:szCs w:val="20"/>
        </w:rPr>
        <w:t>B)</w:t>
      </w:r>
      <w:r w:rsidRPr="00B97413">
        <w:rPr>
          <w:rFonts w:ascii="Calibri" w:eastAsia="Calibri" w:hAnsi="Calibri" w:cs="Calibri"/>
          <w:sz w:val="20"/>
          <w:szCs w:val="20"/>
        </w:rPr>
        <w:t xml:space="preserve"> Clinical incidence - EIR curve by age group.</w:t>
      </w:r>
      <w:r w:rsidRPr="00B97413">
        <w:rPr>
          <w:rFonts w:ascii="Calibri" w:eastAsia="Calibri" w:hAnsi="Calibri" w:cs="Calibri"/>
          <w:b/>
          <w:sz w:val="20"/>
          <w:szCs w:val="20"/>
        </w:rPr>
        <w:t xml:space="preserve"> C)</w:t>
      </w:r>
      <w:r w:rsidRPr="00B97413">
        <w:rPr>
          <w:rFonts w:ascii="Calibri" w:eastAsia="Calibri" w:hAnsi="Calibri" w:cs="Calibri"/>
          <w:sz w:val="20"/>
          <w:szCs w:val="20"/>
        </w:rPr>
        <w:t xml:space="preserve"> Severe incidence - EIR curve by age group. In A-C, the annual EIR refers to the EIR in the</w:t>
      </w:r>
      <w:r w:rsidR="000151A4">
        <w:rPr>
          <w:rFonts w:ascii="Calibri" w:eastAsia="Calibri" w:hAnsi="Calibri" w:cs="Calibri"/>
          <w:sz w:val="20"/>
          <w:szCs w:val="20"/>
        </w:rPr>
        <w:t xml:space="preserve"> </w:t>
      </w:r>
      <w:r w:rsidRPr="00B97413">
        <w:rPr>
          <w:rFonts w:ascii="Calibri" w:eastAsia="Calibri" w:hAnsi="Calibri" w:cs="Calibri"/>
          <w:sz w:val="20"/>
          <w:szCs w:val="20"/>
        </w:rPr>
        <w:t xml:space="preserve">total population. Predictions based on the geographic-agnostic simulation model without any other malaria control intervention except for effective treatment coverage at 60% for clinical and 80% for severe cases. </w:t>
      </w:r>
    </w:p>
    <w:p w14:paraId="0F469846" w14:textId="77777777" w:rsidR="00B3610D" w:rsidRPr="00B97413" w:rsidRDefault="00B3610D">
      <w:pPr>
        <w:spacing w:line="240" w:lineRule="auto"/>
        <w:rPr>
          <w:rFonts w:ascii="Calibri" w:eastAsia="Calibri" w:hAnsi="Calibri" w:cs="Calibri"/>
          <w:sz w:val="20"/>
          <w:szCs w:val="20"/>
        </w:rPr>
      </w:pPr>
    </w:p>
    <w:p w14:paraId="224C6BE8" w14:textId="0068E700" w:rsidR="00B3610D" w:rsidRPr="00B97413" w:rsidRDefault="00071298">
      <w:pPr>
        <w:pStyle w:val="Heading3"/>
        <w:rPr>
          <w:rFonts w:ascii="Calibri" w:eastAsia="Calibri" w:hAnsi="Calibri" w:cs="Calibri"/>
          <w:i/>
          <w:color w:val="auto"/>
          <w:sz w:val="26"/>
          <w:szCs w:val="26"/>
        </w:rPr>
      </w:pPr>
      <w:bookmarkStart w:id="7" w:name="_Toc130051869"/>
      <w:r>
        <w:rPr>
          <w:rFonts w:ascii="Calibri" w:eastAsia="Calibri" w:hAnsi="Calibri" w:cs="Calibri"/>
          <w:i/>
          <w:color w:val="auto"/>
          <w:sz w:val="26"/>
          <w:szCs w:val="26"/>
        </w:rPr>
        <w:t>Additional</w:t>
      </w:r>
      <w:r w:rsidRPr="00B97413">
        <w:rPr>
          <w:rFonts w:ascii="Calibri" w:eastAsia="Calibri" w:hAnsi="Calibri" w:cs="Calibri"/>
          <w:i/>
          <w:color w:val="auto"/>
          <w:sz w:val="26"/>
          <w:szCs w:val="26"/>
        </w:rPr>
        <w:t xml:space="preserve"> result figures</w:t>
      </w:r>
      <w:bookmarkEnd w:id="7"/>
    </w:p>
    <w:p w14:paraId="68D458C7" w14:textId="33F5AED2" w:rsidR="00B3610D" w:rsidRPr="00B97413" w:rsidRDefault="00000000">
      <w:pPr>
        <w:rPr>
          <w:rFonts w:ascii="Calibri" w:eastAsia="Calibri" w:hAnsi="Calibri" w:cs="Calibri"/>
        </w:rPr>
      </w:pPr>
      <w:r w:rsidRPr="00B97413">
        <w:rPr>
          <w:rFonts w:ascii="Calibri" w:eastAsia="Calibri" w:hAnsi="Calibri" w:cs="Calibri"/>
        </w:rPr>
        <w:t xml:space="preserve">The geographic-agnostic model ran for ten years with case management only, or additional PMC, or additional PMC + RTS,S. At very high transmission intensity, the number of clinical cases start to drop at around five years of age, whereas at lower levels of transmission, clinical cases gradually increase and decrease with a high number of cases until at least ten years of age. Transmission intensity affects the number of severe cases mostly during the first two years of age and rapidly decreases between the second and fourth year of age (Fig </w:t>
      </w:r>
      <w:r w:rsidR="00071298">
        <w:rPr>
          <w:rFonts w:ascii="Calibri" w:eastAsia="Calibri" w:hAnsi="Calibri" w:cs="Calibri"/>
        </w:rPr>
        <w:t>A</w:t>
      </w:r>
      <w:r w:rsidRPr="00B97413">
        <w:rPr>
          <w:rFonts w:ascii="Calibri" w:eastAsia="Calibri" w:hAnsi="Calibri" w:cs="Calibri"/>
        </w:rPr>
        <w:t xml:space="preserve">1.2.3 A-B). In the scenario with PMC, up to 600 clinical and 60 severe cases per 1000 population were averted in the first year of life. While the initial number of cases averted was greatest at high transmission intensity, so was the decline in effect even leading to some increase in cases after the intervention stopped that remained for several years for clinical malaria, while quickly resolved for severe malaria (Fig </w:t>
      </w:r>
      <w:r w:rsidR="00071298">
        <w:rPr>
          <w:rFonts w:ascii="Calibri" w:eastAsia="Calibri" w:hAnsi="Calibri" w:cs="Calibri"/>
        </w:rPr>
        <w:t>A</w:t>
      </w:r>
      <w:r w:rsidRPr="00B97413">
        <w:rPr>
          <w:rFonts w:ascii="Calibri" w:eastAsia="Calibri" w:hAnsi="Calibri" w:cs="Calibri"/>
        </w:rPr>
        <w:t xml:space="preserve">1.2.3 B). In the scenario with RTS,S the total number of cases averted increased during the first </w:t>
      </w:r>
      <w:r w:rsidR="00876556" w:rsidRPr="00B97413">
        <w:rPr>
          <w:rFonts w:ascii="Calibri" w:eastAsia="Calibri" w:hAnsi="Calibri" w:cs="Calibri"/>
        </w:rPr>
        <w:t>and</w:t>
      </w:r>
      <w:r w:rsidRPr="00B97413">
        <w:rPr>
          <w:rFonts w:ascii="Calibri" w:eastAsia="Calibri" w:hAnsi="Calibri" w:cs="Calibri"/>
        </w:rPr>
        <w:t xml:space="preserve"> reached their maximum during the second year of life. Notably, RTS,S was projected to lead to some rebound in clinical malaria that lasted for at least five years, whereas the rebound in severe malaria was very small and quickly resolved</w:t>
      </w:r>
      <w:r w:rsidR="000151A4">
        <w:rPr>
          <w:rFonts w:ascii="Calibri" w:eastAsia="Calibri" w:hAnsi="Calibri" w:cs="Calibri"/>
        </w:rPr>
        <w:t xml:space="preserve"> </w:t>
      </w:r>
      <w:r w:rsidRPr="00B97413">
        <w:rPr>
          <w:rFonts w:ascii="Calibri" w:eastAsia="Calibri" w:hAnsi="Calibri" w:cs="Calibri"/>
        </w:rPr>
        <w:t xml:space="preserve">(Fig </w:t>
      </w:r>
      <w:r w:rsidR="00071298">
        <w:rPr>
          <w:rFonts w:ascii="Calibri" w:eastAsia="Calibri" w:hAnsi="Calibri" w:cs="Calibri"/>
        </w:rPr>
        <w:t>A</w:t>
      </w:r>
      <w:r w:rsidRPr="00B97413">
        <w:rPr>
          <w:rFonts w:ascii="Calibri" w:eastAsia="Calibri" w:hAnsi="Calibri" w:cs="Calibri"/>
        </w:rPr>
        <w:t>1.2.3 B).</w:t>
      </w:r>
    </w:p>
    <w:p w14:paraId="355EBEA8" w14:textId="77777777" w:rsidR="00B3610D" w:rsidRPr="00B97413" w:rsidRDefault="00B3610D"/>
    <w:p w14:paraId="0EC5103F" w14:textId="77777777" w:rsidR="00B3610D" w:rsidRPr="00B97413" w:rsidRDefault="00000000">
      <w:r w:rsidRPr="00B97413">
        <w:rPr>
          <w:noProof/>
        </w:rPr>
        <w:drawing>
          <wp:inline distT="114300" distB="114300" distL="114300" distR="114300" wp14:anchorId="22DAB368" wp14:editId="3B216E27">
            <wp:extent cx="5731200" cy="1866900"/>
            <wp:effectExtent l="0" t="0" r="0" b="0"/>
            <wp:docPr id="26"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0"/>
                    <a:srcRect/>
                    <a:stretch>
                      <a:fillRect/>
                    </a:stretch>
                  </pic:blipFill>
                  <pic:spPr>
                    <a:xfrm>
                      <a:off x="0" y="0"/>
                      <a:ext cx="5731200" cy="1866900"/>
                    </a:xfrm>
                    <a:prstGeom prst="rect">
                      <a:avLst/>
                    </a:prstGeom>
                    <a:ln/>
                  </pic:spPr>
                </pic:pic>
              </a:graphicData>
            </a:graphic>
          </wp:inline>
        </w:drawing>
      </w:r>
    </w:p>
    <w:p w14:paraId="390CF2DD" w14:textId="77777777" w:rsidR="00B3610D" w:rsidRPr="00B97413" w:rsidRDefault="00B3610D"/>
    <w:p w14:paraId="40CDE80B" w14:textId="47527E9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1.2.3: Projected clinical and severe malaria cases and cases averted over age in years and by EIR.</w:t>
      </w:r>
    </w:p>
    <w:p w14:paraId="364BCD15"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A)</w:t>
      </w:r>
      <w:r w:rsidRPr="00B97413">
        <w:rPr>
          <w:rFonts w:ascii="Calibri" w:eastAsia="Calibri" w:hAnsi="Calibri" w:cs="Calibri"/>
          <w:sz w:val="20"/>
          <w:szCs w:val="20"/>
        </w:rPr>
        <w:t xml:space="preserve"> Clinical and severe malaria cases by age for children U5 without either RTS,S or PMC-3. </w:t>
      </w:r>
      <w:r w:rsidRPr="00B97413">
        <w:rPr>
          <w:rFonts w:ascii="Calibri" w:eastAsia="Calibri" w:hAnsi="Calibri" w:cs="Calibri"/>
          <w:b/>
          <w:sz w:val="20"/>
          <w:szCs w:val="20"/>
        </w:rPr>
        <w:t>B)</w:t>
      </w:r>
      <w:r w:rsidRPr="00B97413">
        <w:rPr>
          <w:rFonts w:ascii="Calibri" w:eastAsia="Calibri" w:hAnsi="Calibri" w:cs="Calibri"/>
          <w:sz w:val="20"/>
          <w:szCs w:val="20"/>
        </w:rPr>
        <w:t xml:space="preserve"> Clinical and severe malaria cases by age with PMC-3 or RTS,S at 80% intervention coverage. Arrows indicate the timing of each PMC dose, the 3rd RTS,S priming dose, and the RTS,S booster dose. </w:t>
      </w:r>
    </w:p>
    <w:p w14:paraId="1507655D" w14:textId="77777777" w:rsidR="00B3610D" w:rsidRPr="00B97413" w:rsidRDefault="00B3610D">
      <w:pPr>
        <w:spacing w:line="240" w:lineRule="auto"/>
        <w:rPr>
          <w:rFonts w:ascii="Calibri" w:eastAsia="Calibri" w:hAnsi="Calibri" w:cs="Calibri"/>
          <w:b/>
          <w:i/>
          <w:sz w:val="20"/>
          <w:szCs w:val="20"/>
        </w:rPr>
      </w:pPr>
    </w:p>
    <w:p w14:paraId="57C8663E" w14:textId="77777777" w:rsidR="00B3610D" w:rsidRPr="00B97413" w:rsidRDefault="00000000">
      <w:r w:rsidRPr="00B97413">
        <w:rPr>
          <w:noProof/>
        </w:rPr>
        <w:lastRenderedPageBreak/>
        <w:drawing>
          <wp:inline distT="114300" distB="114300" distL="114300" distR="114300" wp14:anchorId="0C8BB20D" wp14:editId="663A5511">
            <wp:extent cx="5731200" cy="2870200"/>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1"/>
                    <a:srcRect/>
                    <a:stretch>
                      <a:fillRect/>
                    </a:stretch>
                  </pic:blipFill>
                  <pic:spPr>
                    <a:xfrm>
                      <a:off x="0" y="0"/>
                      <a:ext cx="5731200" cy="2870200"/>
                    </a:xfrm>
                    <a:prstGeom prst="rect">
                      <a:avLst/>
                    </a:prstGeom>
                    <a:ln/>
                  </pic:spPr>
                </pic:pic>
              </a:graphicData>
            </a:graphic>
          </wp:inline>
        </w:drawing>
      </w:r>
    </w:p>
    <w:p w14:paraId="3E0740F9" w14:textId="2398A259"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1.2.4: </w:t>
      </w:r>
      <w:r w:rsidRPr="00B97413">
        <w:rPr>
          <w:rFonts w:ascii="Calibri" w:eastAsia="Calibri" w:hAnsi="Calibri" w:cs="Calibri"/>
          <w:sz w:val="20"/>
          <w:szCs w:val="20"/>
        </w:rPr>
        <w:t>Cases averted per age group and EIR for PMC-3, RTS,S and PMC-3+RTS,S.</w:t>
      </w:r>
    </w:p>
    <w:p w14:paraId="3754723D"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sz w:val="20"/>
          <w:szCs w:val="20"/>
        </w:rPr>
        <w:t>The solid line shows the median across stochastic runs and birth-cohorts.</w:t>
      </w:r>
    </w:p>
    <w:p w14:paraId="3DAF6993" w14:textId="77777777" w:rsidR="00B3610D" w:rsidRPr="00B97413" w:rsidRDefault="00B3610D">
      <w:pPr>
        <w:spacing w:line="240" w:lineRule="auto"/>
        <w:rPr>
          <w:rFonts w:ascii="Calibri" w:eastAsia="Calibri" w:hAnsi="Calibri" w:cs="Calibri"/>
        </w:rPr>
      </w:pPr>
    </w:p>
    <w:p w14:paraId="0D71F6F6" w14:textId="77777777" w:rsidR="00B3610D" w:rsidRPr="00B97413" w:rsidRDefault="00B3610D">
      <w:pPr>
        <w:spacing w:line="240" w:lineRule="auto"/>
        <w:rPr>
          <w:rFonts w:ascii="Calibri" w:eastAsia="Calibri" w:hAnsi="Calibri" w:cs="Calibri"/>
          <w:sz w:val="20"/>
          <w:szCs w:val="20"/>
        </w:rPr>
      </w:pPr>
    </w:p>
    <w:p w14:paraId="681BE493" w14:textId="77777777" w:rsidR="00B3610D" w:rsidRPr="00B97413" w:rsidRDefault="00000000">
      <w:pPr>
        <w:rPr>
          <w:rFonts w:ascii="Calibri" w:eastAsia="Calibri" w:hAnsi="Calibri" w:cs="Calibri"/>
          <w:b/>
        </w:rPr>
      </w:pPr>
      <w:r w:rsidRPr="00B97413">
        <w:rPr>
          <w:rFonts w:ascii="Calibri" w:eastAsia="Calibri" w:hAnsi="Calibri" w:cs="Calibri"/>
          <w:b/>
        </w:rPr>
        <w:t>Impact of PMC + RTS,S by PMC schedule</w:t>
      </w:r>
    </w:p>
    <w:p w14:paraId="111CD7DD" w14:textId="77777777" w:rsidR="00B3610D" w:rsidRPr="00B97413" w:rsidRDefault="00000000">
      <w:pPr>
        <w:spacing w:line="259" w:lineRule="auto"/>
        <w:rPr>
          <w:rFonts w:ascii="Calibri" w:eastAsia="Calibri" w:hAnsi="Calibri" w:cs="Calibri"/>
        </w:rPr>
      </w:pPr>
      <w:r w:rsidRPr="00B97413">
        <w:rPr>
          <w:rFonts w:ascii="Calibri" w:eastAsia="Calibri" w:hAnsi="Calibri" w:cs="Calibri"/>
        </w:rPr>
        <w:t xml:space="preserve">Both interventions together nearly depleted new episodes for a short period of time and slowed down the increase in incidence between PMC doses, when assuming 80% coverage for both. </w:t>
      </w:r>
    </w:p>
    <w:p w14:paraId="1A91E173" w14:textId="0D73EE82" w:rsidR="00B3610D" w:rsidRDefault="00000000">
      <w:pPr>
        <w:spacing w:line="259" w:lineRule="auto"/>
        <w:rPr>
          <w:rFonts w:ascii="Calibri" w:eastAsia="Calibri" w:hAnsi="Calibri" w:cs="Calibri"/>
        </w:rPr>
      </w:pPr>
      <w:r w:rsidRPr="00B97413">
        <w:rPr>
          <w:rFonts w:ascii="Calibri" w:eastAsia="Calibri" w:hAnsi="Calibri" w:cs="Calibri"/>
        </w:rPr>
        <w:t>At moderate</w:t>
      </w:r>
      <w:r w:rsidR="00876556">
        <w:rPr>
          <w:rFonts w:ascii="Calibri" w:eastAsia="Calibri" w:hAnsi="Calibri" w:cs="Calibri"/>
        </w:rPr>
        <w:t>-high</w:t>
      </w:r>
      <w:r w:rsidRPr="00B97413">
        <w:rPr>
          <w:rFonts w:ascii="Calibri" w:eastAsia="Calibri" w:hAnsi="Calibri" w:cs="Calibri"/>
        </w:rPr>
        <w:t xml:space="preserve"> transmission, adding RTS,S averted four to six times (PMC-3) or two to three times (PMC-5a and PMC-7) more cases per 1000 children U2 compared to PMC alone. When PMC was added to RTS,S, an additional 314 (20%) clinical and 2 (8%) severe cases were averted per 1000 children U2 (EIR=32 ibpa).</w:t>
      </w:r>
      <w:r w:rsidR="00876556">
        <w:rPr>
          <w:rFonts w:ascii="Calibri" w:eastAsia="Calibri" w:hAnsi="Calibri" w:cs="Calibri"/>
        </w:rPr>
        <w:t xml:space="preserve"> B</w:t>
      </w:r>
      <w:r w:rsidRPr="00B97413">
        <w:rPr>
          <w:rFonts w:ascii="Calibri" w:eastAsia="Calibri" w:hAnsi="Calibri" w:cs="Calibri"/>
        </w:rPr>
        <w:t>oth interventions together averted fewer cases than the sum of cases averted by each intervention alone. For instance, PMC-3 + RTS,S averted on average 2,016 clinical cases, while PMC-3 averted 501 cases and RTS,S 1,549 cases per 1000 population U2. Of the combined impact, 77% were attributable to RTS,S and 23% were attributable to PMC-3, mostly during the first year of life (Fig</w:t>
      </w:r>
      <w:r w:rsidR="000151A4">
        <w:rPr>
          <w:rFonts w:ascii="Calibri" w:eastAsia="Calibri" w:hAnsi="Calibri" w:cs="Calibri"/>
        </w:rPr>
        <w:t xml:space="preserve"> </w:t>
      </w:r>
      <w:r w:rsidR="00071298">
        <w:rPr>
          <w:rFonts w:ascii="Calibri" w:eastAsia="Calibri" w:hAnsi="Calibri" w:cs="Calibri"/>
          <w:sz w:val="20"/>
          <w:szCs w:val="20"/>
        </w:rPr>
        <w:t>A</w:t>
      </w:r>
      <w:r w:rsidRPr="00B97413">
        <w:rPr>
          <w:rFonts w:ascii="Calibri" w:eastAsia="Calibri" w:hAnsi="Calibri" w:cs="Calibri"/>
          <w:sz w:val="20"/>
          <w:szCs w:val="20"/>
        </w:rPr>
        <w:t>1.2.5</w:t>
      </w:r>
      <w:r w:rsidR="00876556">
        <w:rPr>
          <w:rFonts w:ascii="Calibri" w:eastAsia="Calibri" w:hAnsi="Calibri" w:cs="Calibri"/>
          <w:sz w:val="20"/>
          <w:szCs w:val="20"/>
        </w:rPr>
        <w:t>A</w:t>
      </w:r>
      <w:r w:rsidRPr="00B97413">
        <w:rPr>
          <w:rFonts w:ascii="Calibri" w:eastAsia="Calibri" w:hAnsi="Calibri" w:cs="Calibri"/>
        </w:rPr>
        <w:t xml:space="preserve">). </w:t>
      </w:r>
    </w:p>
    <w:p w14:paraId="3E151F09" w14:textId="4B54829F" w:rsidR="00876556" w:rsidRDefault="00876556">
      <w:pPr>
        <w:spacing w:line="259" w:lineRule="auto"/>
        <w:rPr>
          <w:rFonts w:ascii="Calibri" w:eastAsia="Calibri" w:hAnsi="Calibri" w:cs="Calibri"/>
        </w:rPr>
      </w:pPr>
    </w:p>
    <w:p w14:paraId="0423EC40" w14:textId="776DC7C8" w:rsidR="00876556" w:rsidRPr="00B97413" w:rsidRDefault="00876556">
      <w:pPr>
        <w:spacing w:line="259" w:lineRule="auto"/>
        <w:rPr>
          <w:rFonts w:ascii="Calibri" w:eastAsia="Calibri" w:hAnsi="Calibri" w:cs="Calibri"/>
        </w:rPr>
      </w:pPr>
      <w:r>
        <w:rPr>
          <w:rFonts w:ascii="Calibri" w:eastAsia="Calibri" w:hAnsi="Calibri" w:cs="Calibri"/>
        </w:rPr>
        <w:t>When RTS,S was added to PMC (‘PMC first’), an additional 757, 735, and 741 cases per 1000 population U2 were averted for PMC-3, PMC-5, and PMC-7 respectively, corresponding to a 100-300% increase compared to the impact of PMC alone (cases averted by PMC alone: 250, 449, and 668 for PMC-3, PMC-5 and PMC-7 respectively). When PMC was added to RTS,S (</w:t>
      </w:r>
      <w:bookmarkStart w:id="8" w:name="_Hlk125975311"/>
      <w:r>
        <w:rPr>
          <w:rFonts w:ascii="Calibri" w:eastAsia="Calibri" w:hAnsi="Calibri" w:cs="Calibri"/>
        </w:rPr>
        <w:t>‘</w:t>
      </w:r>
      <w:bookmarkEnd w:id="8"/>
      <w:r>
        <w:rPr>
          <w:rFonts w:ascii="Calibri" w:eastAsia="Calibri" w:hAnsi="Calibri" w:cs="Calibri"/>
        </w:rPr>
        <w:t xml:space="preserve">RTS,S first‘), an additional 233, 410 and 636 cases per 1000 population U2 were averted, by PMC-3, PMC-5, and PMC-7 respectively (cases averted by RTS,S alone: 774 per 1000 population U2 per year) </w:t>
      </w:r>
      <w:r w:rsidRPr="00B97413">
        <w:rPr>
          <w:rFonts w:ascii="Calibri" w:eastAsia="Calibri" w:hAnsi="Calibri" w:cs="Calibri"/>
        </w:rPr>
        <w:t>(Fig</w:t>
      </w:r>
      <w:r w:rsidR="000151A4">
        <w:rPr>
          <w:rFonts w:ascii="Calibri" w:eastAsia="Calibri" w:hAnsi="Calibri" w:cs="Calibri"/>
        </w:rPr>
        <w:t xml:space="preserve"> </w:t>
      </w:r>
      <w:r w:rsidR="00071298">
        <w:rPr>
          <w:rFonts w:ascii="Calibri" w:eastAsia="Calibri" w:hAnsi="Calibri" w:cs="Calibri"/>
        </w:rPr>
        <w:t>A</w:t>
      </w:r>
      <w:r w:rsidRPr="00680E35">
        <w:rPr>
          <w:rFonts w:ascii="Calibri" w:eastAsia="Calibri" w:hAnsi="Calibri" w:cs="Calibri"/>
        </w:rPr>
        <w:t>1.2.5B</w:t>
      </w:r>
      <w:r w:rsidRPr="00B97413">
        <w:rPr>
          <w:rFonts w:ascii="Calibri" w:eastAsia="Calibri" w:hAnsi="Calibri" w:cs="Calibri"/>
        </w:rPr>
        <w:t>).</w:t>
      </w:r>
    </w:p>
    <w:p w14:paraId="6982BA0A" w14:textId="77777777" w:rsidR="00B3610D" w:rsidRPr="00680E35" w:rsidRDefault="00B3610D">
      <w:pPr>
        <w:spacing w:line="259" w:lineRule="auto"/>
        <w:rPr>
          <w:rFonts w:ascii="Calibri" w:eastAsia="Calibri" w:hAnsi="Calibri" w:cs="Calibri"/>
        </w:rPr>
      </w:pPr>
    </w:p>
    <w:p w14:paraId="5727F37D" w14:textId="0F35A161" w:rsidR="00B3610D" w:rsidRPr="00B97413" w:rsidRDefault="0028791E">
      <w:pPr>
        <w:rPr>
          <w:rFonts w:ascii="Calibri" w:eastAsia="Calibri" w:hAnsi="Calibri" w:cs="Calibri"/>
        </w:rPr>
      </w:pPr>
      <w:r w:rsidRPr="0028791E">
        <w:rPr>
          <w:rFonts w:ascii="Calibri" w:eastAsia="Calibri" w:hAnsi="Calibri" w:cs="Calibri"/>
          <w:noProof/>
        </w:rPr>
        <w:lastRenderedPageBreak/>
        <w:drawing>
          <wp:inline distT="0" distB="0" distL="0" distR="0" wp14:anchorId="177CD178" wp14:editId="6B6B3E12">
            <wp:extent cx="5733415" cy="2645410"/>
            <wp:effectExtent l="0" t="0" r="635" b="2540"/>
            <wp:docPr id="29" name="Picture 29" descr="Graphical user interface, chart, 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 chart, diagram, histogram&#10;&#10;Description automatically generated"/>
                    <pic:cNvPicPr/>
                  </pic:nvPicPr>
                  <pic:blipFill>
                    <a:blip r:embed="rId32"/>
                    <a:stretch>
                      <a:fillRect/>
                    </a:stretch>
                  </pic:blipFill>
                  <pic:spPr>
                    <a:xfrm>
                      <a:off x="0" y="0"/>
                      <a:ext cx="5733415" cy="2645410"/>
                    </a:xfrm>
                    <a:prstGeom prst="rect">
                      <a:avLst/>
                    </a:prstGeom>
                  </pic:spPr>
                </pic:pic>
              </a:graphicData>
            </a:graphic>
          </wp:inline>
        </w:drawing>
      </w:r>
    </w:p>
    <w:p w14:paraId="32B4E4CB" w14:textId="699AD0A2"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1.2.5: Predicted impact on malaria cases of PMC and RTS,S by PMC schedule in children U2. </w:t>
      </w:r>
    </w:p>
    <w:p w14:paraId="60BA062D" w14:textId="52E69D90" w:rsidR="00B3610D" w:rsidRPr="00B97413" w:rsidRDefault="00000000">
      <w:pPr>
        <w:spacing w:line="240" w:lineRule="auto"/>
        <w:rPr>
          <w:rFonts w:ascii="Calibri" w:eastAsia="Calibri" w:hAnsi="Calibri" w:cs="Calibri"/>
        </w:rPr>
      </w:pPr>
      <w:r w:rsidRPr="00B97413">
        <w:rPr>
          <w:rFonts w:ascii="Calibri" w:eastAsia="Calibri" w:hAnsi="Calibri" w:cs="Calibri"/>
          <w:b/>
          <w:sz w:val="20"/>
          <w:szCs w:val="20"/>
        </w:rPr>
        <w:t>A)</w:t>
      </w:r>
      <w:r w:rsidRPr="00B97413">
        <w:rPr>
          <w:rFonts w:ascii="Calibri" w:eastAsia="Calibri" w:hAnsi="Calibri" w:cs="Calibri"/>
          <w:sz w:val="20"/>
          <w:szCs w:val="20"/>
        </w:rPr>
        <w:t xml:space="preserve"> Age-incidence curve for PMC-3, RTS,S and PMC-3+ RTS,S. The solid line shows median and shaded area 90% PI based on model and seasonality uncertainty. The gray line shows the counterfactual and the colored lines PMC or RTS,S. </w:t>
      </w:r>
      <w:r w:rsidR="00876556" w:rsidRPr="00E372C9">
        <w:rPr>
          <w:rFonts w:ascii="Calibri" w:eastAsia="Calibri" w:hAnsi="Calibri" w:cs="Calibri"/>
          <w:b/>
          <w:bCs/>
          <w:sz w:val="20"/>
          <w:szCs w:val="20"/>
        </w:rPr>
        <w:t>B)</w:t>
      </w:r>
      <w:r w:rsidR="00876556">
        <w:rPr>
          <w:rFonts w:ascii="Calibri" w:eastAsia="Calibri" w:hAnsi="Calibri" w:cs="Calibri"/>
          <w:sz w:val="20"/>
          <w:szCs w:val="20"/>
        </w:rPr>
        <w:t xml:space="preserve"> </w:t>
      </w:r>
      <w:r w:rsidR="00F21FBC">
        <w:rPr>
          <w:rFonts w:ascii="Calibri" w:eastAsia="Calibri" w:hAnsi="Calibri" w:cs="Calibri"/>
          <w:sz w:val="20"/>
          <w:szCs w:val="20"/>
        </w:rPr>
        <w:t>C</w:t>
      </w:r>
      <w:r w:rsidR="00E372C9" w:rsidRPr="00E372C9">
        <w:rPr>
          <w:rFonts w:ascii="Calibri" w:eastAsia="Calibri" w:hAnsi="Calibri" w:cs="Calibri"/>
          <w:sz w:val="20"/>
          <w:szCs w:val="20"/>
        </w:rPr>
        <w:t xml:space="preserve">ases averted per 1000 population </w:t>
      </w:r>
      <w:r w:rsidR="00F21FBC">
        <w:rPr>
          <w:rFonts w:ascii="Calibri" w:eastAsia="Calibri" w:hAnsi="Calibri" w:cs="Calibri"/>
          <w:sz w:val="20"/>
          <w:szCs w:val="20"/>
        </w:rPr>
        <w:t xml:space="preserve">U2 </w:t>
      </w:r>
      <w:r w:rsidR="00E372C9" w:rsidRPr="00E372C9">
        <w:rPr>
          <w:rFonts w:ascii="Calibri" w:eastAsia="Calibri" w:hAnsi="Calibri" w:cs="Calibri"/>
          <w:sz w:val="20"/>
          <w:szCs w:val="20"/>
        </w:rPr>
        <w:t>per year attributable to PMC or RTS,S in the scenario where both were deployed. Coverage was set to 80% for both interventions</w:t>
      </w:r>
      <w:r w:rsidR="00E372C9">
        <w:rPr>
          <w:rFonts w:ascii="Calibri" w:eastAsia="Calibri" w:hAnsi="Calibri" w:cs="Calibri"/>
          <w:sz w:val="20"/>
          <w:szCs w:val="20"/>
        </w:rPr>
        <w:t>.</w:t>
      </w:r>
    </w:p>
    <w:p w14:paraId="5B8BE2A8" w14:textId="77777777" w:rsidR="00B3610D" w:rsidRPr="00B97413" w:rsidRDefault="00B3610D">
      <w:pPr>
        <w:spacing w:line="259" w:lineRule="auto"/>
        <w:rPr>
          <w:rFonts w:ascii="Calibri" w:eastAsia="Calibri" w:hAnsi="Calibri" w:cs="Calibri"/>
        </w:rPr>
      </w:pPr>
    </w:p>
    <w:p w14:paraId="5194A797"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noProof/>
          <w:sz w:val="20"/>
          <w:szCs w:val="20"/>
        </w:rPr>
        <w:drawing>
          <wp:inline distT="114300" distB="114300" distL="114300" distR="114300" wp14:anchorId="386201C7" wp14:editId="22EAFC65">
            <wp:extent cx="5731200" cy="2870200"/>
            <wp:effectExtent l="0" t="0" r="0" b="0"/>
            <wp:docPr id="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3"/>
                    <a:srcRect/>
                    <a:stretch>
                      <a:fillRect/>
                    </a:stretch>
                  </pic:blipFill>
                  <pic:spPr>
                    <a:xfrm>
                      <a:off x="0" y="0"/>
                      <a:ext cx="5731200" cy="2870200"/>
                    </a:xfrm>
                    <a:prstGeom prst="rect">
                      <a:avLst/>
                    </a:prstGeom>
                    <a:ln/>
                  </pic:spPr>
                </pic:pic>
              </a:graphicData>
            </a:graphic>
          </wp:inline>
        </w:drawing>
      </w:r>
    </w:p>
    <w:p w14:paraId="4EEE1C1A" w14:textId="668602A7" w:rsidR="00B3610D" w:rsidRPr="00B97413" w:rsidRDefault="00000000">
      <w:pPr>
        <w:spacing w:line="240" w:lineRule="auto"/>
        <w:rPr>
          <w:rFonts w:ascii="Calibri" w:eastAsia="Calibri" w:hAnsi="Calibri" w:cs="Calibri"/>
          <w:b/>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1.2.6: Incremental impact of additional PMC doses on clinical cases in children under the age of 2 years by transmission intensity</w:t>
      </w:r>
      <w:r w:rsidRPr="00B97413">
        <w:rPr>
          <w:rFonts w:ascii="Calibri" w:eastAsia="Calibri" w:hAnsi="Calibri" w:cs="Calibri"/>
          <w:sz w:val="20"/>
          <w:szCs w:val="20"/>
        </w:rPr>
        <w:t xml:space="preserve">. A) additional cases averted per 100 population U2. B) Percentage points increase in relative number of cases averted in children U2. Projections based on the geographic-agnostic model run with 80% coverage per dose and effective treatment coverage at 60% for clinical and 80% for severe cases. </w:t>
      </w:r>
    </w:p>
    <w:p w14:paraId="1FB8FFE4" w14:textId="77777777" w:rsidR="00B3610D" w:rsidRPr="00B97413" w:rsidRDefault="00B3610D">
      <w:pPr>
        <w:spacing w:line="240" w:lineRule="auto"/>
        <w:rPr>
          <w:rFonts w:ascii="Calibri" w:eastAsia="Calibri" w:hAnsi="Calibri" w:cs="Calibri"/>
          <w:b/>
          <w:sz w:val="20"/>
          <w:szCs w:val="20"/>
        </w:rPr>
      </w:pPr>
    </w:p>
    <w:p w14:paraId="173D9DA1" w14:textId="77777777" w:rsidR="00B3610D" w:rsidRPr="00B97413" w:rsidRDefault="00000000">
      <w:pPr>
        <w:spacing w:line="240" w:lineRule="auto"/>
        <w:rPr>
          <w:rFonts w:ascii="Calibri" w:eastAsia="Calibri" w:hAnsi="Calibri" w:cs="Calibri"/>
          <w:sz w:val="20"/>
          <w:szCs w:val="20"/>
        </w:rPr>
      </w:pPr>
      <w:r w:rsidRPr="00B97413">
        <w:rPr>
          <w:rFonts w:ascii="Calibri" w:eastAsia="Calibri" w:hAnsi="Calibri" w:cs="Calibri"/>
          <w:noProof/>
          <w:sz w:val="20"/>
          <w:szCs w:val="20"/>
        </w:rPr>
        <w:lastRenderedPageBreak/>
        <w:drawing>
          <wp:inline distT="114300" distB="114300" distL="114300" distR="114300" wp14:anchorId="2BE18503" wp14:editId="05B88129">
            <wp:extent cx="5731200" cy="3822700"/>
            <wp:effectExtent l="0" t="0" r="0" b="0"/>
            <wp:docPr id="2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4"/>
                    <a:srcRect/>
                    <a:stretch>
                      <a:fillRect/>
                    </a:stretch>
                  </pic:blipFill>
                  <pic:spPr>
                    <a:xfrm>
                      <a:off x="0" y="0"/>
                      <a:ext cx="5731200" cy="3822700"/>
                    </a:xfrm>
                    <a:prstGeom prst="rect">
                      <a:avLst/>
                    </a:prstGeom>
                    <a:ln/>
                  </pic:spPr>
                </pic:pic>
              </a:graphicData>
            </a:graphic>
          </wp:inline>
        </w:drawing>
      </w:r>
    </w:p>
    <w:p w14:paraId="31D4EE20" w14:textId="0635A37C" w:rsidR="00B3610D" w:rsidRPr="00B97413" w:rsidRDefault="00000000">
      <w:pPr>
        <w:spacing w:line="240" w:lineRule="auto"/>
        <w:rPr>
          <w:rFonts w:ascii="Calibri" w:eastAsia="Calibri" w:hAnsi="Calibri" w:cs="Calibri"/>
          <w:b/>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1.2.7: Incremental impact of PMC-4 and PMC-5 with doses during infancy or extended into the 2nd year of life in comparison to PMC-3 on clinical cases in children under the age of 2 years by transmission intensity</w:t>
      </w:r>
      <w:r w:rsidRPr="00B97413">
        <w:rPr>
          <w:rFonts w:ascii="Calibri" w:eastAsia="Calibri" w:hAnsi="Calibri" w:cs="Calibri"/>
          <w:sz w:val="20"/>
          <w:szCs w:val="20"/>
        </w:rPr>
        <w:t xml:space="preserve">. </w:t>
      </w:r>
      <w:r w:rsidRPr="00B97413">
        <w:rPr>
          <w:rFonts w:ascii="Calibri" w:eastAsia="Calibri" w:hAnsi="Calibri" w:cs="Calibri"/>
          <w:b/>
          <w:sz w:val="20"/>
          <w:szCs w:val="20"/>
        </w:rPr>
        <w:t xml:space="preserve">A+C) </w:t>
      </w:r>
      <w:r w:rsidRPr="00B97413">
        <w:rPr>
          <w:rFonts w:ascii="Calibri" w:eastAsia="Calibri" w:hAnsi="Calibri" w:cs="Calibri"/>
          <w:sz w:val="20"/>
          <w:szCs w:val="20"/>
        </w:rPr>
        <w:t xml:space="preserve">additional cases averted per 100 population U2. </w:t>
      </w:r>
      <w:r w:rsidRPr="00B97413">
        <w:rPr>
          <w:rFonts w:ascii="Calibri" w:eastAsia="Calibri" w:hAnsi="Calibri" w:cs="Calibri"/>
          <w:b/>
          <w:sz w:val="20"/>
          <w:szCs w:val="20"/>
        </w:rPr>
        <w:t>B+D)</w:t>
      </w:r>
      <w:r w:rsidRPr="00B97413">
        <w:rPr>
          <w:rFonts w:ascii="Calibri" w:eastAsia="Calibri" w:hAnsi="Calibri" w:cs="Calibri"/>
          <w:sz w:val="20"/>
          <w:szCs w:val="20"/>
        </w:rPr>
        <w:t xml:space="preserve"> Percentage points increase in relative number of cases averted in children U2. Projections based on the geographic-agnostic model run with 80% coverage per dose and effective treatment coverage at 60% for clinical and 80% for severe cases. </w:t>
      </w:r>
    </w:p>
    <w:p w14:paraId="50C003C9" w14:textId="77777777" w:rsidR="00B3610D" w:rsidRPr="00B97413" w:rsidRDefault="00B3610D">
      <w:pPr>
        <w:spacing w:line="240" w:lineRule="auto"/>
        <w:rPr>
          <w:rFonts w:ascii="Calibri" w:eastAsia="Calibri" w:hAnsi="Calibri" w:cs="Calibri"/>
          <w:b/>
          <w:sz w:val="20"/>
          <w:szCs w:val="20"/>
        </w:rPr>
      </w:pPr>
    </w:p>
    <w:p w14:paraId="713CA695" w14:textId="37F84567" w:rsidR="00027FA9" w:rsidRPr="00B97413" w:rsidRDefault="00002699">
      <w:pPr>
        <w:spacing w:line="240" w:lineRule="auto"/>
        <w:rPr>
          <w:rFonts w:ascii="Calibri" w:eastAsia="Calibri" w:hAnsi="Calibri" w:cs="Calibri"/>
          <w:b/>
          <w:sz w:val="20"/>
          <w:szCs w:val="20"/>
        </w:rPr>
      </w:pPr>
      <w:r w:rsidRPr="00B97413">
        <w:rPr>
          <w:noProof/>
        </w:rPr>
        <w:drawing>
          <wp:inline distT="0" distB="0" distL="0" distR="0" wp14:anchorId="649CB007" wp14:editId="6AF8DEC5">
            <wp:extent cx="4238045" cy="3632543"/>
            <wp:effectExtent l="0" t="0" r="0" b="6350"/>
            <wp:docPr id="30" name="Picture 3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bar chart&#10;&#10;Description automatically generated"/>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247572" cy="3640709"/>
                    </a:xfrm>
                    <a:prstGeom prst="rect">
                      <a:avLst/>
                    </a:prstGeom>
                    <a:noFill/>
                    <a:ln>
                      <a:noFill/>
                    </a:ln>
                  </pic:spPr>
                </pic:pic>
              </a:graphicData>
            </a:graphic>
          </wp:inline>
        </w:drawing>
      </w:r>
    </w:p>
    <w:p w14:paraId="156C9F5B" w14:textId="22B677B1" w:rsidR="00027FA9" w:rsidRPr="00B97413" w:rsidRDefault="00027FA9">
      <w:pPr>
        <w:spacing w:line="240" w:lineRule="auto"/>
        <w:rPr>
          <w:rFonts w:ascii="Calibri" w:eastAsia="Calibri" w:hAnsi="Calibri" w:cs="Calibri"/>
          <w:b/>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 xml:space="preserve">1.2.8: </w:t>
      </w:r>
      <w:r w:rsidRPr="00B97413">
        <w:rPr>
          <w:rFonts w:ascii="Calibri" w:eastAsia="Calibri" w:hAnsi="Calibri" w:cs="Calibri"/>
          <w:sz w:val="20"/>
          <w:szCs w:val="20"/>
        </w:rPr>
        <w:t>Relative reductions in clinical and severe cases by PMC-RTS,S scenario at 80% coverage for children 0-1 and 1-2 years and U2 (0-2 years). Error bars show 90% PI across birth cohorts and stochastic replications.</w:t>
      </w:r>
      <w:r w:rsidR="000151A4">
        <w:rPr>
          <w:rFonts w:ascii="Calibri" w:eastAsia="Calibri" w:hAnsi="Calibri" w:cs="Calibri"/>
          <w:sz w:val="20"/>
          <w:szCs w:val="20"/>
        </w:rPr>
        <w:t xml:space="preserve"> </w:t>
      </w:r>
      <w:r w:rsidRPr="00B97413">
        <w:rPr>
          <w:rFonts w:ascii="Calibri" w:eastAsia="Calibri" w:hAnsi="Calibri" w:cs="Calibri"/>
          <w:b/>
          <w:sz w:val="20"/>
          <w:szCs w:val="20"/>
        </w:rPr>
        <w:t xml:space="preserve"> </w:t>
      </w:r>
    </w:p>
    <w:p w14:paraId="3A1D2E7C" w14:textId="77777777" w:rsidR="00027FA9" w:rsidRPr="00B97413" w:rsidRDefault="00027FA9">
      <w:pPr>
        <w:spacing w:line="240" w:lineRule="auto"/>
        <w:rPr>
          <w:rFonts w:ascii="Calibri" w:eastAsia="Calibri" w:hAnsi="Calibri" w:cs="Calibri"/>
          <w:sz w:val="20"/>
          <w:szCs w:val="20"/>
        </w:rPr>
      </w:pPr>
    </w:p>
    <w:p w14:paraId="11BB5405" w14:textId="3152D162" w:rsidR="00027FA9" w:rsidRDefault="00027FA9">
      <w:pPr>
        <w:spacing w:line="240" w:lineRule="auto"/>
        <w:rPr>
          <w:rFonts w:ascii="Calibri" w:eastAsia="Calibri" w:hAnsi="Calibri" w:cs="Calibri"/>
          <w:sz w:val="20"/>
          <w:szCs w:val="20"/>
        </w:rPr>
      </w:pPr>
    </w:p>
    <w:p w14:paraId="51376608" w14:textId="43EABB77" w:rsidR="00FC3DCD" w:rsidRDefault="00937464">
      <w:pPr>
        <w:spacing w:line="240" w:lineRule="auto"/>
        <w:rPr>
          <w:rFonts w:ascii="Calibri" w:eastAsia="Calibri" w:hAnsi="Calibri" w:cs="Calibri"/>
          <w:sz w:val="20"/>
          <w:szCs w:val="20"/>
        </w:rPr>
      </w:pPr>
      <w:r w:rsidRPr="00937464">
        <w:rPr>
          <w:rFonts w:ascii="Calibri" w:eastAsia="Calibri" w:hAnsi="Calibri" w:cs="Calibri"/>
          <w:noProof/>
          <w:sz w:val="20"/>
          <w:szCs w:val="20"/>
        </w:rPr>
        <w:drawing>
          <wp:inline distT="0" distB="0" distL="0" distR="0" wp14:anchorId="1F26A0C5" wp14:editId="0B3FFDA2">
            <wp:extent cx="5934629" cy="2119745"/>
            <wp:effectExtent l="0" t="0" r="9525" b="0"/>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pic:nvPicPr>
                  <pic:blipFill>
                    <a:blip r:embed="rId36"/>
                    <a:stretch>
                      <a:fillRect/>
                    </a:stretch>
                  </pic:blipFill>
                  <pic:spPr>
                    <a:xfrm>
                      <a:off x="0" y="0"/>
                      <a:ext cx="5952870" cy="2126260"/>
                    </a:xfrm>
                    <a:prstGeom prst="rect">
                      <a:avLst/>
                    </a:prstGeom>
                  </pic:spPr>
                </pic:pic>
              </a:graphicData>
            </a:graphic>
          </wp:inline>
        </w:drawing>
      </w:r>
    </w:p>
    <w:p w14:paraId="2B2409F6" w14:textId="4E0DDF85" w:rsidR="0050798D" w:rsidRPr="00B97413" w:rsidRDefault="0050798D" w:rsidP="0050798D">
      <w:pPr>
        <w:spacing w:line="240" w:lineRule="auto"/>
        <w:rPr>
          <w:rFonts w:ascii="Calibri" w:eastAsia="Calibri" w:hAnsi="Calibri" w:cs="Calibri"/>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w:t>
      </w:r>
      <w:r>
        <w:rPr>
          <w:rFonts w:ascii="Calibri" w:eastAsia="Calibri" w:hAnsi="Calibri" w:cs="Calibri"/>
          <w:b/>
          <w:sz w:val="20"/>
          <w:szCs w:val="20"/>
        </w:rPr>
        <w:t>9</w:t>
      </w:r>
      <w:r w:rsidRPr="00B97413">
        <w:rPr>
          <w:rFonts w:ascii="Calibri" w:eastAsia="Calibri" w:hAnsi="Calibri" w:cs="Calibri"/>
          <w:b/>
          <w:sz w:val="20"/>
          <w:szCs w:val="20"/>
        </w:rPr>
        <w:t xml:space="preserve">: </w:t>
      </w:r>
      <w:r w:rsidRPr="0050798D">
        <w:rPr>
          <w:rFonts w:ascii="Calibri" w:eastAsia="Calibri" w:hAnsi="Calibri" w:cs="Calibri"/>
          <w:bCs/>
          <w:sz w:val="20"/>
          <w:szCs w:val="20"/>
        </w:rPr>
        <w:t>N</w:t>
      </w:r>
      <w:r w:rsidRPr="0050798D">
        <w:rPr>
          <w:rFonts w:ascii="Calibri" w:eastAsia="Calibri" w:hAnsi="Calibri" w:cs="Calibri"/>
          <w:sz w:val="20"/>
          <w:szCs w:val="20"/>
        </w:rPr>
        <w:t>umber of cases averted per 1000 population per year by PMC-RTS,S scenario at varying coverage levels</w:t>
      </w:r>
      <w:r>
        <w:rPr>
          <w:rFonts w:ascii="Calibri" w:eastAsia="Calibri" w:hAnsi="Calibri" w:cs="Calibri"/>
          <w:sz w:val="20"/>
          <w:szCs w:val="20"/>
        </w:rPr>
        <w:t xml:space="preserve"> and transmission intensities in children </w:t>
      </w:r>
      <w:r w:rsidRPr="00B97413">
        <w:rPr>
          <w:rFonts w:ascii="Calibri" w:eastAsia="Calibri" w:hAnsi="Calibri" w:cs="Calibri"/>
          <w:sz w:val="20"/>
          <w:szCs w:val="20"/>
        </w:rPr>
        <w:t>and U2 (0-2 years</w:t>
      </w:r>
      <w:r>
        <w:rPr>
          <w:rFonts w:ascii="Calibri" w:eastAsia="Calibri" w:hAnsi="Calibri" w:cs="Calibri"/>
          <w:sz w:val="20"/>
          <w:szCs w:val="20"/>
        </w:rPr>
        <w:t xml:space="preserve"> of age</w:t>
      </w:r>
      <w:r w:rsidRPr="00B97413">
        <w:rPr>
          <w:rFonts w:ascii="Calibri" w:eastAsia="Calibri" w:hAnsi="Calibri" w:cs="Calibri"/>
          <w:sz w:val="20"/>
          <w:szCs w:val="20"/>
        </w:rPr>
        <w:t xml:space="preserve">). </w:t>
      </w:r>
    </w:p>
    <w:p w14:paraId="42CF42DC" w14:textId="77777777" w:rsidR="00B3610D" w:rsidRPr="00B97413" w:rsidRDefault="00B3610D">
      <w:pPr>
        <w:spacing w:line="240" w:lineRule="auto"/>
        <w:rPr>
          <w:rFonts w:ascii="Calibri" w:eastAsia="Calibri" w:hAnsi="Calibri" w:cs="Calibri"/>
          <w:sz w:val="20"/>
          <w:szCs w:val="20"/>
        </w:rPr>
      </w:pPr>
    </w:p>
    <w:p w14:paraId="2444BCED" w14:textId="77777777" w:rsidR="00B3610D" w:rsidRPr="00B97413" w:rsidRDefault="00000000">
      <w:pPr>
        <w:spacing w:line="240" w:lineRule="auto"/>
        <w:rPr>
          <w:rFonts w:ascii="Calibri" w:eastAsia="Calibri" w:hAnsi="Calibri" w:cs="Calibri"/>
          <w:i/>
          <w:sz w:val="20"/>
          <w:szCs w:val="20"/>
        </w:rPr>
      </w:pPr>
      <w:r w:rsidRPr="00B97413">
        <w:rPr>
          <w:rFonts w:ascii="Calibri" w:eastAsia="Calibri" w:hAnsi="Calibri" w:cs="Calibri"/>
          <w:i/>
          <w:noProof/>
          <w:sz w:val="20"/>
          <w:szCs w:val="20"/>
        </w:rPr>
        <w:drawing>
          <wp:inline distT="114300" distB="114300" distL="114300" distR="114300" wp14:anchorId="123FB6CC" wp14:editId="001B8340">
            <wp:extent cx="4391891" cy="2618509"/>
            <wp:effectExtent l="0" t="0" r="8890" b="0"/>
            <wp:docPr id="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37"/>
                    <a:srcRect/>
                    <a:stretch>
                      <a:fillRect/>
                    </a:stretch>
                  </pic:blipFill>
                  <pic:spPr>
                    <a:xfrm>
                      <a:off x="0" y="0"/>
                      <a:ext cx="4397501" cy="2621854"/>
                    </a:xfrm>
                    <a:prstGeom prst="rect">
                      <a:avLst/>
                    </a:prstGeom>
                    <a:ln/>
                  </pic:spPr>
                </pic:pic>
              </a:graphicData>
            </a:graphic>
          </wp:inline>
        </w:drawing>
      </w:r>
    </w:p>
    <w:p w14:paraId="7C10A31D" w14:textId="3E462BC5" w:rsidR="00B3610D" w:rsidRPr="00B97413" w:rsidRDefault="00000000">
      <w:pPr>
        <w:spacing w:line="240" w:lineRule="auto"/>
        <w:rPr>
          <w:rFonts w:ascii="Calibri" w:eastAsia="Calibri" w:hAnsi="Calibri" w:cs="Calibri"/>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w:t>
      </w:r>
      <w:r w:rsidR="0050798D">
        <w:rPr>
          <w:rFonts w:ascii="Calibri" w:eastAsia="Calibri" w:hAnsi="Calibri" w:cs="Calibri"/>
          <w:b/>
          <w:sz w:val="20"/>
          <w:szCs w:val="20"/>
        </w:rPr>
        <w:t>10</w:t>
      </w:r>
      <w:r w:rsidRPr="00B97413">
        <w:rPr>
          <w:rFonts w:ascii="Calibri" w:eastAsia="Calibri" w:hAnsi="Calibri" w:cs="Calibri"/>
          <w:b/>
          <w:sz w:val="20"/>
          <w:szCs w:val="20"/>
        </w:rPr>
        <w:t xml:space="preserve">: </w:t>
      </w:r>
      <w:r w:rsidRPr="00B97413">
        <w:rPr>
          <w:rFonts w:ascii="Calibri" w:eastAsia="Calibri" w:hAnsi="Calibri" w:cs="Calibri"/>
          <w:sz w:val="20"/>
          <w:szCs w:val="20"/>
        </w:rPr>
        <w:t xml:space="preserve">Coverage matrix of PMC and RTS,S and projected relative reductions in clinical and severe malaria in children U2. Projections based on the geographic-agnostic model run at transmission intensity </w:t>
      </w:r>
      <w:r w:rsidR="00676C4F">
        <w:rPr>
          <w:rFonts w:ascii="Calibri" w:eastAsia="Calibri" w:hAnsi="Calibri" w:cs="Calibri"/>
          <w:sz w:val="20"/>
          <w:szCs w:val="20"/>
        </w:rPr>
        <w:t xml:space="preserve">of </w:t>
      </w:r>
      <w:r w:rsidRPr="00B97413">
        <w:rPr>
          <w:rFonts w:ascii="Calibri" w:eastAsia="Calibri" w:hAnsi="Calibri" w:cs="Calibri"/>
          <w:sz w:val="20"/>
          <w:szCs w:val="20"/>
        </w:rPr>
        <w:t xml:space="preserve">32 ibppa and effective treatment coverage at 60% for clinical and 80% for severe cases. </w:t>
      </w:r>
    </w:p>
    <w:p w14:paraId="254E99A1" w14:textId="318A883E" w:rsidR="00B3610D" w:rsidRDefault="00B3610D">
      <w:pPr>
        <w:spacing w:line="240" w:lineRule="auto"/>
        <w:rPr>
          <w:rFonts w:ascii="Calibri" w:eastAsia="Calibri" w:hAnsi="Calibri" w:cs="Calibri"/>
          <w:sz w:val="20"/>
          <w:szCs w:val="20"/>
        </w:rPr>
      </w:pPr>
    </w:p>
    <w:p w14:paraId="2A998A7E" w14:textId="2EFA1EF6" w:rsidR="00491848" w:rsidRDefault="009B7288">
      <w:pPr>
        <w:spacing w:line="240" w:lineRule="auto"/>
        <w:rPr>
          <w:rFonts w:ascii="Calibri" w:eastAsia="Calibri" w:hAnsi="Calibri" w:cs="Calibri"/>
          <w:sz w:val="20"/>
          <w:szCs w:val="20"/>
        </w:rPr>
      </w:pPr>
      <w:r w:rsidRPr="009B7288">
        <w:rPr>
          <w:rFonts w:ascii="Calibri" w:eastAsia="Calibri" w:hAnsi="Calibri" w:cs="Calibri"/>
          <w:noProof/>
          <w:sz w:val="20"/>
          <w:szCs w:val="20"/>
        </w:rPr>
        <w:drawing>
          <wp:inline distT="0" distB="0" distL="0" distR="0" wp14:anchorId="4C828F92" wp14:editId="26FDDCD0">
            <wp:extent cx="5733415" cy="1972310"/>
            <wp:effectExtent l="0" t="0" r="635" b="8890"/>
            <wp:docPr id="32" name="Picture 3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 scatter chart&#10;&#10;Description automatically generated"/>
                    <pic:cNvPicPr/>
                  </pic:nvPicPr>
                  <pic:blipFill>
                    <a:blip r:embed="rId38"/>
                    <a:stretch>
                      <a:fillRect/>
                    </a:stretch>
                  </pic:blipFill>
                  <pic:spPr>
                    <a:xfrm>
                      <a:off x="0" y="0"/>
                      <a:ext cx="5733415" cy="1972310"/>
                    </a:xfrm>
                    <a:prstGeom prst="rect">
                      <a:avLst/>
                    </a:prstGeom>
                  </pic:spPr>
                </pic:pic>
              </a:graphicData>
            </a:graphic>
          </wp:inline>
        </w:drawing>
      </w:r>
    </w:p>
    <w:p w14:paraId="52165C24" w14:textId="4BCD041E" w:rsidR="00491848" w:rsidRPr="00B97413" w:rsidRDefault="00C125AE">
      <w:pPr>
        <w:spacing w:line="240" w:lineRule="auto"/>
        <w:rPr>
          <w:rFonts w:ascii="Calibri" w:eastAsia="Calibri" w:hAnsi="Calibri" w:cs="Calibri"/>
          <w:sz w:val="20"/>
          <w:szCs w:val="20"/>
        </w:rPr>
      </w:pPr>
      <w:r w:rsidRPr="00B97413">
        <w:rPr>
          <w:rFonts w:ascii="Calibri" w:eastAsia="Calibri" w:hAnsi="Calibri" w:cs="Calibri"/>
          <w:b/>
          <w:sz w:val="20"/>
          <w:szCs w:val="20"/>
        </w:rPr>
        <w:t xml:space="preserve">Fig </w:t>
      </w:r>
      <w:r w:rsidR="00071298">
        <w:rPr>
          <w:rFonts w:ascii="Calibri" w:eastAsia="Calibri" w:hAnsi="Calibri" w:cs="Calibri"/>
          <w:b/>
          <w:sz w:val="20"/>
          <w:szCs w:val="20"/>
        </w:rPr>
        <w:t>A</w:t>
      </w:r>
      <w:r w:rsidRPr="00B97413">
        <w:rPr>
          <w:rFonts w:ascii="Calibri" w:eastAsia="Calibri" w:hAnsi="Calibri" w:cs="Calibri"/>
          <w:b/>
          <w:sz w:val="20"/>
          <w:szCs w:val="20"/>
        </w:rPr>
        <w:t>1.2.</w:t>
      </w:r>
      <w:r>
        <w:rPr>
          <w:rFonts w:ascii="Calibri" w:eastAsia="Calibri" w:hAnsi="Calibri" w:cs="Calibri"/>
          <w:b/>
          <w:sz w:val="20"/>
          <w:szCs w:val="20"/>
        </w:rPr>
        <w:t>1</w:t>
      </w:r>
      <w:r w:rsidR="0050798D">
        <w:rPr>
          <w:rFonts w:ascii="Calibri" w:eastAsia="Calibri" w:hAnsi="Calibri" w:cs="Calibri"/>
          <w:b/>
          <w:sz w:val="20"/>
          <w:szCs w:val="20"/>
        </w:rPr>
        <w:t>1</w:t>
      </w:r>
      <w:r w:rsidRPr="00B97413">
        <w:rPr>
          <w:rFonts w:ascii="Calibri" w:eastAsia="Calibri" w:hAnsi="Calibri" w:cs="Calibri"/>
          <w:b/>
          <w:sz w:val="20"/>
          <w:szCs w:val="20"/>
        </w:rPr>
        <w:t>:</w:t>
      </w:r>
      <w:r>
        <w:rPr>
          <w:rFonts w:ascii="Calibri" w:eastAsia="Calibri" w:hAnsi="Calibri" w:cs="Calibri"/>
          <w:b/>
          <w:sz w:val="20"/>
          <w:szCs w:val="20"/>
        </w:rPr>
        <w:t xml:space="preserve"> </w:t>
      </w:r>
      <w:r w:rsidRPr="00A1357E">
        <w:rPr>
          <w:rFonts w:ascii="Calibri" w:eastAsia="Calibri" w:hAnsi="Calibri" w:cs="Calibri"/>
          <w:bCs/>
          <w:sz w:val="20"/>
          <w:szCs w:val="20"/>
        </w:rPr>
        <w:t>Protective efficacies (PE) by PMC coverage per scenario, model type and age group.</w:t>
      </w:r>
      <w:r w:rsidR="007C6EA8">
        <w:rPr>
          <w:rFonts w:ascii="Calibri" w:eastAsia="Calibri" w:hAnsi="Calibri" w:cs="Calibri"/>
          <w:bCs/>
          <w:sz w:val="20"/>
          <w:szCs w:val="20"/>
        </w:rPr>
        <w:t xml:space="preserve"> </w:t>
      </w:r>
      <w:r w:rsidR="007C6EA8" w:rsidRPr="002F2187">
        <w:rPr>
          <w:rFonts w:ascii="Calibri" w:eastAsia="Calibri" w:hAnsi="Calibri" w:cs="Calibri"/>
          <w:b/>
          <w:sz w:val="20"/>
          <w:szCs w:val="20"/>
        </w:rPr>
        <w:t>A)</w:t>
      </w:r>
      <w:r w:rsidR="007C6EA8">
        <w:rPr>
          <w:rFonts w:ascii="Calibri" w:eastAsia="Calibri" w:hAnsi="Calibri" w:cs="Calibri"/>
          <w:bCs/>
          <w:sz w:val="20"/>
          <w:szCs w:val="20"/>
        </w:rPr>
        <w:t xml:space="preserve"> </w:t>
      </w:r>
      <w:r w:rsidR="00F55644">
        <w:rPr>
          <w:rFonts w:ascii="Calibri" w:eastAsia="Calibri" w:hAnsi="Calibri" w:cs="Calibri"/>
          <w:bCs/>
          <w:sz w:val="20"/>
          <w:szCs w:val="20"/>
        </w:rPr>
        <w:t>G</w:t>
      </w:r>
      <w:r w:rsidR="007C6EA8">
        <w:rPr>
          <w:rFonts w:ascii="Calibri" w:eastAsia="Calibri" w:hAnsi="Calibri" w:cs="Calibri"/>
          <w:bCs/>
          <w:sz w:val="20"/>
          <w:szCs w:val="20"/>
        </w:rPr>
        <w:t xml:space="preserve">eographic-agnostic and geographic-specific (see </w:t>
      </w:r>
      <w:r w:rsidR="00235D01">
        <w:rPr>
          <w:rFonts w:ascii="Calibri" w:eastAsia="Calibri" w:hAnsi="Calibri" w:cs="Calibri"/>
          <w:bCs/>
          <w:sz w:val="20"/>
          <w:szCs w:val="20"/>
        </w:rPr>
        <w:t>A</w:t>
      </w:r>
      <w:r w:rsidR="007C6EA8">
        <w:rPr>
          <w:rFonts w:ascii="Calibri" w:eastAsia="Calibri" w:hAnsi="Calibri" w:cs="Calibri"/>
          <w:bCs/>
          <w:sz w:val="20"/>
          <w:szCs w:val="20"/>
        </w:rPr>
        <w:t>1.4) model projections for PMC-3 by coverage level in blue. The grey line and shaded area were derived from the PE for clinical malaria estimated in a Cochrane review [</w:t>
      </w:r>
      <w:r w:rsidR="007465A8">
        <w:rPr>
          <w:rFonts w:ascii="Calibri" w:eastAsia="Calibri" w:hAnsi="Calibri" w:cs="Calibri"/>
          <w:bCs/>
          <w:sz w:val="20"/>
          <w:szCs w:val="20"/>
        </w:rPr>
        <w:t>3</w:t>
      </w:r>
      <w:r w:rsidR="007C6EA8">
        <w:rPr>
          <w:rFonts w:ascii="Calibri" w:eastAsia="Calibri" w:hAnsi="Calibri" w:cs="Calibri"/>
          <w:bCs/>
          <w:sz w:val="20"/>
          <w:szCs w:val="20"/>
        </w:rPr>
        <w:t>] and the black points show the trial specific PEs included in the review</w:t>
      </w:r>
      <w:r w:rsidR="002F2187">
        <w:rPr>
          <w:rFonts w:ascii="Calibri" w:eastAsia="Calibri" w:hAnsi="Calibri" w:cs="Calibri"/>
          <w:bCs/>
          <w:sz w:val="20"/>
          <w:szCs w:val="20"/>
        </w:rPr>
        <w:t xml:space="preserve"> also shown in </w:t>
      </w:r>
      <w:r w:rsidR="002F2187" w:rsidRPr="002F2187">
        <w:rPr>
          <w:rFonts w:ascii="Calibri" w:eastAsia="Calibri" w:hAnsi="Calibri" w:cs="Calibri"/>
          <w:bCs/>
          <w:sz w:val="20"/>
          <w:szCs w:val="20"/>
        </w:rPr>
        <w:t xml:space="preserve">Fig </w:t>
      </w:r>
      <w:r w:rsidR="00071298">
        <w:rPr>
          <w:rFonts w:ascii="Calibri" w:eastAsia="Calibri" w:hAnsi="Calibri" w:cs="Calibri"/>
          <w:bCs/>
          <w:sz w:val="20"/>
          <w:szCs w:val="20"/>
        </w:rPr>
        <w:t>A</w:t>
      </w:r>
      <w:r w:rsidR="002F2187" w:rsidRPr="002F2187">
        <w:rPr>
          <w:rFonts w:ascii="Calibri" w:eastAsia="Calibri" w:hAnsi="Calibri" w:cs="Calibri"/>
          <w:bCs/>
          <w:sz w:val="20"/>
          <w:szCs w:val="20"/>
        </w:rPr>
        <w:t>1.1.1 B</w:t>
      </w:r>
      <w:r w:rsidR="007465A8">
        <w:rPr>
          <w:rFonts w:ascii="Calibri" w:eastAsia="Calibri" w:hAnsi="Calibri" w:cs="Calibri"/>
          <w:bCs/>
          <w:sz w:val="20"/>
          <w:szCs w:val="20"/>
        </w:rPr>
        <w:t xml:space="preserve">, obtained </w:t>
      </w:r>
      <w:r w:rsidR="007465A8">
        <w:rPr>
          <w:rFonts w:ascii="Calibri" w:eastAsia="Calibri" w:hAnsi="Calibri" w:cs="Calibri"/>
          <w:bCs/>
          <w:sz w:val="20"/>
          <w:szCs w:val="20"/>
        </w:rPr>
        <w:lastRenderedPageBreak/>
        <w:t>from</w:t>
      </w:r>
      <w:r w:rsidR="007C6EA8">
        <w:rPr>
          <w:rFonts w:ascii="Calibri" w:eastAsia="Calibri" w:hAnsi="Calibri" w:cs="Calibri"/>
          <w:bCs/>
          <w:sz w:val="20"/>
          <w:szCs w:val="20"/>
        </w:rPr>
        <w:t xml:space="preserve"> [</w:t>
      </w:r>
      <w:r w:rsidR="007465A8">
        <w:rPr>
          <w:rFonts w:ascii="Calibri" w:eastAsia="Calibri" w:hAnsi="Calibri" w:cs="Calibri"/>
          <w:bCs/>
          <w:sz w:val="20"/>
          <w:szCs w:val="20"/>
        </w:rPr>
        <w:t>2</w:t>
      </w:r>
      <w:r w:rsidR="007C6EA8">
        <w:rPr>
          <w:rFonts w:ascii="Calibri" w:eastAsia="Calibri" w:hAnsi="Calibri" w:cs="Calibri"/>
          <w:bCs/>
          <w:sz w:val="20"/>
          <w:szCs w:val="20"/>
        </w:rPr>
        <w:t>].</w:t>
      </w:r>
      <w:r w:rsidR="00F55644">
        <w:rPr>
          <w:rFonts w:ascii="Calibri" w:eastAsia="Calibri" w:hAnsi="Calibri" w:cs="Calibri"/>
          <w:bCs/>
          <w:sz w:val="20"/>
          <w:szCs w:val="20"/>
        </w:rPr>
        <w:t xml:space="preserve"> </w:t>
      </w:r>
      <w:r w:rsidR="00F55644" w:rsidRPr="002F2187">
        <w:rPr>
          <w:rFonts w:ascii="Calibri" w:eastAsia="Calibri" w:hAnsi="Calibri" w:cs="Calibri"/>
          <w:b/>
          <w:sz w:val="20"/>
          <w:szCs w:val="20"/>
        </w:rPr>
        <w:t>B)</w:t>
      </w:r>
      <w:r w:rsidR="00F55644">
        <w:rPr>
          <w:rFonts w:ascii="Calibri" w:eastAsia="Calibri" w:hAnsi="Calibri" w:cs="Calibri"/>
          <w:bCs/>
          <w:sz w:val="20"/>
          <w:szCs w:val="20"/>
        </w:rPr>
        <w:t xml:space="preserve"> Geographic-agnostic and geographic-specific (see </w:t>
      </w:r>
      <w:r w:rsidR="00235D01">
        <w:rPr>
          <w:rFonts w:ascii="Calibri" w:eastAsia="Calibri" w:hAnsi="Calibri" w:cs="Calibri"/>
          <w:bCs/>
          <w:sz w:val="20"/>
          <w:szCs w:val="20"/>
        </w:rPr>
        <w:t>A</w:t>
      </w:r>
      <w:r w:rsidR="00F55644">
        <w:rPr>
          <w:rFonts w:ascii="Calibri" w:eastAsia="Calibri" w:hAnsi="Calibri" w:cs="Calibri"/>
          <w:bCs/>
          <w:sz w:val="20"/>
          <w:szCs w:val="20"/>
        </w:rPr>
        <w:t>1.4) model projections for several PMC scenarios by coverage level in comparison for children under 1 or under 2 years.</w:t>
      </w:r>
      <w:r w:rsidR="00D82715">
        <w:rPr>
          <w:rFonts w:ascii="Calibri" w:eastAsia="Calibri" w:hAnsi="Calibri" w:cs="Calibri"/>
          <w:bCs/>
          <w:sz w:val="20"/>
          <w:szCs w:val="20"/>
        </w:rPr>
        <w:t xml:space="preserve"> </w:t>
      </w:r>
    </w:p>
    <w:p w14:paraId="53688656" w14:textId="560D44B1" w:rsidR="00B3610D" w:rsidRPr="00B97413" w:rsidRDefault="00071298">
      <w:pPr>
        <w:pStyle w:val="Heading2"/>
        <w:rPr>
          <w:rFonts w:ascii="Calibri" w:eastAsia="Calibri" w:hAnsi="Calibri" w:cs="Calibri"/>
          <w:b/>
          <w:sz w:val="28"/>
          <w:szCs w:val="28"/>
        </w:rPr>
      </w:pPr>
      <w:bookmarkStart w:id="9" w:name="_Toc130051870"/>
      <w:r>
        <w:rPr>
          <w:rFonts w:ascii="Calibri" w:eastAsia="Calibri" w:hAnsi="Calibri" w:cs="Calibri"/>
          <w:b/>
          <w:sz w:val="28"/>
          <w:szCs w:val="28"/>
        </w:rPr>
        <w:t>A</w:t>
      </w:r>
      <w:r w:rsidRPr="00B97413">
        <w:rPr>
          <w:rFonts w:ascii="Calibri" w:eastAsia="Calibri" w:hAnsi="Calibri" w:cs="Calibri"/>
          <w:b/>
          <w:sz w:val="28"/>
          <w:szCs w:val="28"/>
        </w:rPr>
        <w:t>1.3: Sensitivity analysis, exploration of parameter uncertainty</w:t>
      </w:r>
      <w:bookmarkEnd w:id="9"/>
      <w:r w:rsidRPr="00B97413">
        <w:rPr>
          <w:rFonts w:ascii="Calibri" w:eastAsia="Calibri" w:hAnsi="Calibri" w:cs="Calibri"/>
          <w:b/>
          <w:sz w:val="28"/>
          <w:szCs w:val="28"/>
        </w:rPr>
        <w:t xml:space="preserve"> </w:t>
      </w:r>
    </w:p>
    <w:p w14:paraId="6BF66AB4" w14:textId="77777777" w:rsidR="00B3610D" w:rsidRPr="00B97413" w:rsidRDefault="00000000">
      <w:pPr>
        <w:rPr>
          <w:rFonts w:ascii="Calibri" w:eastAsia="Calibri" w:hAnsi="Calibri" w:cs="Calibri"/>
        </w:rPr>
      </w:pPr>
      <w:r w:rsidRPr="00B97413">
        <w:rPr>
          <w:rFonts w:ascii="Calibri" w:eastAsia="Calibri" w:hAnsi="Calibri" w:cs="Calibri"/>
        </w:rPr>
        <w:t xml:space="preserve">The generic model setup was further used to explore different assumptions on specific parameters that are known or hypothesized to be associated with malaria incidence in infants or directly with the intervention impact. Parameters explored include a) intervention related parameters, such as coverage and timing of PMC doses, as well as correlation between coverage of PMC and RTS,S, or b) biological and context related parameters, such as maternal antibody protection, birth rate seasonality, and case management coverage levels. </w:t>
      </w:r>
    </w:p>
    <w:p w14:paraId="2DA80FFC" w14:textId="77777777" w:rsidR="00B3610D" w:rsidRPr="00B97413" w:rsidRDefault="00B3610D">
      <w:pPr>
        <w:rPr>
          <w:rFonts w:ascii="Calibri" w:eastAsia="Calibri" w:hAnsi="Calibri" w:cs="Calibri"/>
        </w:rPr>
      </w:pPr>
    </w:p>
    <w:p w14:paraId="237A09DF" w14:textId="77777777" w:rsidR="00B3610D" w:rsidRPr="00B97413" w:rsidRDefault="00000000">
      <w:pPr>
        <w:pStyle w:val="Heading3"/>
        <w:spacing w:before="0" w:after="0"/>
        <w:rPr>
          <w:rFonts w:ascii="Calibri" w:eastAsia="Calibri" w:hAnsi="Calibri" w:cs="Calibri"/>
          <w:color w:val="auto"/>
          <w:sz w:val="24"/>
          <w:szCs w:val="24"/>
        </w:rPr>
      </w:pPr>
      <w:bookmarkStart w:id="10" w:name="_Toc130051871"/>
      <w:r w:rsidRPr="00B97413">
        <w:rPr>
          <w:rFonts w:ascii="Calibri" w:eastAsia="Calibri" w:hAnsi="Calibri" w:cs="Calibri"/>
          <w:color w:val="auto"/>
          <w:sz w:val="24"/>
          <w:szCs w:val="24"/>
        </w:rPr>
        <w:t>Completeness of PMC doses</w:t>
      </w:r>
      <w:bookmarkEnd w:id="10"/>
      <w:r w:rsidRPr="00B97413">
        <w:rPr>
          <w:rFonts w:ascii="Calibri" w:eastAsia="Calibri" w:hAnsi="Calibri" w:cs="Calibri"/>
          <w:color w:val="auto"/>
          <w:sz w:val="24"/>
          <w:szCs w:val="24"/>
        </w:rPr>
        <w:t xml:space="preserve"> </w:t>
      </w:r>
    </w:p>
    <w:p w14:paraId="1BD962E4" w14:textId="1FD56190" w:rsidR="00B3610D" w:rsidRPr="00B97413" w:rsidRDefault="00000000">
      <w:r w:rsidRPr="00B97413">
        <w:rPr>
          <w:rFonts w:ascii="Calibri" w:eastAsia="Calibri" w:hAnsi="Calibri" w:cs="Calibri"/>
        </w:rPr>
        <w:t xml:space="preserve">In total, three coverage scenarios were explored, a target coverage of 80% randomly distributed, a target coverage of 80% to the same children each dose and an operational coverage scenario with varying coverage per touchpoint informed by EPI coverage (Fig </w:t>
      </w:r>
      <w:r w:rsidR="00235D01">
        <w:rPr>
          <w:rFonts w:ascii="Calibri" w:eastAsia="Calibri" w:hAnsi="Calibri" w:cs="Calibri"/>
        </w:rPr>
        <w:t>A</w:t>
      </w:r>
      <w:r w:rsidRPr="00B97413">
        <w:rPr>
          <w:rFonts w:ascii="Calibri" w:eastAsia="Calibri" w:hAnsi="Calibri" w:cs="Calibri"/>
        </w:rPr>
        <w:t xml:space="preserve">1.3.1-3). The number of PMC doses received per child varied from 2.4-5.6, 3-7, and 1.9-3.9 doses across PMC doses for each of the coverage scenarios respectively. The two coverage scenarios at 80% resulted in the same impact predictions since the subpopulations of receiving PMC or not distinguished in any other characteristics such as transmission risk or access to case management or other interventions. </w:t>
      </w:r>
    </w:p>
    <w:p w14:paraId="7DB3851D" w14:textId="77777777" w:rsidR="00B3610D" w:rsidRPr="00B97413" w:rsidRDefault="00000000">
      <w:r w:rsidRPr="00B97413">
        <w:rPr>
          <w:noProof/>
        </w:rPr>
        <w:drawing>
          <wp:inline distT="114300" distB="114300" distL="114300" distR="114300" wp14:anchorId="0EDBF364" wp14:editId="2714F24F">
            <wp:extent cx="5291398" cy="3700463"/>
            <wp:effectExtent l="0" t="0" r="0" b="0"/>
            <wp:docPr id="20"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9"/>
                    <a:srcRect t="61" b="61"/>
                    <a:stretch>
                      <a:fillRect/>
                    </a:stretch>
                  </pic:blipFill>
                  <pic:spPr>
                    <a:xfrm>
                      <a:off x="0" y="0"/>
                      <a:ext cx="5291398" cy="3700463"/>
                    </a:xfrm>
                    <a:prstGeom prst="rect">
                      <a:avLst/>
                    </a:prstGeom>
                    <a:ln/>
                  </pic:spPr>
                </pic:pic>
              </a:graphicData>
            </a:graphic>
          </wp:inline>
        </w:drawing>
      </w:r>
    </w:p>
    <w:p w14:paraId="6B06A3E4" w14:textId="69948B5C" w:rsidR="00B3610D" w:rsidRPr="00071298" w:rsidRDefault="00000000">
      <w:pPr>
        <w:rPr>
          <w:rFonts w:ascii="Calibri" w:eastAsia="Calibri" w:hAnsi="Calibri" w:cs="Calibri"/>
          <w:b/>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1.3.1: </w:t>
      </w:r>
      <w:r w:rsidRPr="00071298">
        <w:rPr>
          <w:rFonts w:ascii="Calibri" w:eastAsia="Calibri" w:hAnsi="Calibri" w:cs="Calibri"/>
          <w:bCs/>
          <w:sz w:val="20"/>
          <w:szCs w:val="20"/>
        </w:rPr>
        <w:t>Individual PMC coverage per dose at target coverage (80%).</w:t>
      </w:r>
    </w:p>
    <w:p w14:paraId="78CA537E" w14:textId="77777777" w:rsidR="00B3610D" w:rsidRPr="00B97413" w:rsidRDefault="00B3610D">
      <w:pPr>
        <w:rPr>
          <w:rFonts w:ascii="Calibri" w:eastAsia="Calibri" w:hAnsi="Calibri" w:cs="Calibri"/>
          <w:b/>
        </w:rPr>
      </w:pPr>
    </w:p>
    <w:p w14:paraId="04F1F7BF" w14:textId="77777777" w:rsidR="00B3610D" w:rsidRPr="00B97413" w:rsidRDefault="00000000">
      <w:pPr>
        <w:rPr>
          <w:rFonts w:ascii="Calibri" w:eastAsia="Calibri" w:hAnsi="Calibri" w:cs="Calibri"/>
          <w:b/>
        </w:rPr>
      </w:pPr>
      <w:r w:rsidRPr="00B97413">
        <w:rPr>
          <w:noProof/>
        </w:rPr>
        <w:lastRenderedPageBreak/>
        <w:drawing>
          <wp:inline distT="114300" distB="114300" distL="114300" distR="114300" wp14:anchorId="69A09644" wp14:editId="50B1992D">
            <wp:extent cx="5492606" cy="3841175"/>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0"/>
                    <a:srcRect t="61" b="61"/>
                    <a:stretch>
                      <a:fillRect/>
                    </a:stretch>
                  </pic:blipFill>
                  <pic:spPr>
                    <a:xfrm>
                      <a:off x="0" y="0"/>
                      <a:ext cx="5492606" cy="3841175"/>
                    </a:xfrm>
                    <a:prstGeom prst="rect">
                      <a:avLst/>
                    </a:prstGeom>
                    <a:ln/>
                  </pic:spPr>
                </pic:pic>
              </a:graphicData>
            </a:graphic>
          </wp:inline>
        </w:drawing>
      </w:r>
    </w:p>
    <w:p w14:paraId="69C3E82E" w14:textId="0CAB14B3" w:rsidR="00B3610D" w:rsidRPr="00071298" w:rsidRDefault="00000000">
      <w:pPr>
        <w:rPr>
          <w:rFonts w:ascii="Calibri" w:eastAsia="Calibri" w:hAnsi="Calibri" w:cs="Calibri"/>
          <w:b/>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1.3.2:</w:t>
      </w:r>
      <w:r w:rsidR="000151A4">
        <w:rPr>
          <w:rFonts w:ascii="Calibri" w:eastAsia="Calibri" w:hAnsi="Calibri" w:cs="Calibri"/>
          <w:b/>
          <w:sz w:val="20"/>
          <w:szCs w:val="20"/>
        </w:rPr>
        <w:t xml:space="preserve"> </w:t>
      </w:r>
      <w:r w:rsidRPr="00071298">
        <w:rPr>
          <w:rFonts w:ascii="Calibri" w:eastAsia="Calibri" w:hAnsi="Calibri" w:cs="Calibri"/>
          <w:bCs/>
          <w:sz w:val="20"/>
          <w:szCs w:val="20"/>
        </w:rPr>
        <w:t>Individual PMC coverage per dose at operational coverage.</w:t>
      </w:r>
    </w:p>
    <w:p w14:paraId="1BAF13BD" w14:textId="77777777" w:rsidR="00B3610D" w:rsidRPr="00B97413" w:rsidRDefault="00B3610D">
      <w:pPr>
        <w:rPr>
          <w:rFonts w:ascii="Calibri" w:eastAsia="Calibri" w:hAnsi="Calibri" w:cs="Calibri"/>
          <w:b/>
        </w:rPr>
      </w:pPr>
    </w:p>
    <w:p w14:paraId="6464A80A" w14:textId="77777777" w:rsidR="00B3610D" w:rsidRPr="00B97413" w:rsidRDefault="00000000">
      <w:pPr>
        <w:rPr>
          <w:rFonts w:ascii="Calibri" w:eastAsia="Calibri" w:hAnsi="Calibri" w:cs="Calibri"/>
          <w:b/>
        </w:rPr>
      </w:pPr>
      <w:r w:rsidRPr="00B97413">
        <w:rPr>
          <w:rFonts w:ascii="Calibri" w:eastAsia="Calibri" w:hAnsi="Calibri" w:cs="Calibri"/>
          <w:b/>
          <w:noProof/>
        </w:rPr>
        <w:drawing>
          <wp:inline distT="114300" distB="114300" distL="114300" distR="114300" wp14:anchorId="484E3175" wp14:editId="7ACC34BC">
            <wp:extent cx="5731200" cy="4013200"/>
            <wp:effectExtent l="0" t="0" r="0" b="0"/>
            <wp:docPr id="21"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1"/>
                    <a:srcRect/>
                    <a:stretch>
                      <a:fillRect/>
                    </a:stretch>
                  </pic:blipFill>
                  <pic:spPr>
                    <a:xfrm>
                      <a:off x="0" y="0"/>
                      <a:ext cx="5731200" cy="4013200"/>
                    </a:xfrm>
                    <a:prstGeom prst="rect">
                      <a:avLst/>
                    </a:prstGeom>
                    <a:ln/>
                  </pic:spPr>
                </pic:pic>
              </a:graphicData>
            </a:graphic>
          </wp:inline>
        </w:drawing>
      </w:r>
    </w:p>
    <w:p w14:paraId="0E589114" w14:textId="025CA9B4" w:rsidR="00B3610D" w:rsidRPr="00071298" w:rsidRDefault="00000000">
      <w:pPr>
        <w:rPr>
          <w:rFonts w:ascii="Calibri" w:eastAsia="Calibri" w:hAnsi="Calibri" w:cs="Calibri"/>
          <w:b/>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1.3.3:</w:t>
      </w:r>
      <w:r w:rsidR="000151A4">
        <w:rPr>
          <w:rFonts w:ascii="Calibri" w:eastAsia="Calibri" w:hAnsi="Calibri" w:cs="Calibri"/>
          <w:b/>
          <w:sz w:val="20"/>
          <w:szCs w:val="20"/>
        </w:rPr>
        <w:t xml:space="preserve"> </w:t>
      </w:r>
      <w:r w:rsidRPr="00071298">
        <w:rPr>
          <w:rFonts w:ascii="Calibri" w:eastAsia="Calibri" w:hAnsi="Calibri" w:cs="Calibri"/>
          <w:bCs/>
          <w:sz w:val="20"/>
          <w:szCs w:val="20"/>
        </w:rPr>
        <w:t>Individual PMC coverage per dose at complete 80% coverage.</w:t>
      </w:r>
    </w:p>
    <w:p w14:paraId="1E87D785" w14:textId="77777777" w:rsidR="00B3610D" w:rsidRPr="00B97413" w:rsidRDefault="00000000">
      <w:pPr>
        <w:pStyle w:val="Heading3"/>
        <w:spacing w:before="0" w:after="0"/>
        <w:rPr>
          <w:rFonts w:ascii="Calibri" w:eastAsia="Calibri" w:hAnsi="Calibri" w:cs="Calibri"/>
          <w:color w:val="auto"/>
          <w:sz w:val="24"/>
          <w:szCs w:val="24"/>
        </w:rPr>
      </w:pPr>
      <w:bookmarkStart w:id="11" w:name="_t11lmkbqzah9" w:colFirst="0" w:colLast="0"/>
      <w:bookmarkStart w:id="12" w:name="_cw3lwdlgyi9h" w:colFirst="0" w:colLast="0"/>
      <w:bookmarkStart w:id="13" w:name="_Toc130051872"/>
      <w:bookmarkEnd w:id="11"/>
      <w:bookmarkEnd w:id="12"/>
      <w:r w:rsidRPr="00B97413">
        <w:rPr>
          <w:rFonts w:ascii="Calibri" w:eastAsia="Calibri" w:hAnsi="Calibri" w:cs="Calibri"/>
          <w:color w:val="auto"/>
          <w:sz w:val="24"/>
          <w:szCs w:val="24"/>
        </w:rPr>
        <w:lastRenderedPageBreak/>
        <w:t>Clinical treatment coverage</w:t>
      </w:r>
      <w:bookmarkEnd w:id="13"/>
      <w:r w:rsidRPr="00B97413">
        <w:rPr>
          <w:rFonts w:ascii="Calibri" w:eastAsia="Calibri" w:hAnsi="Calibri" w:cs="Calibri"/>
          <w:color w:val="auto"/>
          <w:sz w:val="24"/>
          <w:szCs w:val="24"/>
        </w:rPr>
        <w:t xml:space="preserve"> </w:t>
      </w:r>
    </w:p>
    <w:p w14:paraId="5C63D332" w14:textId="3663264C" w:rsidR="00B3610D" w:rsidRDefault="00000000">
      <w:pPr>
        <w:rPr>
          <w:rFonts w:ascii="Calibri" w:eastAsia="Calibri" w:hAnsi="Calibri" w:cs="Calibri"/>
        </w:rPr>
      </w:pPr>
      <w:r w:rsidRPr="00B97413">
        <w:rPr>
          <w:rFonts w:ascii="Calibri" w:eastAsia="Calibri" w:hAnsi="Calibri" w:cs="Calibri"/>
        </w:rPr>
        <w:t>Additional scenarios were run in which the clinical treatment coverage was varied as well as the PMC coverage, whereas the transmission intensity was held constant at 32 ibpa. PMC was simulated with 3 doses during the first year of life and results presented for children U1. The influence of the clinical treatment coverage differed</w:t>
      </w:r>
      <w:r w:rsidR="000151A4">
        <w:rPr>
          <w:rFonts w:ascii="Calibri" w:eastAsia="Calibri" w:hAnsi="Calibri" w:cs="Calibri"/>
        </w:rPr>
        <w:t xml:space="preserve"> </w:t>
      </w:r>
      <w:r w:rsidRPr="00B97413">
        <w:rPr>
          <w:rFonts w:ascii="Calibri" w:eastAsia="Calibri" w:hAnsi="Calibri" w:cs="Calibri"/>
        </w:rPr>
        <w:t>for clinical and severe malaria with slightly more clinical cases averted by PMC</w:t>
      </w:r>
      <w:r w:rsidR="005B78C1">
        <w:rPr>
          <w:rFonts w:ascii="Calibri" w:eastAsia="Calibri" w:hAnsi="Calibri" w:cs="Calibri"/>
        </w:rPr>
        <w:t>,</w:t>
      </w:r>
      <w:r w:rsidRPr="00B97413">
        <w:rPr>
          <w:rFonts w:ascii="Calibri" w:eastAsia="Calibri" w:hAnsi="Calibri" w:cs="Calibri"/>
        </w:rPr>
        <w:t xml:space="preserve"> but fewer severe cases averted by PMC when treatment coverage of clinical cases was high. In EMOD, treating more clinical episodes and clearing more infections allows more individuals to experience a next episode sooner, hence increasing the total number of cases. On a relative scale, the projected relative reduction in cases due to PMC was indistinguishable across the simulated clinical treatment coverage levels (Fig </w:t>
      </w:r>
      <w:r w:rsidR="00071298">
        <w:rPr>
          <w:rFonts w:ascii="Calibri" w:eastAsia="Calibri" w:hAnsi="Calibri" w:cs="Calibri"/>
        </w:rPr>
        <w:t>A</w:t>
      </w:r>
      <w:r w:rsidRPr="00B97413">
        <w:rPr>
          <w:rFonts w:ascii="Calibri" w:eastAsia="Calibri" w:hAnsi="Calibri" w:cs="Calibri"/>
        </w:rPr>
        <w:t>1.3.2).</w:t>
      </w:r>
    </w:p>
    <w:p w14:paraId="2DCB88F7" w14:textId="77777777" w:rsidR="00B97413" w:rsidRPr="00B97413" w:rsidRDefault="00B97413">
      <w:pPr>
        <w:rPr>
          <w:rFonts w:ascii="Calibri" w:eastAsia="Calibri" w:hAnsi="Calibri" w:cs="Calibri"/>
        </w:rPr>
      </w:pPr>
    </w:p>
    <w:p w14:paraId="7CAA02BF" w14:textId="77777777" w:rsidR="00B3610D" w:rsidRPr="00B97413" w:rsidRDefault="00000000">
      <w:pPr>
        <w:rPr>
          <w:rFonts w:ascii="Calibri" w:eastAsia="Calibri" w:hAnsi="Calibri" w:cs="Calibri"/>
        </w:rPr>
      </w:pPr>
      <w:r w:rsidRPr="00B97413">
        <w:rPr>
          <w:rFonts w:ascii="Calibri" w:eastAsia="Calibri" w:hAnsi="Calibri" w:cs="Calibri"/>
          <w:noProof/>
        </w:rPr>
        <w:drawing>
          <wp:inline distT="114300" distB="114300" distL="114300" distR="114300" wp14:anchorId="07100B55" wp14:editId="0D8F7940">
            <wp:extent cx="5731200" cy="3657600"/>
            <wp:effectExtent l="0" t="0" r="0" b="0"/>
            <wp:docPr id="13"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42"/>
                    <a:srcRect/>
                    <a:stretch>
                      <a:fillRect/>
                    </a:stretch>
                  </pic:blipFill>
                  <pic:spPr>
                    <a:xfrm>
                      <a:off x="0" y="0"/>
                      <a:ext cx="5731200" cy="3657600"/>
                    </a:xfrm>
                    <a:prstGeom prst="rect">
                      <a:avLst/>
                    </a:prstGeom>
                    <a:ln/>
                  </pic:spPr>
                </pic:pic>
              </a:graphicData>
            </a:graphic>
          </wp:inline>
        </w:drawing>
      </w:r>
    </w:p>
    <w:p w14:paraId="21385492" w14:textId="2C98488C" w:rsidR="00B3610D" w:rsidRPr="00071298" w:rsidRDefault="00000000">
      <w:pPr>
        <w:rPr>
          <w:rFonts w:ascii="Calibri" w:eastAsia="Calibri" w:hAnsi="Calibri" w:cs="Calibri"/>
          <w:i/>
          <w:sz w:val="18"/>
          <w:szCs w:val="18"/>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1.3.2: </w:t>
      </w:r>
      <w:r w:rsidRPr="00071298">
        <w:rPr>
          <w:rFonts w:ascii="Calibri" w:eastAsia="Calibri" w:hAnsi="Calibri" w:cs="Calibri"/>
          <w:sz w:val="20"/>
          <w:szCs w:val="20"/>
        </w:rPr>
        <w:t xml:space="preserve">Clinical and severe </w:t>
      </w:r>
      <w:r w:rsidRPr="00071298">
        <w:rPr>
          <w:rFonts w:ascii="Calibri" w:eastAsia="Calibri" w:hAnsi="Calibri" w:cs="Calibri"/>
          <w:b/>
          <w:sz w:val="20"/>
          <w:szCs w:val="20"/>
        </w:rPr>
        <w:t>c</w:t>
      </w:r>
      <w:r w:rsidRPr="00071298">
        <w:rPr>
          <w:rFonts w:ascii="Calibri" w:eastAsia="Calibri" w:hAnsi="Calibri" w:cs="Calibri"/>
          <w:sz w:val="20"/>
          <w:szCs w:val="20"/>
        </w:rPr>
        <w:t xml:space="preserve">ases averted (A) and relative reductions (B) in children U1 for PMC-3 at case management coverage intervals of 20%. Simulations ran for </w:t>
      </w:r>
      <w:r w:rsidR="00071298" w:rsidRPr="00071298">
        <w:rPr>
          <w:rFonts w:ascii="Calibri" w:eastAsia="Calibri" w:hAnsi="Calibri" w:cs="Calibri"/>
          <w:sz w:val="20"/>
          <w:szCs w:val="20"/>
        </w:rPr>
        <w:t xml:space="preserve">a </w:t>
      </w:r>
      <w:r w:rsidRPr="00071298">
        <w:rPr>
          <w:rFonts w:ascii="Calibri" w:eastAsia="Calibri" w:hAnsi="Calibri" w:cs="Calibri"/>
          <w:sz w:val="20"/>
          <w:szCs w:val="20"/>
        </w:rPr>
        <w:t xml:space="preserve">transmission intensity </w:t>
      </w:r>
      <w:r w:rsidR="00071298" w:rsidRPr="00071298">
        <w:rPr>
          <w:rFonts w:ascii="Calibri" w:eastAsia="Calibri" w:hAnsi="Calibri" w:cs="Calibri"/>
          <w:sz w:val="20"/>
          <w:szCs w:val="20"/>
        </w:rPr>
        <w:t xml:space="preserve">of </w:t>
      </w:r>
      <w:r w:rsidRPr="00071298">
        <w:rPr>
          <w:rFonts w:ascii="Calibri" w:eastAsia="Calibri" w:hAnsi="Calibri" w:cs="Calibri"/>
          <w:sz w:val="20"/>
          <w:szCs w:val="20"/>
        </w:rPr>
        <w:t>EIR = 32 ibpa.</w:t>
      </w:r>
    </w:p>
    <w:p w14:paraId="09113032" w14:textId="77777777" w:rsidR="00B3610D" w:rsidRPr="00B97413" w:rsidRDefault="00B3610D">
      <w:pPr>
        <w:spacing w:line="240" w:lineRule="auto"/>
        <w:rPr>
          <w:rFonts w:ascii="Calibri" w:eastAsia="Calibri" w:hAnsi="Calibri" w:cs="Calibri"/>
          <w:b/>
          <w:sz w:val="20"/>
          <w:szCs w:val="20"/>
        </w:rPr>
      </w:pPr>
    </w:p>
    <w:p w14:paraId="7372A8C1" w14:textId="77777777" w:rsidR="00B3610D" w:rsidRPr="00B97413" w:rsidRDefault="00000000">
      <w:pPr>
        <w:pStyle w:val="Heading3"/>
        <w:spacing w:after="0"/>
        <w:rPr>
          <w:rFonts w:ascii="Calibri" w:eastAsia="Calibri" w:hAnsi="Calibri" w:cs="Calibri"/>
          <w:color w:val="auto"/>
          <w:sz w:val="24"/>
          <w:szCs w:val="24"/>
        </w:rPr>
      </w:pPr>
      <w:bookmarkStart w:id="14" w:name="_Toc130051873"/>
      <w:r w:rsidRPr="00B97413">
        <w:rPr>
          <w:rFonts w:ascii="Calibri" w:eastAsia="Calibri" w:hAnsi="Calibri" w:cs="Calibri"/>
          <w:color w:val="auto"/>
          <w:sz w:val="24"/>
          <w:szCs w:val="24"/>
        </w:rPr>
        <w:t>Age-varying clinical treatment coverage</w:t>
      </w:r>
      <w:bookmarkEnd w:id="14"/>
      <w:r w:rsidRPr="00B97413">
        <w:rPr>
          <w:rFonts w:ascii="Calibri" w:eastAsia="Calibri" w:hAnsi="Calibri" w:cs="Calibri"/>
          <w:color w:val="auto"/>
          <w:sz w:val="24"/>
          <w:szCs w:val="24"/>
        </w:rPr>
        <w:t xml:space="preserve"> </w:t>
      </w:r>
    </w:p>
    <w:p w14:paraId="10C0F5F8" w14:textId="4D374892" w:rsidR="00B3610D" w:rsidRPr="00B97413" w:rsidRDefault="00000000">
      <w:pPr>
        <w:rPr>
          <w:rFonts w:ascii="Calibri" w:eastAsia="Calibri" w:hAnsi="Calibri" w:cs="Calibri"/>
        </w:rPr>
      </w:pPr>
      <w:r w:rsidRPr="00B97413">
        <w:rPr>
          <w:rFonts w:ascii="Calibri" w:eastAsia="Calibri" w:hAnsi="Calibri" w:cs="Calibri"/>
        </w:rPr>
        <w:t>In the model, the same treatment coverage was assumed</w:t>
      </w:r>
      <w:r w:rsidR="000151A4">
        <w:rPr>
          <w:rFonts w:ascii="Calibri" w:eastAsia="Calibri" w:hAnsi="Calibri" w:cs="Calibri"/>
        </w:rPr>
        <w:t xml:space="preserve"> </w:t>
      </w:r>
      <w:r w:rsidRPr="00B97413">
        <w:rPr>
          <w:rFonts w:ascii="Calibri" w:eastAsia="Calibri" w:hAnsi="Calibri" w:cs="Calibri"/>
        </w:rPr>
        <w:t xml:space="preserve">for children under the age of 5 years. In practice infants are more likely to be taken to a health facility than older children. For instance a study in Sierra Leone found a drop in case management by 7% and by 13% in children aged 12-35 or 36-59 months respectively compared to case management in children &lt;12 months of age </w:t>
      </w:r>
      <w:hyperlink r:id="rId43">
        <w:r w:rsidRPr="00B97413">
          <w:rPr>
            <w:rFonts w:ascii="Calibri" w:eastAsia="Calibri" w:hAnsi="Calibri" w:cs="Calibri"/>
          </w:rPr>
          <w:t>[12]</w:t>
        </w:r>
      </w:hyperlink>
      <w:r w:rsidRPr="00B97413">
        <w:rPr>
          <w:rFonts w:ascii="Calibri" w:eastAsia="Calibri" w:hAnsi="Calibri" w:cs="Calibri"/>
        </w:rPr>
        <w:t xml:space="preserve">. To explore the influence of age-varying case management rate on the simulation results, additional scenarios were run including this variation. Compared to homogeneous treatment coverage, a decrease in treatment coverage by age resulted in more clinical but fewer severe episodes (Fig </w:t>
      </w:r>
      <w:r w:rsidR="00071298">
        <w:rPr>
          <w:rFonts w:ascii="Calibri" w:eastAsia="Calibri" w:hAnsi="Calibri" w:cs="Calibri"/>
        </w:rPr>
        <w:t>A</w:t>
      </w:r>
      <w:r w:rsidRPr="00B97413">
        <w:rPr>
          <w:rFonts w:ascii="Calibri" w:eastAsia="Calibri" w:hAnsi="Calibri" w:cs="Calibri"/>
        </w:rPr>
        <w:t xml:space="preserve">1.3.3). </w:t>
      </w:r>
    </w:p>
    <w:p w14:paraId="55A8D654" w14:textId="77777777" w:rsidR="00B3610D" w:rsidRPr="00B97413" w:rsidRDefault="00B3610D">
      <w:pPr>
        <w:rPr>
          <w:rFonts w:ascii="Calibri" w:eastAsia="Calibri" w:hAnsi="Calibri" w:cs="Calibri"/>
        </w:rPr>
      </w:pPr>
    </w:p>
    <w:p w14:paraId="493326F0" w14:textId="77777777" w:rsidR="00B3610D" w:rsidRPr="00B97413" w:rsidRDefault="00B3610D">
      <w:pPr>
        <w:rPr>
          <w:rFonts w:ascii="Calibri" w:eastAsia="Calibri" w:hAnsi="Calibri" w:cs="Calibri"/>
        </w:rPr>
      </w:pPr>
    </w:p>
    <w:p w14:paraId="4A699789" w14:textId="77777777" w:rsidR="00B3610D" w:rsidRPr="00B97413" w:rsidRDefault="00000000">
      <w:pPr>
        <w:rPr>
          <w:rFonts w:ascii="Calibri" w:eastAsia="Calibri" w:hAnsi="Calibri" w:cs="Calibri"/>
        </w:rPr>
      </w:pPr>
      <w:r w:rsidRPr="00B97413">
        <w:rPr>
          <w:rFonts w:ascii="Calibri" w:eastAsia="Calibri" w:hAnsi="Calibri" w:cs="Calibri"/>
          <w:noProof/>
        </w:rPr>
        <w:lastRenderedPageBreak/>
        <w:drawing>
          <wp:inline distT="114300" distB="114300" distL="114300" distR="114300" wp14:anchorId="542B36A9" wp14:editId="18DCC3E5">
            <wp:extent cx="6000536" cy="3109913"/>
            <wp:effectExtent l="0" t="0" r="0" b="0"/>
            <wp:docPr id="10"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44"/>
                    <a:srcRect/>
                    <a:stretch>
                      <a:fillRect/>
                    </a:stretch>
                  </pic:blipFill>
                  <pic:spPr>
                    <a:xfrm>
                      <a:off x="0" y="0"/>
                      <a:ext cx="6000536" cy="3109913"/>
                    </a:xfrm>
                    <a:prstGeom prst="rect">
                      <a:avLst/>
                    </a:prstGeom>
                    <a:ln/>
                  </pic:spPr>
                </pic:pic>
              </a:graphicData>
            </a:graphic>
          </wp:inline>
        </w:drawing>
      </w:r>
    </w:p>
    <w:p w14:paraId="4FE72E26" w14:textId="1EB15A47" w:rsidR="00B3610D" w:rsidRPr="00071298" w:rsidRDefault="00000000">
      <w:pPr>
        <w:spacing w:line="240" w:lineRule="auto"/>
        <w:rPr>
          <w:rFonts w:ascii="Calibri" w:eastAsia="Calibri" w:hAnsi="Calibri" w:cs="Calibri"/>
          <w:i/>
          <w:sz w:val="18"/>
          <w:szCs w:val="18"/>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1.3.3: </w:t>
      </w:r>
      <w:r w:rsidRPr="00071298">
        <w:rPr>
          <w:rFonts w:ascii="Calibri" w:eastAsia="Calibri" w:hAnsi="Calibri" w:cs="Calibri"/>
          <w:sz w:val="20"/>
          <w:szCs w:val="20"/>
        </w:rPr>
        <w:t xml:space="preserve">Clinical and severe </w:t>
      </w:r>
      <w:r w:rsidRPr="00071298">
        <w:rPr>
          <w:rFonts w:ascii="Calibri" w:eastAsia="Calibri" w:hAnsi="Calibri" w:cs="Calibri"/>
          <w:b/>
          <w:sz w:val="20"/>
          <w:szCs w:val="20"/>
        </w:rPr>
        <w:t>c</w:t>
      </w:r>
      <w:r w:rsidRPr="00071298">
        <w:rPr>
          <w:rFonts w:ascii="Calibri" w:eastAsia="Calibri" w:hAnsi="Calibri" w:cs="Calibri"/>
          <w:sz w:val="20"/>
          <w:szCs w:val="20"/>
        </w:rPr>
        <w:t xml:space="preserve">ases averted (A) and relative reductions (B) in children </w:t>
      </w:r>
      <w:r w:rsidR="00D6401D" w:rsidRPr="00071298">
        <w:rPr>
          <w:rFonts w:ascii="Calibri" w:eastAsia="Calibri" w:hAnsi="Calibri" w:cs="Calibri"/>
          <w:sz w:val="20"/>
          <w:szCs w:val="20"/>
        </w:rPr>
        <w:t xml:space="preserve">U5 </w:t>
      </w:r>
      <w:r w:rsidRPr="00071298">
        <w:rPr>
          <w:rFonts w:ascii="Calibri" w:eastAsia="Calibri" w:hAnsi="Calibri" w:cs="Calibri"/>
          <w:sz w:val="20"/>
          <w:szCs w:val="20"/>
        </w:rPr>
        <w:t xml:space="preserve">for PMC-3 at varying case management assumptions. PMC simulated with 80% coverage and at </w:t>
      </w:r>
      <w:r w:rsidR="00071298" w:rsidRPr="00071298">
        <w:rPr>
          <w:rFonts w:ascii="Calibri" w:eastAsia="Calibri" w:hAnsi="Calibri" w:cs="Calibri"/>
          <w:sz w:val="20"/>
          <w:szCs w:val="20"/>
        </w:rPr>
        <w:t xml:space="preserve">a </w:t>
      </w:r>
      <w:r w:rsidRPr="00071298">
        <w:rPr>
          <w:rFonts w:ascii="Calibri" w:eastAsia="Calibri" w:hAnsi="Calibri" w:cs="Calibri"/>
          <w:sz w:val="20"/>
          <w:szCs w:val="20"/>
        </w:rPr>
        <w:t xml:space="preserve">transmission intensity </w:t>
      </w:r>
      <w:r w:rsidR="00071298" w:rsidRPr="00071298">
        <w:rPr>
          <w:rFonts w:ascii="Calibri" w:eastAsia="Calibri" w:hAnsi="Calibri" w:cs="Calibri"/>
          <w:sz w:val="20"/>
          <w:szCs w:val="20"/>
        </w:rPr>
        <w:t xml:space="preserve">of </w:t>
      </w:r>
      <w:r w:rsidRPr="00071298">
        <w:rPr>
          <w:rFonts w:ascii="Calibri" w:eastAsia="Calibri" w:hAnsi="Calibri" w:cs="Calibri"/>
          <w:sz w:val="20"/>
          <w:szCs w:val="20"/>
        </w:rPr>
        <w:t>EIR = 32 ibpa.</w:t>
      </w:r>
      <w:r w:rsidR="000F79AF" w:rsidRPr="00071298">
        <w:rPr>
          <w:rFonts w:ascii="Calibri" w:eastAsia="Calibri" w:hAnsi="Calibri" w:cs="Calibri"/>
          <w:sz w:val="20"/>
          <w:szCs w:val="20"/>
        </w:rPr>
        <w:t xml:space="preserve"> The small inset figure shows the pattern of treated cases by age in years on the x-axis. </w:t>
      </w:r>
    </w:p>
    <w:p w14:paraId="72E2374D" w14:textId="77777777" w:rsidR="00B3610D" w:rsidRPr="00B97413" w:rsidRDefault="00B3610D">
      <w:pPr>
        <w:spacing w:line="240" w:lineRule="auto"/>
        <w:rPr>
          <w:rFonts w:ascii="Calibri" w:eastAsia="Calibri" w:hAnsi="Calibri" w:cs="Calibri"/>
          <w:b/>
        </w:rPr>
      </w:pPr>
    </w:p>
    <w:p w14:paraId="6B707A75" w14:textId="77777777" w:rsidR="00B3610D" w:rsidRPr="00B97413" w:rsidRDefault="00000000">
      <w:pPr>
        <w:pStyle w:val="Heading3"/>
        <w:spacing w:after="0"/>
        <w:rPr>
          <w:rFonts w:ascii="Calibri" w:eastAsia="Calibri" w:hAnsi="Calibri" w:cs="Calibri"/>
          <w:color w:val="auto"/>
          <w:sz w:val="24"/>
          <w:szCs w:val="24"/>
        </w:rPr>
      </w:pPr>
      <w:bookmarkStart w:id="15" w:name="_Toc130051874"/>
      <w:r w:rsidRPr="00B97413">
        <w:rPr>
          <w:rFonts w:ascii="Calibri" w:eastAsia="Calibri" w:hAnsi="Calibri" w:cs="Calibri"/>
          <w:color w:val="auto"/>
          <w:sz w:val="24"/>
          <w:szCs w:val="24"/>
        </w:rPr>
        <w:t>Maternal antibody protection</w:t>
      </w:r>
      <w:bookmarkEnd w:id="15"/>
    </w:p>
    <w:p w14:paraId="5516D383" w14:textId="4FA1D9A9" w:rsidR="00B3610D" w:rsidRPr="00B97413" w:rsidRDefault="00000000">
      <w:pPr>
        <w:rPr>
          <w:rFonts w:ascii="Calibri" w:eastAsia="Calibri" w:hAnsi="Calibri" w:cs="Calibri"/>
          <w:sz w:val="20"/>
          <w:szCs w:val="20"/>
        </w:rPr>
      </w:pPr>
      <w:r w:rsidRPr="00B97413">
        <w:rPr>
          <w:rFonts w:ascii="Calibri" w:eastAsia="Calibri" w:hAnsi="Calibri" w:cs="Calibri"/>
        </w:rPr>
        <w:t>Infants inherit</w:t>
      </w:r>
      <w:r w:rsidR="000151A4">
        <w:rPr>
          <w:rFonts w:ascii="Calibri" w:eastAsia="Calibri" w:hAnsi="Calibri" w:cs="Calibri"/>
        </w:rPr>
        <w:t xml:space="preserve"> </w:t>
      </w:r>
      <w:r w:rsidRPr="00B97413">
        <w:rPr>
          <w:rFonts w:ascii="Calibri" w:eastAsia="Calibri" w:hAnsi="Calibri" w:cs="Calibri"/>
        </w:rPr>
        <w:t>maternal antibodies from their mothers that provide to some extent protection against several pathogens during the first months of life. For malaria, immunity wanes during the first 6 months of life, whereas its mechanisms and effect on infection and disease protection are still not completely understood [REF].</w:t>
      </w:r>
      <w:r w:rsidRPr="00B97413">
        <w:rPr>
          <w:rFonts w:ascii="Calibri" w:eastAsia="Calibri" w:hAnsi="Calibri" w:cs="Calibri"/>
          <w:sz w:val="20"/>
          <w:szCs w:val="20"/>
        </w:rPr>
        <w:t xml:space="preserve"> </w:t>
      </w:r>
      <w:r w:rsidRPr="00B97413">
        <w:rPr>
          <w:rFonts w:ascii="Calibri" w:eastAsia="Calibri" w:hAnsi="Calibri" w:cs="Calibri"/>
        </w:rPr>
        <w:t xml:space="preserve">In EMOD maternal antibody protection against malaria in infants is simulated by transferring malaria antibodies from the mother to the newborn. The additional antibodies in the infant result in higher parasite killing rates. The maternal antibodies decay over time with a </w:t>
      </w:r>
      <w:r w:rsidR="006D6F2F" w:rsidRPr="00B97413">
        <w:rPr>
          <w:rFonts w:ascii="Calibri" w:eastAsia="Calibri" w:hAnsi="Calibri" w:cs="Calibri"/>
        </w:rPr>
        <w:t>half-life</w:t>
      </w:r>
      <w:r w:rsidRPr="00B97413">
        <w:rPr>
          <w:rFonts w:ascii="Calibri" w:eastAsia="Calibri" w:hAnsi="Calibri" w:cs="Calibri"/>
        </w:rPr>
        <w:t xml:space="preserve"> of </w:t>
      </w:r>
      <w:r w:rsidR="006D6F2F">
        <w:rPr>
          <w:rFonts w:ascii="Calibri" w:eastAsia="Calibri" w:hAnsi="Calibri" w:cs="Calibri"/>
        </w:rPr>
        <w:t>three</w:t>
      </w:r>
      <w:r w:rsidRPr="00B97413">
        <w:rPr>
          <w:rFonts w:ascii="Calibri" w:eastAsia="Calibri" w:hAnsi="Calibri" w:cs="Calibri"/>
        </w:rPr>
        <w:t xml:space="preserve"> months. The maternal protection is adjusted depending on EIR and then downscaled to account for ‘maternal immunity levels’ </w:t>
      </w:r>
      <w:hyperlink r:id="rId45">
        <w:r w:rsidRPr="00B97413">
          <w:rPr>
            <w:rFonts w:ascii="Calibri" w:eastAsia="Calibri" w:hAnsi="Calibri" w:cs="Calibri"/>
          </w:rPr>
          <w:t>[13]</w:t>
        </w:r>
      </w:hyperlink>
      <w:r w:rsidRPr="00B97413">
        <w:rPr>
          <w:rFonts w:ascii="Calibri" w:eastAsia="Calibri" w:hAnsi="Calibri" w:cs="Calibri"/>
        </w:rPr>
        <w:t xml:space="preserve"> (Fig </w:t>
      </w:r>
      <w:r w:rsidR="00071298">
        <w:rPr>
          <w:rFonts w:ascii="Calibri" w:eastAsia="Calibri" w:hAnsi="Calibri" w:cs="Calibri"/>
        </w:rPr>
        <w:t>A</w:t>
      </w:r>
      <w:r w:rsidRPr="00B97413">
        <w:rPr>
          <w:rFonts w:ascii="Calibri" w:eastAsia="Calibri" w:hAnsi="Calibri" w:cs="Calibri"/>
        </w:rPr>
        <w:t>1.3.4). A maximum difference of</w:t>
      </w:r>
      <w:r w:rsidR="000151A4">
        <w:rPr>
          <w:rFonts w:ascii="Calibri" w:eastAsia="Calibri" w:hAnsi="Calibri" w:cs="Calibri"/>
        </w:rPr>
        <w:t xml:space="preserve"> </w:t>
      </w:r>
      <w:r w:rsidRPr="00B97413">
        <w:rPr>
          <w:rFonts w:ascii="Calibri" w:eastAsia="Calibri" w:hAnsi="Calibri" w:cs="Calibri"/>
        </w:rPr>
        <w:t xml:space="preserve">10% in predicted efficacy of PMC for clinical and 20% for severe cases was predicted across the range of simulated strengths of maternal antibody protection in EMOD. The influence of transmission intensity on the variation in relative impact of IPTi depending on strengths of maternal antibody protection was higher for clinical cases than for severe cases (Fig </w:t>
      </w:r>
      <w:r w:rsidR="00071298">
        <w:rPr>
          <w:rFonts w:ascii="Calibri" w:eastAsia="Calibri" w:hAnsi="Calibri" w:cs="Calibri"/>
        </w:rPr>
        <w:t>A</w:t>
      </w:r>
      <w:r w:rsidRPr="00B97413">
        <w:rPr>
          <w:rFonts w:ascii="Calibri" w:eastAsia="Calibri" w:hAnsi="Calibri" w:cs="Calibri"/>
        </w:rPr>
        <w:t>1.3.5-6).</w:t>
      </w:r>
    </w:p>
    <w:p w14:paraId="67BD2FEA" w14:textId="77777777" w:rsidR="00B3610D" w:rsidRPr="00B97413" w:rsidRDefault="00B3610D"/>
    <w:p w14:paraId="5FE4105A" w14:textId="77777777" w:rsidR="00B3610D" w:rsidRPr="00B97413" w:rsidRDefault="00000000">
      <w:r w:rsidRPr="00B97413">
        <w:rPr>
          <w:noProof/>
        </w:rPr>
        <w:drawing>
          <wp:inline distT="114300" distB="114300" distL="114300" distR="114300" wp14:anchorId="6853DB24" wp14:editId="740AE1B2">
            <wp:extent cx="2681288" cy="1663391"/>
            <wp:effectExtent l="0" t="0" r="0" b="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6"/>
                    <a:srcRect/>
                    <a:stretch>
                      <a:fillRect/>
                    </a:stretch>
                  </pic:blipFill>
                  <pic:spPr>
                    <a:xfrm>
                      <a:off x="0" y="0"/>
                      <a:ext cx="2681288" cy="1663391"/>
                    </a:xfrm>
                    <a:prstGeom prst="rect">
                      <a:avLst/>
                    </a:prstGeom>
                    <a:ln/>
                  </pic:spPr>
                </pic:pic>
              </a:graphicData>
            </a:graphic>
          </wp:inline>
        </w:drawing>
      </w:r>
      <w:r w:rsidRPr="00B97413">
        <w:rPr>
          <w:noProof/>
        </w:rPr>
        <w:drawing>
          <wp:inline distT="114300" distB="114300" distL="114300" distR="114300" wp14:anchorId="60815FE6" wp14:editId="5E48ECAB">
            <wp:extent cx="2692675" cy="1572582"/>
            <wp:effectExtent l="0" t="0" r="0" b="0"/>
            <wp:docPr id="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7"/>
                    <a:srcRect/>
                    <a:stretch>
                      <a:fillRect/>
                    </a:stretch>
                  </pic:blipFill>
                  <pic:spPr>
                    <a:xfrm>
                      <a:off x="0" y="0"/>
                      <a:ext cx="2692675" cy="1572582"/>
                    </a:xfrm>
                    <a:prstGeom prst="rect">
                      <a:avLst/>
                    </a:prstGeom>
                    <a:ln/>
                  </pic:spPr>
                </pic:pic>
              </a:graphicData>
            </a:graphic>
          </wp:inline>
        </w:drawing>
      </w:r>
    </w:p>
    <w:p w14:paraId="4B543F8F" w14:textId="59218100" w:rsidR="00B3610D" w:rsidRPr="00071298" w:rsidRDefault="00000000">
      <w:pPr>
        <w:rPr>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1.3.4: </w:t>
      </w:r>
      <w:r w:rsidRPr="00071298">
        <w:rPr>
          <w:rFonts w:ascii="Calibri" w:eastAsia="Calibri" w:hAnsi="Calibri" w:cs="Calibri"/>
          <w:sz w:val="20"/>
          <w:szCs w:val="20"/>
        </w:rPr>
        <w:t>A) Maternal antibody protection and EIR relationship in EMOD, adapted from [</w:t>
      </w:r>
      <w:r w:rsidR="002264EB" w:rsidRPr="00071298">
        <w:rPr>
          <w:rFonts w:ascii="Calibri" w:eastAsia="Calibri" w:hAnsi="Calibri" w:cs="Calibri"/>
          <w:sz w:val="20"/>
          <w:szCs w:val="20"/>
        </w:rPr>
        <w:t>13</w:t>
      </w:r>
      <w:r w:rsidRPr="00071298">
        <w:rPr>
          <w:rFonts w:ascii="Calibri" w:eastAsia="Calibri" w:hAnsi="Calibri" w:cs="Calibri"/>
          <w:sz w:val="20"/>
          <w:szCs w:val="20"/>
        </w:rPr>
        <w:t xml:space="preserve">]. B) Adjusted maternal antibody protection for </w:t>
      </w:r>
      <w:r w:rsidR="001101D8" w:rsidRPr="00071298">
        <w:rPr>
          <w:rFonts w:ascii="Calibri" w:eastAsia="Calibri" w:hAnsi="Calibri" w:cs="Calibri"/>
          <w:sz w:val="20"/>
          <w:szCs w:val="20"/>
        </w:rPr>
        <w:t>the level</w:t>
      </w:r>
      <w:r w:rsidRPr="00071298">
        <w:rPr>
          <w:rFonts w:ascii="Calibri" w:eastAsia="Calibri" w:hAnsi="Calibri" w:cs="Calibri"/>
          <w:sz w:val="20"/>
          <w:szCs w:val="20"/>
        </w:rPr>
        <w:t xml:space="preserve"> of antibodies in mothers.</w:t>
      </w:r>
    </w:p>
    <w:p w14:paraId="7A173C3E" w14:textId="77777777" w:rsidR="00B3610D" w:rsidRPr="00B97413" w:rsidRDefault="00B3610D">
      <w:pPr>
        <w:rPr>
          <w:rFonts w:ascii="Calibri" w:eastAsia="Calibri" w:hAnsi="Calibri" w:cs="Calibri"/>
        </w:rPr>
      </w:pPr>
    </w:p>
    <w:p w14:paraId="686F1AEB" w14:textId="77777777" w:rsidR="00B3610D" w:rsidRPr="00B97413" w:rsidRDefault="00000000">
      <w:pPr>
        <w:rPr>
          <w:rFonts w:ascii="Calibri" w:eastAsia="Calibri" w:hAnsi="Calibri" w:cs="Calibri"/>
        </w:rPr>
      </w:pPr>
      <w:r w:rsidRPr="00B97413">
        <w:rPr>
          <w:rFonts w:ascii="Calibri" w:eastAsia="Calibri" w:hAnsi="Calibri" w:cs="Calibri"/>
          <w:noProof/>
        </w:rPr>
        <w:drawing>
          <wp:inline distT="114300" distB="114300" distL="114300" distR="114300" wp14:anchorId="2EAC4E77" wp14:editId="5DC0E6AA">
            <wp:extent cx="5500048" cy="2477068"/>
            <wp:effectExtent l="0" t="0" r="5715" b="0"/>
            <wp:docPr id="11" name="image6.png"/>
            <wp:cNvGraphicFramePr/>
            <a:graphic xmlns:a="http://schemas.openxmlformats.org/drawingml/2006/main">
              <a:graphicData uri="http://schemas.openxmlformats.org/drawingml/2006/picture">
                <pic:pic xmlns:pic="http://schemas.openxmlformats.org/drawingml/2006/picture">
                  <pic:nvPicPr>
                    <pic:cNvPr id="11" name="image6.png"/>
                    <pic:cNvPicPr preferRelativeResize="0"/>
                  </pic:nvPicPr>
                  <pic:blipFill>
                    <a:blip r:embed="rId48" cstate="print">
                      <a:extLst>
                        <a:ext uri="{28A0092B-C50C-407E-A947-70E740481C1C}">
                          <a14:useLocalDpi xmlns:a14="http://schemas.microsoft.com/office/drawing/2010/main" val="0"/>
                        </a:ext>
                      </a:extLst>
                    </a:blip>
                    <a:stretch>
                      <a:fillRect/>
                    </a:stretch>
                  </pic:blipFill>
                  <pic:spPr>
                    <a:xfrm>
                      <a:off x="0" y="0"/>
                      <a:ext cx="5519801" cy="2485964"/>
                    </a:xfrm>
                    <a:prstGeom prst="rect">
                      <a:avLst/>
                    </a:prstGeom>
                    <a:ln/>
                  </pic:spPr>
                </pic:pic>
              </a:graphicData>
            </a:graphic>
          </wp:inline>
        </w:drawing>
      </w:r>
    </w:p>
    <w:p w14:paraId="0968A814" w14:textId="4F0ED6F7" w:rsidR="00B3610D" w:rsidRPr="00071298" w:rsidRDefault="00000000">
      <w:pPr>
        <w:rPr>
          <w:rFonts w:ascii="Calibri" w:eastAsia="Calibri" w:hAnsi="Calibri" w:cs="Calibri"/>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1.3.5: </w:t>
      </w:r>
      <w:r w:rsidRPr="00071298">
        <w:rPr>
          <w:rFonts w:ascii="Calibri" w:eastAsia="Calibri" w:hAnsi="Calibri" w:cs="Calibri"/>
          <w:sz w:val="20"/>
          <w:szCs w:val="20"/>
        </w:rPr>
        <w:t xml:space="preserve">Projected prevalence, clinical and severe incidence in children 0-12 months of age by maternal antibody protection scaling factor. Simulations ran for a single birth cohort (born January) and season1 pattern. Shaded </w:t>
      </w:r>
      <w:r w:rsidR="00B97413" w:rsidRPr="00071298">
        <w:rPr>
          <w:rFonts w:ascii="Calibri" w:eastAsia="Calibri" w:hAnsi="Calibri" w:cs="Calibri"/>
          <w:sz w:val="20"/>
          <w:szCs w:val="20"/>
        </w:rPr>
        <w:t>areas show</w:t>
      </w:r>
      <w:r w:rsidRPr="00071298">
        <w:rPr>
          <w:rFonts w:ascii="Calibri" w:eastAsia="Calibri" w:hAnsi="Calibri" w:cs="Calibri"/>
          <w:sz w:val="20"/>
          <w:szCs w:val="20"/>
        </w:rPr>
        <w:t xml:space="preserve"> stochastic uncertainty based on 5 seeds. </w:t>
      </w:r>
    </w:p>
    <w:p w14:paraId="0F04C0AA" w14:textId="77777777" w:rsidR="00B3610D" w:rsidRPr="00B97413" w:rsidRDefault="00B3610D">
      <w:pPr>
        <w:rPr>
          <w:rFonts w:ascii="Calibri" w:eastAsia="Calibri" w:hAnsi="Calibri" w:cs="Calibri"/>
        </w:rPr>
      </w:pPr>
    </w:p>
    <w:p w14:paraId="445FF27B" w14:textId="77777777" w:rsidR="00B3610D" w:rsidRPr="00B97413" w:rsidRDefault="00000000">
      <w:pPr>
        <w:rPr>
          <w:rFonts w:ascii="Calibri" w:eastAsia="Calibri" w:hAnsi="Calibri" w:cs="Calibri"/>
        </w:rPr>
      </w:pPr>
      <w:r w:rsidRPr="00B97413">
        <w:rPr>
          <w:rFonts w:ascii="Calibri" w:eastAsia="Calibri" w:hAnsi="Calibri" w:cs="Calibri"/>
          <w:noProof/>
        </w:rPr>
        <w:drawing>
          <wp:inline distT="114300" distB="114300" distL="114300" distR="114300" wp14:anchorId="0B5CCB46" wp14:editId="00D3A3F6">
            <wp:extent cx="4038600" cy="20193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4" name="image2.png"/>
                    <pic:cNvPicPr preferRelativeResize="0"/>
                  </pic:nvPicPr>
                  <pic:blipFill>
                    <a:blip r:embed="rId49" cstate="print">
                      <a:extLst>
                        <a:ext uri="{28A0092B-C50C-407E-A947-70E740481C1C}">
                          <a14:useLocalDpi xmlns:a14="http://schemas.microsoft.com/office/drawing/2010/main" val="0"/>
                        </a:ext>
                      </a:extLst>
                    </a:blip>
                    <a:stretch>
                      <a:fillRect/>
                    </a:stretch>
                  </pic:blipFill>
                  <pic:spPr>
                    <a:xfrm>
                      <a:off x="0" y="0"/>
                      <a:ext cx="4038600" cy="2019300"/>
                    </a:xfrm>
                    <a:prstGeom prst="rect">
                      <a:avLst/>
                    </a:prstGeom>
                    <a:ln/>
                  </pic:spPr>
                </pic:pic>
              </a:graphicData>
            </a:graphic>
          </wp:inline>
        </w:drawing>
      </w:r>
      <w:r w:rsidRPr="00B97413">
        <w:rPr>
          <w:rFonts w:ascii="Calibri" w:eastAsia="Calibri" w:hAnsi="Calibri" w:cs="Calibri"/>
          <w:noProof/>
        </w:rPr>
        <w:drawing>
          <wp:inline distT="114300" distB="114300" distL="114300" distR="114300" wp14:anchorId="45D57032" wp14:editId="283E0828">
            <wp:extent cx="897008" cy="1617818"/>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0"/>
                    <a:srcRect l="78294"/>
                    <a:stretch>
                      <a:fillRect/>
                    </a:stretch>
                  </pic:blipFill>
                  <pic:spPr>
                    <a:xfrm>
                      <a:off x="0" y="0"/>
                      <a:ext cx="897008" cy="1617818"/>
                    </a:xfrm>
                    <a:prstGeom prst="rect">
                      <a:avLst/>
                    </a:prstGeom>
                    <a:ln/>
                  </pic:spPr>
                </pic:pic>
              </a:graphicData>
            </a:graphic>
          </wp:inline>
        </w:drawing>
      </w:r>
    </w:p>
    <w:p w14:paraId="2FE61F6B" w14:textId="13D48029" w:rsidR="00B3610D" w:rsidRPr="00B97413" w:rsidRDefault="00000000">
      <w:pPr>
        <w:rPr>
          <w:rFonts w:ascii="Calibri" w:eastAsia="Calibri" w:hAnsi="Calibri" w:cs="Calibri"/>
        </w:rPr>
      </w:pPr>
      <w:r w:rsidRPr="00B97413">
        <w:rPr>
          <w:rFonts w:ascii="Calibri" w:eastAsia="Calibri" w:hAnsi="Calibri" w:cs="Calibri"/>
          <w:b/>
        </w:rPr>
        <w:t xml:space="preserve">Fig </w:t>
      </w:r>
      <w:r w:rsidR="00071298">
        <w:rPr>
          <w:rFonts w:ascii="Calibri" w:eastAsia="Calibri" w:hAnsi="Calibri" w:cs="Calibri"/>
          <w:b/>
        </w:rPr>
        <w:t>A</w:t>
      </w:r>
      <w:r w:rsidRPr="00B97413">
        <w:rPr>
          <w:rFonts w:ascii="Calibri" w:eastAsia="Calibri" w:hAnsi="Calibri" w:cs="Calibri"/>
          <w:b/>
        </w:rPr>
        <w:t xml:space="preserve">1.3.6: </w:t>
      </w:r>
      <w:r w:rsidRPr="00B97413">
        <w:rPr>
          <w:rFonts w:ascii="Calibri" w:eastAsia="Calibri" w:hAnsi="Calibri" w:cs="Calibri"/>
        </w:rPr>
        <w:t>Modeled protective efficacy of PMC-3 on clinical and severe cases in children 0-12 months by EIR. Error bars based on the range of maternal antibody protection scaling.</w:t>
      </w:r>
    </w:p>
    <w:p w14:paraId="2A501155" w14:textId="77777777" w:rsidR="00B3610D" w:rsidRPr="00B97413" w:rsidRDefault="00000000">
      <w:pPr>
        <w:pStyle w:val="Heading2"/>
        <w:rPr>
          <w:rFonts w:ascii="Calibri" w:eastAsia="Calibri" w:hAnsi="Calibri" w:cs="Calibri"/>
          <w:b/>
          <w:sz w:val="28"/>
          <w:szCs w:val="28"/>
        </w:rPr>
      </w:pPr>
      <w:bookmarkStart w:id="16" w:name="_c7ijks1pb7rq" w:colFirst="0" w:colLast="0"/>
      <w:bookmarkEnd w:id="16"/>
      <w:r w:rsidRPr="00B97413">
        <w:br w:type="page"/>
      </w:r>
    </w:p>
    <w:p w14:paraId="5CB5ABF7" w14:textId="356117E3" w:rsidR="00B3610D" w:rsidRPr="00B97413" w:rsidRDefault="00071298">
      <w:pPr>
        <w:pStyle w:val="Heading2"/>
        <w:rPr>
          <w:rFonts w:ascii="Calibri" w:eastAsia="Calibri" w:hAnsi="Calibri" w:cs="Calibri"/>
          <w:b/>
          <w:sz w:val="28"/>
          <w:szCs w:val="28"/>
        </w:rPr>
      </w:pPr>
      <w:bookmarkStart w:id="17" w:name="_Toc130051875"/>
      <w:r>
        <w:rPr>
          <w:rFonts w:ascii="Calibri" w:eastAsia="Calibri" w:hAnsi="Calibri" w:cs="Calibri"/>
          <w:b/>
          <w:sz w:val="28"/>
          <w:szCs w:val="28"/>
        </w:rPr>
        <w:lastRenderedPageBreak/>
        <w:t>A</w:t>
      </w:r>
      <w:r w:rsidRPr="00B97413">
        <w:rPr>
          <w:rFonts w:ascii="Calibri" w:eastAsia="Calibri" w:hAnsi="Calibri" w:cs="Calibri"/>
          <w:b/>
          <w:sz w:val="28"/>
          <w:szCs w:val="28"/>
        </w:rPr>
        <w:t>1.4: Country application to Southern Nigeria</w:t>
      </w:r>
      <w:bookmarkEnd w:id="17"/>
      <w:r w:rsidRPr="00B97413">
        <w:rPr>
          <w:rFonts w:ascii="Calibri" w:eastAsia="Calibri" w:hAnsi="Calibri" w:cs="Calibri"/>
          <w:b/>
          <w:sz w:val="28"/>
          <w:szCs w:val="28"/>
        </w:rPr>
        <w:t xml:space="preserve"> </w:t>
      </w:r>
    </w:p>
    <w:p w14:paraId="40930483" w14:textId="77777777" w:rsidR="00B3610D" w:rsidRPr="00B97413" w:rsidRDefault="00B3610D">
      <w:pPr>
        <w:rPr>
          <w:rFonts w:ascii="Calibri" w:eastAsia="Calibri" w:hAnsi="Calibri" w:cs="Calibri"/>
        </w:rPr>
      </w:pPr>
    </w:p>
    <w:p w14:paraId="6320F100" w14:textId="77777777" w:rsidR="00B3610D" w:rsidRPr="00B97413" w:rsidRDefault="00000000">
      <w:pPr>
        <w:rPr>
          <w:rFonts w:ascii="Calibri" w:eastAsia="Calibri" w:hAnsi="Calibri" w:cs="Calibri"/>
          <w:i/>
        </w:rPr>
      </w:pPr>
      <w:r w:rsidRPr="00B97413">
        <w:rPr>
          <w:rFonts w:ascii="Calibri" w:eastAsia="Calibri" w:hAnsi="Calibri" w:cs="Calibri"/>
          <w:i/>
        </w:rPr>
        <w:t>Population estimates</w:t>
      </w:r>
    </w:p>
    <w:p w14:paraId="01CA7DEC" w14:textId="77777777" w:rsidR="00B3610D" w:rsidRPr="00B97413" w:rsidRDefault="00000000">
      <w:pPr>
        <w:spacing w:line="259" w:lineRule="auto"/>
        <w:rPr>
          <w:rFonts w:ascii="Calibri" w:eastAsia="Calibri" w:hAnsi="Calibri" w:cs="Calibri"/>
        </w:rPr>
      </w:pPr>
      <w:r w:rsidRPr="00B97413">
        <w:rPr>
          <w:rFonts w:ascii="Calibri" w:eastAsia="Calibri" w:hAnsi="Calibri" w:cs="Calibri"/>
        </w:rPr>
        <w:t xml:space="preserve">Population estimates for all ages were obtained from GeoPode Version 2 for 2019 </w:t>
      </w:r>
      <w:hyperlink r:id="rId51">
        <w:r w:rsidRPr="00B97413">
          <w:rPr>
            <w:rFonts w:ascii="Calibri" w:eastAsia="Calibri" w:hAnsi="Calibri" w:cs="Calibri"/>
          </w:rPr>
          <w:t>[14]</w:t>
        </w:r>
      </w:hyperlink>
      <w:r w:rsidRPr="00B97413">
        <w:rPr>
          <w:rFonts w:ascii="Calibri" w:eastAsia="Calibri" w:hAnsi="Calibri" w:cs="Calibri"/>
        </w:rPr>
        <w:t>. Since no disaggregated population data per year for children under the age of five years was available, the simulated population was used to derive the proportion of children under two years of age of ~6.8%.</w:t>
      </w:r>
    </w:p>
    <w:p w14:paraId="504D6FF2" w14:textId="77777777" w:rsidR="00B3610D" w:rsidRPr="00B97413" w:rsidRDefault="00B3610D">
      <w:pPr>
        <w:spacing w:line="259" w:lineRule="auto"/>
        <w:rPr>
          <w:rFonts w:ascii="Calibri" w:eastAsia="Calibri" w:hAnsi="Calibri" w:cs="Calibri"/>
        </w:rPr>
      </w:pPr>
    </w:p>
    <w:p w14:paraId="45CC6D02" w14:textId="77777777" w:rsidR="00B3610D" w:rsidRPr="00B97413" w:rsidRDefault="00B3610D">
      <w:pPr>
        <w:spacing w:line="259" w:lineRule="auto"/>
        <w:rPr>
          <w:rFonts w:ascii="Calibri" w:eastAsia="Calibri" w:hAnsi="Calibri" w:cs="Calibri"/>
        </w:rPr>
      </w:pPr>
    </w:p>
    <w:p w14:paraId="4E7ECB41" w14:textId="77777777" w:rsidR="00B3610D" w:rsidRPr="00B97413" w:rsidRDefault="00000000">
      <w:pPr>
        <w:spacing w:line="259" w:lineRule="auto"/>
        <w:rPr>
          <w:rFonts w:ascii="Calibri" w:eastAsia="Calibri" w:hAnsi="Calibri" w:cs="Calibri"/>
        </w:rPr>
      </w:pPr>
      <w:r w:rsidRPr="00B97413">
        <w:rPr>
          <w:rFonts w:ascii="Calibri" w:eastAsia="Calibri" w:hAnsi="Calibri" w:cs="Calibri"/>
          <w:noProof/>
        </w:rPr>
        <w:drawing>
          <wp:inline distT="114300" distB="114300" distL="114300" distR="114300" wp14:anchorId="6ECBB6C7" wp14:editId="182FDEBD">
            <wp:extent cx="5731200" cy="3441700"/>
            <wp:effectExtent l="0" t="0" r="0" b="0"/>
            <wp:docPr id="28"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52"/>
                    <a:srcRect l="35" r="35"/>
                    <a:stretch>
                      <a:fillRect/>
                    </a:stretch>
                  </pic:blipFill>
                  <pic:spPr>
                    <a:xfrm>
                      <a:off x="0" y="0"/>
                      <a:ext cx="5731200" cy="3441700"/>
                    </a:xfrm>
                    <a:prstGeom prst="rect">
                      <a:avLst/>
                    </a:prstGeom>
                    <a:ln/>
                  </pic:spPr>
                </pic:pic>
              </a:graphicData>
            </a:graphic>
          </wp:inline>
        </w:drawing>
      </w:r>
    </w:p>
    <w:p w14:paraId="71485B2C" w14:textId="2D97560C" w:rsidR="00B3610D" w:rsidRPr="00071298" w:rsidRDefault="00000000">
      <w:pPr>
        <w:rPr>
          <w:rFonts w:ascii="Calibri" w:eastAsia="Calibri" w:hAnsi="Calibri" w:cs="Calibri"/>
          <w:sz w:val="20"/>
          <w:szCs w:val="20"/>
        </w:rPr>
      </w:pPr>
      <w:r w:rsidRPr="00071298">
        <w:rPr>
          <w:rFonts w:ascii="Calibri" w:eastAsia="Calibri" w:hAnsi="Calibri" w:cs="Calibri"/>
          <w:b/>
          <w:sz w:val="20"/>
          <w:szCs w:val="20"/>
        </w:rPr>
        <w:t xml:space="preserve">Fig </w:t>
      </w:r>
      <w:r w:rsidR="00071298" w:rsidRPr="00071298">
        <w:rPr>
          <w:rFonts w:ascii="Calibri" w:eastAsia="Calibri" w:hAnsi="Calibri" w:cs="Calibri"/>
          <w:b/>
          <w:sz w:val="20"/>
          <w:szCs w:val="20"/>
        </w:rPr>
        <w:t>A</w:t>
      </w:r>
      <w:r w:rsidRPr="00071298">
        <w:rPr>
          <w:rFonts w:ascii="Calibri" w:eastAsia="Calibri" w:hAnsi="Calibri" w:cs="Calibri"/>
          <w:b/>
          <w:sz w:val="20"/>
          <w:szCs w:val="20"/>
        </w:rPr>
        <w:t xml:space="preserve">1.4.1: </w:t>
      </w:r>
      <w:r w:rsidRPr="00071298">
        <w:rPr>
          <w:rFonts w:ascii="Calibri" w:eastAsia="Calibri" w:hAnsi="Calibri" w:cs="Calibri"/>
          <w:sz w:val="20"/>
          <w:szCs w:val="20"/>
        </w:rPr>
        <w:t>Total population and estimated population U2 in Southern Nigeria for 2019.</w:t>
      </w:r>
    </w:p>
    <w:p w14:paraId="7FDE89A9" w14:textId="77777777" w:rsidR="00B3610D" w:rsidRPr="00B97413" w:rsidRDefault="00B3610D">
      <w:pPr>
        <w:rPr>
          <w:rFonts w:ascii="Calibri" w:eastAsia="Calibri" w:hAnsi="Calibri" w:cs="Calibri"/>
          <w:b/>
        </w:rPr>
      </w:pPr>
    </w:p>
    <w:p w14:paraId="17542124" w14:textId="77777777" w:rsidR="00B3610D" w:rsidRPr="00B97413" w:rsidRDefault="00000000">
      <w:pPr>
        <w:rPr>
          <w:rFonts w:ascii="Calibri" w:eastAsia="Calibri" w:hAnsi="Calibri" w:cs="Calibri"/>
          <w:i/>
        </w:rPr>
      </w:pPr>
      <w:r w:rsidRPr="00B97413">
        <w:rPr>
          <w:rFonts w:ascii="Calibri" w:eastAsia="Calibri" w:hAnsi="Calibri" w:cs="Calibri"/>
          <w:i/>
        </w:rPr>
        <w:t>EPI coverage extraction and adjustment</w:t>
      </w:r>
    </w:p>
    <w:p w14:paraId="11882897" w14:textId="047724AE" w:rsidR="00B3610D" w:rsidRPr="00B97413" w:rsidRDefault="00000000">
      <w:pPr>
        <w:rPr>
          <w:rFonts w:ascii="Calibri" w:eastAsia="Calibri" w:hAnsi="Calibri" w:cs="Calibri"/>
        </w:rPr>
      </w:pPr>
      <w:r w:rsidRPr="00B97413">
        <w:rPr>
          <w:rFonts w:ascii="Calibri" w:eastAsia="Calibri" w:hAnsi="Calibri" w:cs="Calibri"/>
        </w:rPr>
        <w:t xml:space="preserve">EPI coverage estimates for </w:t>
      </w:r>
      <w:r w:rsidR="00217474">
        <w:rPr>
          <w:rFonts w:ascii="Calibri" w:eastAsia="Calibri" w:hAnsi="Calibri" w:cs="Calibri"/>
        </w:rPr>
        <w:t>DTP-2, DTP-3</w:t>
      </w:r>
      <w:r w:rsidR="00344E4B">
        <w:rPr>
          <w:rFonts w:ascii="Calibri" w:eastAsia="Calibri" w:hAnsi="Calibri" w:cs="Calibri"/>
        </w:rPr>
        <w:t>,</w:t>
      </w:r>
      <w:r w:rsidR="00217474">
        <w:rPr>
          <w:rFonts w:ascii="Calibri" w:eastAsia="Calibri" w:hAnsi="Calibri" w:cs="Calibri"/>
        </w:rPr>
        <w:t xml:space="preserve"> and measles per State (admin 1 unit) </w:t>
      </w:r>
      <w:r w:rsidRPr="00B97413">
        <w:rPr>
          <w:rFonts w:ascii="Calibri" w:eastAsia="Calibri" w:hAnsi="Calibri" w:cs="Calibri"/>
        </w:rPr>
        <w:t>were obtained from the NDHS 2018</w:t>
      </w:r>
      <w:r w:rsidR="00E008E1">
        <w:rPr>
          <w:rFonts w:ascii="Calibri" w:eastAsia="Calibri" w:hAnsi="Calibri" w:cs="Calibri"/>
        </w:rPr>
        <w:t xml:space="preserve"> [15]</w:t>
      </w:r>
      <w:r w:rsidR="00217474">
        <w:rPr>
          <w:rFonts w:ascii="Calibri" w:eastAsia="Calibri" w:hAnsi="Calibri" w:cs="Calibri"/>
        </w:rPr>
        <w:t xml:space="preserve">, accessing the API via the </w:t>
      </w:r>
      <w:r w:rsidR="00217474" w:rsidRPr="00217474">
        <w:rPr>
          <w:rFonts w:ascii="Calibri" w:eastAsia="Calibri" w:hAnsi="Calibri" w:cs="Calibri"/>
          <w:i/>
          <w:iCs/>
        </w:rPr>
        <w:t>rdhs</w:t>
      </w:r>
      <w:r w:rsidR="00217474">
        <w:rPr>
          <w:rFonts w:ascii="Calibri" w:eastAsia="Calibri" w:hAnsi="Calibri" w:cs="Calibri"/>
        </w:rPr>
        <w:t xml:space="preserve"> package</w:t>
      </w:r>
      <w:r w:rsidR="0078430F">
        <w:rPr>
          <w:rFonts w:ascii="Calibri" w:eastAsia="Calibri" w:hAnsi="Calibri" w:cs="Calibri"/>
        </w:rPr>
        <w:t xml:space="preserve"> [1</w:t>
      </w:r>
      <w:r w:rsidR="00E008E1">
        <w:rPr>
          <w:rFonts w:ascii="Calibri" w:eastAsia="Calibri" w:hAnsi="Calibri" w:cs="Calibri"/>
        </w:rPr>
        <w:t>6</w:t>
      </w:r>
      <w:r w:rsidR="0078430F">
        <w:rPr>
          <w:rFonts w:ascii="Calibri" w:eastAsia="Calibri" w:hAnsi="Calibri" w:cs="Calibri"/>
        </w:rPr>
        <w:t>]</w:t>
      </w:r>
      <w:r w:rsidRPr="00B97413">
        <w:rPr>
          <w:rFonts w:ascii="Calibri" w:eastAsia="Calibri" w:hAnsi="Calibri" w:cs="Calibri"/>
        </w:rPr>
        <w:t xml:space="preserve">. The coverage </w:t>
      </w:r>
      <w:r w:rsidR="00217474">
        <w:rPr>
          <w:rFonts w:ascii="Calibri" w:eastAsia="Calibri" w:hAnsi="Calibri" w:cs="Calibri"/>
        </w:rPr>
        <w:t>was</w:t>
      </w:r>
      <w:r w:rsidRPr="00B97413">
        <w:rPr>
          <w:rFonts w:ascii="Calibri" w:eastAsia="Calibri" w:hAnsi="Calibri" w:cs="Calibri"/>
        </w:rPr>
        <w:t xml:space="preserve"> adjusted to indirectly account for operational intervention implementation factors</w:t>
      </w:r>
      <w:r w:rsidR="00217474">
        <w:rPr>
          <w:rFonts w:ascii="Calibri" w:eastAsia="Calibri" w:hAnsi="Calibri" w:cs="Calibri"/>
        </w:rPr>
        <w:t xml:space="preserve">, using observed differences in coverage between EPI and PMC in an </w:t>
      </w:r>
      <w:r w:rsidRPr="00B97413">
        <w:rPr>
          <w:rFonts w:ascii="Calibri" w:eastAsia="Calibri" w:hAnsi="Calibri" w:cs="Calibri"/>
        </w:rPr>
        <w:t xml:space="preserve">implementation pilot study in Sierra Leone in 2019 </w:t>
      </w:r>
      <w:hyperlink r:id="rId53">
        <w:r w:rsidRPr="00B97413">
          <w:rPr>
            <w:rFonts w:ascii="Calibri" w:eastAsia="Calibri" w:hAnsi="Calibri" w:cs="Calibri"/>
          </w:rPr>
          <w:t>[1</w:t>
        </w:r>
        <w:r w:rsidR="00E008E1">
          <w:rPr>
            <w:rFonts w:ascii="Calibri" w:eastAsia="Calibri" w:hAnsi="Calibri" w:cs="Calibri"/>
          </w:rPr>
          <w:t>7</w:t>
        </w:r>
        <w:r w:rsidRPr="00B97413">
          <w:rPr>
            <w:rFonts w:ascii="Calibri" w:eastAsia="Calibri" w:hAnsi="Calibri" w:cs="Calibri"/>
          </w:rPr>
          <w:t>]</w:t>
        </w:r>
      </w:hyperlink>
      <w:r w:rsidR="00217474">
        <w:rPr>
          <w:rFonts w:ascii="Calibri" w:eastAsia="Calibri" w:hAnsi="Calibri" w:cs="Calibri"/>
        </w:rPr>
        <w:t>. In that study, researchers</w:t>
      </w:r>
      <w:r w:rsidRPr="00B97413">
        <w:rPr>
          <w:rFonts w:ascii="Calibri" w:eastAsia="Calibri" w:hAnsi="Calibri" w:cs="Calibri"/>
        </w:rPr>
        <w:t xml:space="preserve"> observed lower coverage for IPTi/PMC compared to the EPI vaccines administered at the same age</w:t>
      </w:r>
      <w:r w:rsidR="00217474">
        <w:rPr>
          <w:rFonts w:ascii="Calibri" w:eastAsia="Calibri" w:hAnsi="Calibri" w:cs="Calibri"/>
        </w:rPr>
        <w:t>,</w:t>
      </w:r>
      <w:r w:rsidRPr="00B97413">
        <w:rPr>
          <w:rFonts w:ascii="Calibri" w:eastAsia="Calibri" w:hAnsi="Calibri" w:cs="Calibri"/>
        </w:rPr>
        <w:t xml:space="preserve"> and their ratio was used to downscale the EPI coverage levels for Nigeria as proxy for</w:t>
      </w:r>
      <w:r w:rsidR="00840085">
        <w:rPr>
          <w:rFonts w:ascii="Calibri" w:eastAsia="Calibri" w:hAnsi="Calibri" w:cs="Calibri"/>
        </w:rPr>
        <w:t xml:space="preserve"> </w:t>
      </w:r>
      <w:r w:rsidRPr="00B97413">
        <w:rPr>
          <w:rFonts w:ascii="Calibri" w:eastAsia="Calibri" w:hAnsi="Calibri" w:cs="Calibri"/>
        </w:rPr>
        <w:t xml:space="preserve">PMC coverage. </w:t>
      </w:r>
    </w:p>
    <w:p w14:paraId="2F89D969" w14:textId="6E8DB566" w:rsidR="00B3610D" w:rsidRDefault="00B3610D">
      <w:pPr>
        <w:rPr>
          <w:rFonts w:ascii="Calibri" w:eastAsia="Calibri" w:hAnsi="Calibri" w:cs="Calibri"/>
        </w:rPr>
      </w:pPr>
    </w:p>
    <w:p w14:paraId="4D74F354" w14:textId="1AA7BF4D" w:rsidR="003257A4" w:rsidRDefault="003257A4">
      <w:pPr>
        <w:rPr>
          <w:rFonts w:ascii="Calibri" w:eastAsia="Calibri" w:hAnsi="Calibri" w:cs="Calibri"/>
        </w:rPr>
      </w:pPr>
    </w:p>
    <w:p w14:paraId="3062A206" w14:textId="52EE8ABC" w:rsidR="003257A4" w:rsidRDefault="003257A4">
      <w:pPr>
        <w:rPr>
          <w:rFonts w:ascii="Calibri" w:eastAsia="Calibri" w:hAnsi="Calibri" w:cs="Calibri"/>
        </w:rPr>
      </w:pPr>
    </w:p>
    <w:p w14:paraId="244D1DDF" w14:textId="3D7FCA1B" w:rsidR="003257A4" w:rsidRDefault="003257A4">
      <w:pPr>
        <w:rPr>
          <w:rFonts w:ascii="Calibri" w:eastAsia="Calibri" w:hAnsi="Calibri" w:cs="Calibri"/>
        </w:rPr>
      </w:pPr>
    </w:p>
    <w:p w14:paraId="6A793C55" w14:textId="480C7081" w:rsidR="003257A4" w:rsidRDefault="003257A4">
      <w:pPr>
        <w:rPr>
          <w:rFonts w:ascii="Calibri" w:eastAsia="Calibri" w:hAnsi="Calibri" w:cs="Calibri"/>
        </w:rPr>
      </w:pPr>
    </w:p>
    <w:p w14:paraId="2044E6B9" w14:textId="0E54033A" w:rsidR="003257A4" w:rsidRDefault="003257A4">
      <w:pPr>
        <w:rPr>
          <w:rFonts w:ascii="Calibri" w:eastAsia="Calibri" w:hAnsi="Calibri" w:cs="Calibri"/>
        </w:rPr>
      </w:pPr>
    </w:p>
    <w:p w14:paraId="480C8E81" w14:textId="24C3BAD0" w:rsidR="003257A4" w:rsidRDefault="003257A4">
      <w:pPr>
        <w:rPr>
          <w:rFonts w:ascii="Calibri" w:eastAsia="Calibri" w:hAnsi="Calibri" w:cs="Calibri"/>
        </w:rPr>
      </w:pPr>
    </w:p>
    <w:p w14:paraId="56665F98" w14:textId="77777777" w:rsidR="00B3610D" w:rsidRPr="00B97413" w:rsidRDefault="00000000">
      <w:pPr>
        <w:rPr>
          <w:rFonts w:ascii="Calibri" w:eastAsia="Calibri" w:hAnsi="Calibri" w:cs="Calibri"/>
          <w:i/>
        </w:rPr>
      </w:pPr>
      <w:r w:rsidRPr="00B97413">
        <w:rPr>
          <w:rFonts w:ascii="Calibri" w:eastAsia="Calibri" w:hAnsi="Calibri" w:cs="Calibri"/>
          <w:i/>
        </w:rPr>
        <w:t>Clinical and severe treatment coverage</w:t>
      </w:r>
    </w:p>
    <w:p w14:paraId="306E2AE1" w14:textId="1EBD587B" w:rsidR="00B3610D" w:rsidRPr="00B97413" w:rsidRDefault="00000000">
      <w:pPr>
        <w:spacing w:line="259" w:lineRule="auto"/>
        <w:rPr>
          <w:rFonts w:ascii="Calibri" w:eastAsia="Calibri" w:hAnsi="Calibri" w:cs="Calibri"/>
        </w:rPr>
      </w:pPr>
      <w:r w:rsidRPr="00B97413">
        <w:rPr>
          <w:rFonts w:ascii="Calibri" w:eastAsia="Calibri" w:hAnsi="Calibri" w:cs="Calibri"/>
        </w:rPr>
        <w:lastRenderedPageBreak/>
        <w:t xml:space="preserve">The proportion of febrile children </w:t>
      </w:r>
      <w:r w:rsidR="00A4164D">
        <w:rPr>
          <w:rFonts w:ascii="Calibri" w:eastAsia="Calibri" w:hAnsi="Calibri" w:cs="Calibri"/>
        </w:rPr>
        <w:t xml:space="preserve">under the age of five years </w:t>
      </w:r>
      <w:r w:rsidRPr="00B97413">
        <w:rPr>
          <w:rFonts w:ascii="Calibri" w:eastAsia="Calibri" w:hAnsi="Calibri" w:cs="Calibri"/>
        </w:rPr>
        <w:t xml:space="preserve">who took an </w:t>
      </w:r>
      <w:r w:rsidR="00A4164D" w:rsidRPr="00A4164D">
        <w:rPr>
          <w:rFonts w:ascii="Calibri" w:eastAsia="Calibri" w:hAnsi="Calibri" w:cs="Calibri"/>
        </w:rPr>
        <w:t>artemisinin-based combination therapy</w:t>
      </w:r>
      <w:r w:rsidR="00A4164D" w:rsidRPr="00A4164D">
        <w:rPr>
          <w:rFonts w:ascii="Calibri" w:eastAsia="Calibri" w:hAnsi="Calibri" w:cs="Calibri"/>
        </w:rPr>
        <w:t xml:space="preserve"> </w:t>
      </w:r>
      <w:r w:rsidRPr="00B97413">
        <w:rPr>
          <w:rFonts w:ascii="Calibri" w:eastAsia="Calibri" w:hAnsi="Calibri" w:cs="Calibri"/>
        </w:rPr>
        <w:t xml:space="preserve">in the two weeks preceding the survey from the NDHS 2018 was used as an indicator for effective treatment coverage per clinical case under the age of </w:t>
      </w:r>
      <w:r w:rsidR="00C16A61">
        <w:rPr>
          <w:rFonts w:ascii="Calibri" w:eastAsia="Calibri" w:hAnsi="Calibri" w:cs="Calibri"/>
        </w:rPr>
        <w:t>five</w:t>
      </w:r>
      <w:r w:rsidRPr="00B97413">
        <w:rPr>
          <w:rFonts w:ascii="Calibri" w:eastAsia="Calibri" w:hAnsi="Calibri" w:cs="Calibri"/>
        </w:rPr>
        <w:t xml:space="preserve"> years</w:t>
      </w:r>
      <w:r w:rsidR="000151A4">
        <w:rPr>
          <w:rFonts w:ascii="Calibri" w:eastAsia="Calibri" w:hAnsi="Calibri" w:cs="Calibri"/>
        </w:rPr>
        <w:t xml:space="preserve"> </w:t>
      </w:r>
      <w:r w:rsidRPr="00B97413">
        <w:rPr>
          <w:rFonts w:ascii="Calibri" w:eastAsia="Calibri" w:hAnsi="Calibri" w:cs="Calibri"/>
        </w:rPr>
        <w:t xml:space="preserve">in the simulation. </w:t>
      </w:r>
      <w:r w:rsidR="001B5C17">
        <w:rPr>
          <w:rFonts w:ascii="Calibri" w:eastAsia="Calibri" w:hAnsi="Calibri" w:cs="Calibri"/>
        </w:rPr>
        <w:t xml:space="preserve">The calculation was </w:t>
      </w:r>
      <w:r w:rsidR="005B5AE7">
        <w:rPr>
          <w:rFonts w:ascii="Calibri" w:eastAsia="Calibri" w:hAnsi="Calibri" w:cs="Calibri"/>
        </w:rPr>
        <w:t>performed</w:t>
      </w:r>
      <w:r w:rsidR="001B5C17">
        <w:rPr>
          <w:rFonts w:ascii="Calibri" w:eastAsia="Calibri" w:hAnsi="Calibri" w:cs="Calibri"/>
        </w:rPr>
        <w:t xml:space="preserve"> using household cluster level data in alignment to previous Nigeria modeling analysis [11]. </w:t>
      </w:r>
      <w:r w:rsidRPr="00B97413">
        <w:rPr>
          <w:rFonts w:ascii="Calibri" w:eastAsia="Calibri" w:hAnsi="Calibri" w:cs="Calibri"/>
        </w:rPr>
        <w:t xml:space="preserve">The severe treatment coverage was fixed at </w:t>
      </w:r>
      <w:r w:rsidR="00A4164D">
        <w:rPr>
          <w:rFonts w:ascii="Calibri" w:eastAsia="Calibri" w:hAnsi="Calibri" w:cs="Calibri"/>
        </w:rPr>
        <w:t xml:space="preserve">an optimistic </w:t>
      </w:r>
      <w:r w:rsidRPr="00B97413">
        <w:rPr>
          <w:rFonts w:ascii="Calibri" w:eastAsia="Calibri" w:hAnsi="Calibri" w:cs="Calibri"/>
        </w:rPr>
        <w:t>80%</w:t>
      </w:r>
      <w:r w:rsidR="00A4164D">
        <w:rPr>
          <w:rFonts w:ascii="Calibri" w:eastAsia="Calibri" w:hAnsi="Calibri" w:cs="Calibri"/>
        </w:rPr>
        <w:t>, as in the geographic-agnostic run</w:t>
      </w:r>
      <w:r w:rsidRPr="00B97413">
        <w:rPr>
          <w:rFonts w:ascii="Calibri" w:eastAsia="Calibri" w:hAnsi="Calibri" w:cs="Calibri"/>
        </w:rPr>
        <w:t xml:space="preserve">. </w:t>
      </w:r>
    </w:p>
    <w:p w14:paraId="0D6FB95B" w14:textId="77777777" w:rsidR="00B3610D" w:rsidRPr="00B97413" w:rsidRDefault="00B3610D">
      <w:pPr>
        <w:spacing w:line="259" w:lineRule="auto"/>
        <w:rPr>
          <w:rFonts w:ascii="Calibri" w:eastAsia="Calibri" w:hAnsi="Calibri" w:cs="Calibri"/>
        </w:rPr>
      </w:pPr>
    </w:p>
    <w:p w14:paraId="122693B4" w14:textId="77777777" w:rsidR="00B3610D" w:rsidRPr="00B97413" w:rsidRDefault="00000000">
      <w:pPr>
        <w:spacing w:line="259" w:lineRule="auto"/>
        <w:rPr>
          <w:rFonts w:ascii="Calibri" w:eastAsia="Calibri" w:hAnsi="Calibri" w:cs="Calibri"/>
        </w:rPr>
      </w:pPr>
      <w:r w:rsidRPr="00B97413">
        <w:rPr>
          <w:rFonts w:ascii="Calibri" w:eastAsia="Calibri" w:hAnsi="Calibri" w:cs="Calibri"/>
          <w:noProof/>
        </w:rPr>
        <w:drawing>
          <wp:inline distT="114300" distB="114300" distL="114300" distR="114300" wp14:anchorId="7F80C89B" wp14:editId="0A9CDB3F">
            <wp:extent cx="5731200" cy="3441700"/>
            <wp:effectExtent l="0" t="0" r="0" b="0"/>
            <wp:docPr id="23"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54"/>
                    <a:srcRect l="35" r="35"/>
                    <a:stretch>
                      <a:fillRect/>
                    </a:stretch>
                  </pic:blipFill>
                  <pic:spPr>
                    <a:xfrm>
                      <a:off x="0" y="0"/>
                      <a:ext cx="5731200" cy="3441700"/>
                    </a:xfrm>
                    <a:prstGeom prst="rect">
                      <a:avLst/>
                    </a:prstGeom>
                    <a:ln/>
                  </pic:spPr>
                </pic:pic>
              </a:graphicData>
            </a:graphic>
          </wp:inline>
        </w:drawing>
      </w:r>
    </w:p>
    <w:p w14:paraId="6CFD2A58" w14:textId="1808C43A" w:rsidR="00B3610D" w:rsidRPr="0078430F" w:rsidRDefault="00000000">
      <w:pPr>
        <w:rPr>
          <w:rFonts w:ascii="Calibri" w:eastAsia="Calibri" w:hAnsi="Calibri" w:cs="Calibri"/>
          <w:sz w:val="20"/>
          <w:szCs w:val="20"/>
        </w:rPr>
      </w:pPr>
      <w:r w:rsidRPr="0078430F">
        <w:rPr>
          <w:rFonts w:ascii="Calibri" w:eastAsia="Calibri" w:hAnsi="Calibri" w:cs="Calibri"/>
          <w:b/>
          <w:sz w:val="20"/>
          <w:szCs w:val="20"/>
        </w:rPr>
        <w:t xml:space="preserve">Fig </w:t>
      </w:r>
      <w:r w:rsidR="0078430F" w:rsidRPr="0078430F">
        <w:rPr>
          <w:rFonts w:ascii="Calibri" w:eastAsia="Calibri" w:hAnsi="Calibri" w:cs="Calibri"/>
          <w:b/>
          <w:sz w:val="20"/>
          <w:szCs w:val="20"/>
        </w:rPr>
        <w:t>A</w:t>
      </w:r>
      <w:r w:rsidRPr="0078430F">
        <w:rPr>
          <w:rFonts w:ascii="Calibri" w:eastAsia="Calibri" w:hAnsi="Calibri" w:cs="Calibri"/>
          <w:b/>
          <w:sz w:val="20"/>
          <w:szCs w:val="20"/>
        </w:rPr>
        <w:t xml:space="preserve">1.4.2: A) </w:t>
      </w:r>
      <w:r w:rsidRPr="0078430F">
        <w:rPr>
          <w:rFonts w:ascii="Calibri" w:eastAsia="Calibri" w:hAnsi="Calibri" w:cs="Calibri"/>
          <w:sz w:val="20"/>
          <w:szCs w:val="20"/>
        </w:rPr>
        <w:t>Map of clinical treatment coverage in Southern Nigeria and</w:t>
      </w:r>
      <w:r w:rsidRPr="0078430F">
        <w:rPr>
          <w:rFonts w:ascii="Calibri" w:eastAsia="Calibri" w:hAnsi="Calibri" w:cs="Calibri"/>
          <w:b/>
          <w:sz w:val="20"/>
          <w:szCs w:val="20"/>
        </w:rPr>
        <w:t xml:space="preserve"> B)</w:t>
      </w:r>
      <w:r w:rsidRPr="0078430F">
        <w:rPr>
          <w:rFonts w:ascii="Calibri" w:eastAsia="Calibri" w:hAnsi="Calibri" w:cs="Calibri"/>
          <w:sz w:val="20"/>
          <w:szCs w:val="20"/>
        </w:rPr>
        <w:t xml:space="preserve"> values per State.</w:t>
      </w:r>
      <w:r w:rsidR="00C16A61" w:rsidRPr="0078430F">
        <w:rPr>
          <w:rFonts w:ascii="Calibri" w:eastAsia="Calibri" w:hAnsi="Calibri" w:cs="Calibri"/>
          <w:sz w:val="20"/>
          <w:szCs w:val="20"/>
        </w:rPr>
        <w:t xml:space="preserve"> Data source</w:t>
      </w:r>
      <w:r w:rsidR="0030161E">
        <w:rPr>
          <w:rFonts w:ascii="Calibri" w:eastAsia="Calibri" w:hAnsi="Calibri" w:cs="Calibri"/>
          <w:sz w:val="20"/>
          <w:szCs w:val="20"/>
        </w:rPr>
        <w:t>s</w:t>
      </w:r>
      <w:r w:rsidR="00C16A61" w:rsidRPr="0078430F">
        <w:rPr>
          <w:rFonts w:ascii="Calibri" w:eastAsia="Calibri" w:hAnsi="Calibri" w:cs="Calibri"/>
          <w:sz w:val="20"/>
          <w:szCs w:val="20"/>
        </w:rPr>
        <w:t>: NDHS 2018</w:t>
      </w:r>
      <w:r w:rsidR="00E008E1">
        <w:rPr>
          <w:rFonts w:ascii="Calibri" w:eastAsia="Calibri" w:hAnsi="Calibri" w:cs="Calibri"/>
          <w:sz w:val="20"/>
          <w:szCs w:val="20"/>
        </w:rPr>
        <w:t xml:space="preserve"> [15]</w:t>
      </w:r>
      <w:r w:rsidR="00C16A61" w:rsidRPr="0078430F">
        <w:rPr>
          <w:rFonts w:ascii="Calibri" w:eastAsia="Calibri" w:hAnsi="Calibri" w:cs="Calibri"/>
          <w:sz w:val="20"/>
          <w:szCs w:val="20"/>
        </w:rPr>
        <w:t xml:space="preserve">. </w:t>
      </w:r>
    </w:p>
    <w:p w14:paraId="474E5686" w14:textId="77777777" w:rsidR="00B3610D" w:rsidRPr="00B97413" w:rsidRDefault="00B3610D">
      <w:pPr>
        <w:rPr>
          <w:rFonts w:ascii="Calibri" w:eastAsia="Calibri" w:hAnsi="Calibri" w:cs="Calibri"/>
          <w:i/>
        </w:rPr>
      </w:pPr>
    </w:p>
    <w:p w14:paraId="235A2388" w14:textId="78B4D478" w:rsidR="00B3610D" w:rsidRPr="00B97413" w:rsidRDefault="00030900">
      <w:pPr>
        <w:rPr>
          <w:rFonts w:ascii="Calibri" w:eastAsia="Calibri" w:hAnsi="Calibri" w:cs="Calibri"/>
          <w:i/>
        </w:rPr>
      </w:pPr>
      <w:r>
        <w:rPr>
          <w:rFonts w:ascii="Calibri" w:eastAsia="Calibri" w:hAnsi="Calibri" w:cs="Calibri"/>
          <w:i/>
        </w:rPr>
        <w:t>Transmission intensity and seasonality</w:t>
      </w:r>
    </w:p>
    <w:p w14:paraId="31B864A7" w14:textId="52202A17" w:rsidR="00030900" w:rsidRDefault="00030900">
      <w:pPr>
        <w:rPr>
          <w:rFonts w:ascii="Calibri" w:eastAsia="Calibri" w:hAnsi="Calibri" w:cs="Calibri"/>
        </w:rPr>
      </w:pPr>
      <w:r>
        <w:rPr>
          <w:rFonts w:ascii="Calibri" w:eastAsia="Calibri" w:hAnsi="Calibri" w:cs="Calibri"/>
        </w:rPr>
        <w:t>We extracted State-level malaria prevalence in children U5 (</w:t>
      </w:r>
      <w:r>
        <w:rPr>
          <w:rFonts w:ascii="Calibri" w:eastAsia="Calibri" w:hAnsi="Calibri" w:cs="Calibri"/>
          <w:i/>
        </w:rPr>
        <w:t>Pf</w:t>
      </w:r>
      <w:r>
        <w:rPr>
          <w:rFonts w:ascii="Calibri" w:eastAsia="Calibri" w:hAnsi="Calibri" w:cs="Calibri"/>
        </w:rPr>
        <w:t>PR</w:t>
      </w:r>
      <w:r>
        <w:rPr>
          <w:rFonts w:ascii="Calibri" w:eastAsia="Calibri" w:hAnsi="Calibri" w:cs="Calibri"/>
          <w:vertAlign w:val="subscript"/>
        </w:rPr>
        <w:t>0.25-5</w:t>
      </w:r>
      <w:r>
        <w:rPr>
          <w:rFonts w:ascii="Calibri" w:eastAsia="Calibri" w:hAnsi="Calibri" w:cs="Calibri"/>
        </w:rPr>
        <w:t xml:space="preserve">) based on rapid diagnostic tests, EPI coverage in children </w:t>
      </w:r>
      <w:r w:rsidRPr="00CF1BF1">
        <w:rPr>
          <w:rFonts w:ascii="Calibri" w:eastAsia="Calibri" w:hAnsi="Calibri" w:cs="Calibri"/>
        </w:rPr>
        <w:t>12-23</w:t>
      </w:r>
      <w:r>
        <w:rPr>
          <w:rFonts w:ascii="Calibri" w:eastAsia="Calibri" w:hAnsi="Calibri" w:cs="Calibri"/>
        </w:rPr>
        <w:t xml:space="preserve"> months of age, and case management coverage in children U5 from the NDHS 2018. To obtain appropriate input EIR level for each State, we used the </w:t>
      </w:r>
      <w:r>
        <w:rPr>
          <w:rFonts w:ascii="Calibri" w:eastAsia="Calibri" w:hAnsi="Calibri" w:cs="Calibri"/>
          <w:i/>
        </w:rPr>
        <w:t>Pf</w:t>
      </w:r>
      <w:r>
        <w:rPr>
          <w:rFonts w:ascii="Calibri" w:eastAsia="Calibri" w:hAnsi="Calibri" w:cs="Calibri"/>
        </w:rPr>
        <w:t>PR</w:t>
      </w:r>
      <w:r>
        <w:rPr>
          <w:rFonts w:ascii="Calibri" w:eastAsia="Calibri" w:hAnsi="Calibri" w:cs="Calibri"/>
          <w:vertAlign w:val="subscript"/>
        </w:rPr>
        <w:t xml:space="preserve">0.25-5 </w:t>
      </w:r>
      <w:r>
        <w:rPr>
          <w:rFonts w:ascii="Calibri" w:eastAsia="Calibri" w:hAnsi="Calibri" w:cs="Calibri"/>
        </w:rPr>
        <w:t>-EIR relationship from previous simulation runs</w:t>
      </w:r>
      <w:r w:rsidR="000151A4">
        <w:rPr>
          <w:rFonts w:ascii="Calibri" w:eastAsia="Calibri" w:hAnsi="Calibri" w:cs="Calibri"/>
        </w:rPr>
        <w:t xml:space="preserve"> </w:t>
      </w:r>
      <w:r>
        <w:rPr>
          <w:rFonts w:ascii="Calibri" w:eastAsia="Calibri" w:hAnsi="Calibri" w:cs="Calibri"/>
        </w:rPr>
        <w:t>(</w:t>
      </w:r>
      <w:r w:rsidRPr="00030900">
        <w:rPr>
          <w:rFonts w:ascii="Calibri" w:eastAsia="Calibri" w:hAnsi="Calibri" w:cs="Calibri"/>
        </w:rPr>
        <w:t xml:space="preserve">Fig </w:t>
      </w:r>
      <w:r w:rsidR="0078430F">
        <w:rPr>
          <w:rFonts w:ascii="Calibri" w:eastAsia="Calibri" w:hAnsi="Calibri" w:cs="Calibri"/>
        </w:rPr>
        <w:t>A</w:t>
      </w:r>
      <w:r w:rsidRPr="00030900">
        <w:rPr>
          <w:rFonts w:ascii="Calibri" w:eastAsia="Calibri" w:hAnsi="Calibri" w:cs="Calibri"/>
        </w:rPr>
        <w:t>1.4.3</w:t>
      </w:r>
      <w:r w:rsidR="00C5717F">
        <w:rPr>
          <w:rFonts w:ascii="Calibri" w:eastAsia="Calibri" w:hAnsi="Calibri" w:cs="Calibri"/>
        </w:rPr>
        <w:t xml:space="preserve"> A-B</w:t>
      </w:r>
      <w:r>
        <w:rPr>
          <w:rFonts w:ascii="Calibri" w:eastAsia="Calibri" w:hAnsi="Calibri" w:cs="Calibri"/>
        </w:rPr>
        <w:t>).</w:t>
      </w:r>
    </w:p>
    <w:p w14:paraId="5411CB82" w14:textId="76F86E1B" w:rsidR="00B3610D" w:rsidRDefault="00C16A61">
      <w:pPr>
        <w:rPr>
          <w:rFonts w:ascii="Calibri" w:eastAsia="Calibri" w:hAnsi="Calibri" w:cs="Calibri"/>
        </w:rPr>
      </w:pPr>
      <w:r>
        <w:rPr>
          <w:rFonts w:ascii="Calibri" w:eastAsia="Calibri" w:hAnsi="Calibri" w:cs="Calibri"/>
        </w:rPr>
        <w:t>To inform transmission seasonality, m</w:t>
      </w:r>
      <w:r w:rsidRPr="00B97413">
        <w:rPr>
          <w:rFonts w:ascii="Calibri" w:eastAsia="Calibri" w:hAnsi="Calibri" w:cs="Calibri"/>
        </w:rPr>
        <w:t>onthly</w:t>
      </w:r>
      <w:r>
        <w:rPr>
          <w:rFonts w:ascii="Calibri" w:eastAsia="Calibri" w:hAnsi="Calibri" w:cs="Calibri"/>
        </w:rPr>
        <w:t xml:space="preserve"> mean</w:t>
      </w:r>
      <w:r w:rsidRPr="00B97413">
        <w:rPr>
          <w:rFonts w:ascii="Calibri" w:eastAsia="Calibri" w:hAnsi="Calibri" w:cs="Calibri"/>
        </w:rPr>
        <w:t xml:space="preserve"> EIR values for 2020 per </w:t>
      </w:r>
      <w:r>
        <w:rPr>
          <w:rFonts w:ascii="Calibri" w:eastAsia="Calibri" w:hAnsi="Calibri" w:cs="Calibri"/>
        </w:rPr>
        <w:t xml:space="preserve">State </w:t>
      </w:r>
      <w:r w:rsidRPr="00B97413">
        <w:rPr>
          <w:rFonts w:ascii="Calibri" w:eastAsia="Calibri" w:hAnsi="Calibri" w:cs="Calibri"/>
        </w:rPr>
        <w:t>were obtained from the simulation outputs from a previous EMOD model calibrated to monthly incidence and survey malaria prevalence in Nigeria</w:t>
      </w:r>
      <w:r w:rsidRPr="00B97413">
        <w:rPr>
          <w:rFonts w:ascii="Calibri" w:eastAsia="Calibri" w:hAnsi="Calibri" w:cs="Calibri"/>
          <w:sz w:val="20"/>
          <w:szCs w:val="20"/>
        </w:rPr>
        <w:t xml:space="preserve"> </w:t>
      </w:r>
      <w:hyperlink r:id="rId55">
        <w:r w:rsidRPr="00B97413">
          <w:rPr>
            <w:rFonts w:ascii="Calibri" w:eastAsia="Calibri" w:hAnsi="Calibri" w:cs="Calibri"/>
          </w:rPr>
          <w:t>[11]</w:t>
        </w:r>
      </w:hyperlink>
      <w:r w:rsidR="002E0FC7">
        <w:rPr>
          <w:rFonts w:ascii="Calibri" w:eastAsia="Calibri" w:hAnsi="Calibri" w:cs="Calibri"/>
        </w:rPr>
        <w:t xml:space="preserve"> (</w:t>
      </w:r>
      <w:r w:rsidR="002E0FC7" w:rsidRPr="00030900">
        <w:rPr>
          <w:rFonts w:ascii="Calibri" w:eastAsia="Calibri" w:hAnsi="Calibri" w:cs="Calibri"/>
        </w:rPr>
        <w:t xml:space="preserve">Fig </w:t>
      </w:r>
      <w:r w:rsidR="0078430F">
        <w:rPr>
          <w:rFonts w:ascii="Calibri" w:eastAsia="Calibri" w:hAnsi="Calibri" w:cs="Calibri"/>
        </w:rPr>
        <w:t>A</w:t>
      </w:r>
      <w:r w:rsidR="002E0FC7" w:rsidRPr="00030900">
        <w:rPr>
          <w:rFonts w:ascii="Calibri" w:eastAsia="Calibri" w:hAnsi="Calibri" w:cs="Calibri"/>
        </w:rPr>
        <w:t>1.4.3</w:t>
      </w:r>
      <w:r w:rsidR="002E0FC7">
        <w:rPr>
          <w:rFonts w:ascii="Calibri" w:eastAsia="Calibri" w:hAnsi="Calibri" w:cs="Calibri"/>
        </w:rPr>
        <w:t xml:space="preserve"> C)</w:t>
      </w:r>
      <w:r>
        <w:rPr>
          <w:rFonts w:ascii="Calibri" w:eastAsia="Calibri" w:hAnsi="Calibri" w:cs="Calibri"/>
        </w:rPr>
        <w:t>.</w:t>
      </w:r>
      <w:r w:rsidR="00030900">
        <w:rPr>
          <w:rFonts w:ascii="Calibri" w:eastAsia="Calibri" w:hAnsi="Calibri" w:cs="Calibri"/>
        </w:rPr>
        <w:t xml:space="preserve"> </w:t>
      </w:r>
    </w:p>
    <w:p w14:paraId="4CD64B1A" w14:textId="77777777" w:rsidR="00B97413" w:rsidRPr="00B97413" w:rsidRDefault="00B97413">
      <w:pPr>
        <w:rPr>
          <w:rFonts w:ascii="Calibri" w:eastAsia="Calibri" w:hAnsi="Calibri" w:cs="Calibri"/>
        </w:rPr>
      </w:pPr>
    </w:p>
    <w:p w14:paraId="49B90F6B" w14:textId="719789F4" w:rsidR="00B3610D" w:rsidRDefault="00000000">
      <w:pPr>
        <w:rPr>
          <w:rFonts w:ascii="Calibri" w:eastAsia="Calibri" w:hAnsi="Calibri" w:cs="Calibri"/>
          <w:i/>
        </w:rPr>
      </w:pPr>
      <w:r w:rsidRPr="00B97413">
        <w:rPr>
          <w:rFonts w:ascii="Calibri" w:eastAsia="Calibri" w:hAnsi="Calibri" w:cs="Calibri"/>
          <w:i/>
          <w:noProof/>
        </w:rPr>
        <w:drawing>
          <wp:inline distT="114300" distB="114300" distL="114300" distR="114300" wp14:anchorId="3E93B9F5" wp14:editId="2B667A36">
            <wp:extent cx="5308979" cy="1794681"/>
            <wp:effectExtent l="0" t="0" r="6350" b="0"/>
            <wp:docPr id="1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6"/>
                    <a:srcRect/>
                    <a:stretch>
                      <a:fillRect/>
                    </a:stretch>
                  </pic:blipFill>
                  <pic:spPr>
                    <a:xfrm>
                      <a:off x="0" y="0"/>
                      <a:ext cx="5315917" cy="1797026"/>
                    </a:xfrm>
                    <a:prstGeom prst="rect">
                      <a:avLst/>
                    </a:prstGeom>
                    <a:ln/>
                  </pic:spPr>
                </pic:pic>
              </a:graphicData>
            </a:graphic>
          </wp:inline>
        </w:drawing>
      </w:r>
    </w:p>
    <w:p w14:paraId="5D944030" w14:textId="4EFCE1BE" w:rsidR="003257A4" w:rsidRPr="00B97413" w:rsidRDefault="003257A4">
      <w:pPr>
        <w:rPr>
          <w:rFonts w:ascii="Calibri" w:eastAsia="Calibri" w:hAnsi="Calibri" w:cs="Calibri"/>
          <w:i/>
        </w:rPr>
      </w:pPr>
      <w:r>
        <w:rPr>
          <w:noProof/>
        </w:rPr>
        <w:lastRenderedPageBreak/>
        <w:drawing>
          <wp:inline distT="0" distB="0" distL="0" distR="0" wp14:anchorId="13725A40" wp14:editId="121C1E15">
            <wp:extent cx="3721395" cy="1860903"/>
            <wp:effectExtent l="0" t="0" r="0" b="6350"/>
            <wp:docPr id="31" name="Picture 3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10;&#10;Description automatically generated"/>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748337" cy="1874376"/>
                    </a:xfrm>
                    <a:prstGeom prst="rect">
                      <a:avLst/>
                    </a:prstGeom>
                    <a:noFill/>
                    <a:ln>
                      <a:noFill/>
                    </a:ln>
                  </pic:spPr>
                </pic:pic>
              </a:graphicData>
            </a:graphic>
          </wp:inline>
        </w:drawing>
      </w:r>
    </w:p>
    <w:p w14:paraId="5B9169DD" w14:textId="5DC0AE06" w:rsidR="00B3610D" w:rsidRPr="0078430F" w:rsidRDefault="00000000">
      <w:pPr>
        <w:rPr>
          <w:rFonts w:ascii="Calibri" w:eastAsia="Calibri" w:hAnsi="Calibri" w:cs="Calibri"/>
          <w:i/>
          <w:sz w:val="20"/>
          <w:szCs w:val="20"/>
        </w:rPr>
      </w:pPr>
      <w:r w:rsidRPr="0078430F">
        <w:rPr>
          <w:rFonts w:ascii="Calibri" w:eastAsia="Calibri" w:hAnsi="Calibri" w:cs="Calibri"/>
          <w:b/>
          <w:sz w:val="20"/>
          <w:szCs w:val="20"/>
        </w:rPr>
        <w:t xml:space="preserve">Fig </w:t>
      </w:r>
      <w:r w:rsidR="0078430F" w:rsidRPr="0078430F">
        <w:rPr>
          <w:rFonts w:ascii="Calibri" w:eastAsia="Calibri" w:hAnsi="Calibri" w:cs="Calibri"/>
          <w:b/>
          <w:sz w:val="20"/>
          <w:szCs w:val="20"/>
        </w:rPr>
        <w:t>A</w:t>
      </w:r>
      <w:r w:rsidRPr="0078430F">
        <w:rPr>
          <w:rFonts w:ascii="Calibri" w:eastAsia="Calibri" w:hAnsi="Calibri" w:cs="Calibri"/>
          <w:b/>
          <w:sz w:val="20"/>
          <w:szCs w:val="20"/>
        </w:rPr>
        <w:t xml:space="preserve">1.4.3: </w:t>
      </w:r>
      <w:r w:rsidR="00B97413" w:rsidRPr="0078430F">
        <w:rPr>
          <w:rFonts w:ascii="Calibri" w:eastAsia="Calibri" w:hAnsi="Calibri" w:cs="Calibri"/>
          <w:b/>
          <w:sz w:val="20"/>
          <w:szCs w:val="20"/>
        </w:rPr>
        <w:t xml:space="preserve">A) </w:t>
      </w:r>
      <w:r w:rsidR="00B97413" w:rsidRPr="0078430F">
        <w:rPr>
          <w:rFonts w:ascii="Calibri" w:eastAsia="Calibri" w:hAnsi="Calibri" w:cs="Calibri"/>
          <w:bCs/>
          <w:sz w:val="20"/>
          <w:szCs w:val="20"/>
        </w:rPr>
        <w:t xml:space="preserve">Simulated EIR to prevalence relationship used to match DHS prevalence to </w:t>
      </w:r>
      <w:r w:rsidR="00F25C2E" w:rsidRPr="0078430F">
        <w:rPr>
          <w:rFonts w:ascii="Calibri" w:eastAsia="Calibri" w:hAnsi="Calibri" w:cs="Calibri"/>
          <w:bCs/>
          <w:sz w:val="20"/>
          <w:szCs w:val="20"/>
        </w:rPr>
        <w:t>simulation estimated</w:t>
      </w:r>
      <w:r w:rsidR="00B97413" w:rsidRPr="0078430F">
        <w:rPr>
          <w:rFonts w:ascii="Calibri" w:eastAsia="Calibri" w:hAnsi="Calibri" w:cs="Calibri"/>
          <w:bCs/>
          <w:sz w:val="20"/>
          <w:szCs w:val="20"/>
        </w:rPr>
        <w:t xml:space="preserve"> EIR levels per State.</w:t>
      </w:r>
      <w:r w:rsidR="00B97413" w:rsidRPr="0078430F">
        <w:rPr>
          <w:rFonts w:ascii="Calibri" w:eastAsia="Calibri" w:hAnsi="Calibri" w:cs="Calibri"/>
          <w:b/>
          <w:sz w:val="20"/>
          <w:szCs w:val="20"/>
        </w:rPr>
        <w:t xml:space="preserve"> B) </w:t>
      </w:r>
      <w:r w:rsidR="00B97413" w:rsidRPr="0078430F">
        <w:rPr>
          <w:rFonts w:ascii="Calibri" w:eastAsia="Calibri" w:hAnsi="Calibri" w:cs="Calibri"/>
          <w:bCs/>
          <w:sz w:val="20"/>
          <w:szCs w:val="20"/>
        </w:rPr>
        <w:t xml:space="preserve">Map of malaria prevalence in children under the age of </w:t>
      </w:r>
      <w:r w:rsidR="00F25C2E" w:rsidRPr="0078430F">
        <w:rPr>
          <w:rFonts w:ascii="Calibri" w:eastAsia="Calibri" w:hAnsi="Calibri" w:cs="Calibri"/>
          <w:bCs/>
          <w:sz w:val="20"/>
          <w:szCs w:val="20"/>
        </w:rPr>
        <w:t xml:space="preserve">five </w:t>
      </w:r>
      <w:r w:rsidR="00B97413" w:rsidRPr="0078430F">
        <w:rPr>
          <w:rFonts w:ascii="Calibri" w:eastAsia="Calibri" w:hAnsi="Calibri" w:cs="Calibri"/>
          <w:bCs/>
          <w:sz w:val="20"/>
          <w:szCs w:val="20"/>
        </w:rPr>
        <w:t>years based on RDT.</w:t>
      </w:r>
      <w:r w:rsidR="00B97413" w:rsidRPr="0078430F">
        <w:rPr>
          <w:rFonts w:ascii="Calibri" w:eastAsia="Calibri" w:hAnsi="Calibri" w:cs="Calibri"/>
          <w:b/>
          <w:sz w:val="20"/>
          <w:szCs w:val="20"/>
        </w:rPr>
        <w:t xml:space="preserve"> </w:t>
      </w:r>
      <w:r w:rsidR="00810F8A" w:rsidRPr="0078430F">
        <w:rPr>
          <w:rFonts w:ascii="Calibri" w:eastAsia="Calibri" w:hAnsi="Calibri" w:cs="Calibri"/>
          <w:b/>
          <w:sz w:val="20"/>
          <w:szCs w:val="20"/>
        </w:rPr>
        <w:t xml:space="preserve">C). </w:t>
      </w:r>
      <w:r w:rsidR="00810F8A" w:rsidRPr="0078430F">
        <w:rPr>
          <w:rFonts w:ascii="Calibri" w:eastAsia="Calibri" w:hAnsi="Calibri" w:cs="Calibri"/>
          <w:bCs/>
          <w:sz w:val="20"/>
          <w:szCs w:val="20"/>
        </w:rPr>
        <w:t xml:space="preserve">Transmission seasonality </w:t>
      </w:r>
      <w:r w:rsidR="00AE5227" w:rsidRPr="0078430F">
        <w:rPr>
          <w:rFonts w:ascii="Calibri" w:eastAsia="Calibri" w:hAnsi="Calibri" w:cs="Calibri"/>
          <w:bCs/>
          <w:sz w:val="20"/>
          <w:szCs w:val="20"/>
        </w:rPr>
        <w:t xml:space="preserve">multipliers </w:t>
      </w:r>
      <w:r w:rsidR="00810F8A" w:rsidRPr="0078430F">
        <w:rPr>
          <w:rFonts w:ascii="Calibri" w:eastAsia="Calibri" w:hAnsi="Calibri" w:cs="Calibri"/>
          <w:bCs/>
          <w:sz w:val="20"/>
          <w:szCs w:val="20"/>
        </w:rPr>
        <w:t>per State.</w:t>
      </w:r>
    </w:p>
    <w:p w14:paraId="749735FF" w14:textId="496FE27C" w:rsidR="00B3610D" w:rsidRDefault="00B3610D">
      <w:pPr>
        <w:rPr>
          <w:rFonts w:ascii="Calibri" w:eastAsia="Calibri" w:hAnsi="Calibri" w:cs="Calibri"/>
          <w:i/>
        </w:rPr>
      </w:pPr>
    </w:p>
    <w:p w14:paraId="67FF7B5C" w14:textId="77777777" w:rsidR="00B3610D" w:rsidRPr="00B97413" w:rsidRDefault="00000000">
      <w:pPr>
        <w:rPr>
          <w:rFonts w:ascii="Calibri" w:eastAsia="Calibri" w:hAnsi="Calibri" w:cs="Calibri"/>
          <w:i/>
        </w:rPr>
      </w:pPr>
      <w:r w:rsidRPr="00B97413">
        <w:rPr>
          <w:rFonts w:ascii="Calibri" w:eastAsia="Calibri" w:hAnsi="Calibri" w:cs="Calibri"/>
          <w:i/>
        </w:rPr>
        <w:t>Additional result figures</w:t>
      </w:r>
    </w:p>
    <w:p w14:paraId="4F2C5ED9" w14:textId="77777777" w:rsidR="00B3610D" w:rsidRPr="00B97413" w:rsidRDefault="00000000">
      <w:pPr>
        <w:spacing w:line="259" w:lineRule="auto"/>
        <w:rPr>
          <w:rFonts w:ascii="Calibri" w:eastAsia="Calibri" w:hAnsi="Calibri" w:cs="Calibri"/>
        </w:rPr>
      </w:pPr>
      <w:r w:rsidRPr="00B97413">
        <w:rPr>
          <w:rFonts w:ascii="Calibri" w:eastAsia="Calibri" w:hAnsi="Calibri" w:cs="Calibri"/>
        </w:rPr>
        <w:t>Clinical and severe cases averted per 1000 population in Southern Nigeria.</w:t>
      </w:r>
    </w:p>
    <w:p w14:paraId="743F9048" w14:textId="77777777" w:rsidR="00B3610D" w:rsidRPr="00B97413" w:rsidRDefault="00B3610D">
      <w:pPr>
        <w:rPr>
          <w:rFonts w:ascii="Calibri" w:eastAsia="Calibri" w:hAnsi="Calibri" w:cs="Calibri"/>
        </w:rPr>
      </w:pPr>
    </w:p>
    <w:p w14:paraId="458F181C" w14:textId="77777777" w:rsidR="00B3610D" w:rsidRPr="00B97413" w:rsidRDefault="00000000">
      <w:pPr>
        <w:rPr>
          <w:rFonts w:ascii="Calibri" w:eastAsia="Calibri" w:hAnsi="Calibri" w:cs="Calibri"/>
        </w:rPr>
      </w:pPr>
      <w:r w:rsidRPr="00B97413">
        <w:rPr>
          <w:rFonts w:ascii="Calibri" w:eastAsia="Calibri" w:hAnsi="Calibri" w:cs="Calibri"/>
          <w:noProof/>
        </w:rPr>
        <w:drawing>
          <wp:inline distT="114300" distB="114300" distL="114300" distR="114300" wp14:anchorId="0ECF7046" wp14:editId="4712F643">
            <wp:extent cx="5638800" cy="1362075"/>
            <wp:effectExtent l="0" t="0" r="0" b="0"/>
            <wp:docPr id="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8"/>
                    <a:srcRect l="1661" t="63841"/>
                    <a:stretch>
                      <a:fillRect/>
                    </a:stretch>
                  </pic:blipFill>
                  <pic:spPr>
                    <a:xfrm>
                      <a:off x="0" y="0"/>
                      <a:ext cx="5638800" cy="1362075"/>
                    </a:xfrm>
                    <a:prstGeom prst="rect">
                      <a:avLst/>
                    </a:prstGeom>
                    <a:ln/>
                  </pic:spPr>
                </pic:pic>
              </a:graphicData>
            </a:graphic>
          </wp:inline>
        </w:drawing>
      </w:r>
    </w:p>
    <w:p w14:paraId="1D9CD10D" w14:textId="6C70DB7D" w:rsidR="00B3610D" w:rsidRPr="0078430F" w:rsidRDefault="00000000">
      <w:pPr>
        <w:rPr>
          <w:rFonts w:ascii="Calibri" w:eastAsia="Calibri" w:hAnsi="Calibri" w:cs="Calibri"/>
          <w:sz w:val="20"/>
          <w:szCs w:val="20"/>
        </w:rPr>
      </w:pPr>
      <w:r w:rsidRPr="0078430F">
        <w:rPr>
          <w:rFonts w:ascii="Calibri" w:eastAsia="Calibri" w:hAnsi="Calibri" w:cs="Calibri"/>
          <w:b/>
          <w:sz w:val="20"/>
          <w:szCs w:val="20"/>
        </w:rPr>
        <w:t xml:space="preserve">Fig </w:t>
      </w:r>
      <w:r w:rsidR="0078430F" w:rsidRPr="0078430F">
        <w:rPr>
          <w:rFonts w:ascii="Calibri" w:eastAsia="Calibri" w:hAnsi="Calibri" w:cs="Calibri"/>
          <w:b/>
          <w:sz w:val="20"/>
          <w:szCs w:val="20"/>
        </w:rPr>
        <w:t>A</w:t>
      </w:r>
      <w:r w:rsidRPr="0078430F">
        <w:rPr>
          <w:rFonts w:ascii="Calibri" w:eastAsia="Calibri" w:hAnsi="Calibri" w:cs="Calibri"/>
          <w:b/>
          <w:sz w:val="20"/>
          <w:szCs w:val="20"/>
        </w:rPr>
        <w:t xml:space="preserve">1.4.4: </w:t>
      </w:r>
      <w:r w:rsidRPr="0078430F">
        <w:rPr>
          <w:rFonts w:ascii="Calibri" w:eastAsia="Calibri" w:hAnsi="Calibri" w:cs="Calibri"/>
          <w:sz w:val="20"/>
          <w:szCs w:val="20"/>
        </w:rPr>
        <w:t>Projected intervention impact at operational and target coverage for Southern Nigeria, described in annual cases averted per 1000 population.</w:t>
      </w:r>
      <w:r w:rsidR="000151A4">
        <w:rPr>
          <w:rFonts w:ascii="Calibri" w:eastAsia="Calibri" w:hAnsi="Calibri" w:cs="Calibri"/>
          <w:sz w:val="20"/>
          <w:szCs w:val="20"/>
        </w:rPr>
        <w:t xml:space="preserve"> </w:t>
      </w:r>
    </w:p>
    <w:p w14:paraId="5F7E9FD7" w14:textId="77777777" w:rsidR="009C38B9" w:rsidRPr="00B97413" w:rsidRDefault="009C38B9">
      <w:pPr>
        <w:rPr>
          <w:rFonts w:ascii="Calibri" w:eastAsia="Calibri" w:hAnsi="Calibri" w:cs="Calibri"/>
          <w:b/>
        </w:rPr>
      </w:pPr>
    </w:p>
    <w:p w14:paraId="510E376A" w14:textId="77777777" w:rsidR="00B3610D" w:rsidRPr="00B97413" w:rsidRDefault="00000000">
      <w:pPr>
        <w:pStyle w:val="Heading2"/>
        <w:rPr>
          <w:rFonts w:ascii="Calibri" w:eastAsia="Calibri" w:hAnsi="Calibri" w:cs="Calibri"/>
          <w:b/>
          <w:sz w:val="28"/>
          <w:szCs w:val="28"/>
        </w:rPr>
      </w:pPr>
      <w:bookmarkStart w:id="18" w:name="_Toc130051876"/>
      <w:r w:rsidRPr="00B97413">
        <w:rPr>
          <w:rFonts w:ascii="Calibri" w:eastAsia="Calibri" w:hAnsi="Calibri" w:cs="Calibri"/>
          <w:b/>
          <w:sz w:val="28"/>
          <w:szCs w:val="28"/>
        </w:rPr>
        <w:t>References</w:t>
      </w:r>
      <w:bookmarkEnd w:id="18"/>
    </w:p>
    <w:p w14:paraId="2970B746"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59">
        <w:r w:rsidRPr="00F503F0">
          <w:rPr>
            <w:rFonts w:ascii="Calibri" w:eastAsia="Calibri" w:hAnsi="Calibri" w:cs="Calibri"/>
            <w:sz w:val="20"/>
            <w:szCs w:val="20"/>
          </w:rPr>
          <w:t xml:space="preserve">1. </w:t>
        </w:r>
        <w:r w:rsidRPr="00F503F0">
          <w:rPr>
            <w:rFonts w:ascii="Calibri" w:eastAsia="Calibri" w:hAnsi="Calibri" w:cs="Calibri"/>
            <w:sz w:val="20"/>
            <w:szCs w:val="20"/>
          </w:rPr>
          <w:tab/>
          <w:t>Cairns M, Carneiro I, Milligan P, Owusu-Agyei S, Awine T, Gosling R, et al. Duration of Protection against Malaria and Anaemia Provided by Intermittent Preventive Treatment in Infants in Navrongo, Ghana. PLOS ONE. 2008;3: e2227. doi:10.1371/journal.pone.0002227</w:t>
        </w:r>
      </w:hyperlink>
    </w:p>
    <w:p w14:paraId="6433C322"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0">
        <w:r w:rsidRPr="00F503F0">
          <w:rPr>
            <w:rFonts w:ascii="Calibri" w:eastAsia="Calibri" w:hAnsi="Calibri" w:cs="Calibri"/>
            <w:sz w:val="20"/>
            <w:szCs w:val="20"/>
          </w:rPr>
          <w:t xml:space="preserve">2. </w:t>
        </w:r>
        <w:r w:rsidRPr="00F503F0">
          <w:rPr>
            <w:rFonts w:ascii="Calibri" w:eastAsia="Calibri" w:hAnsi="Calibri" w:cs="Calibri"/>
            <w:sz w:val="20"/>
            <w:szCs w:val="20"/>
          </w:rPr>
          <w:tab/>
        </w:r>
        <w:bookmarkStart w:id="19" w:name="_Hlk126249047"/>
        <w:r w:rsidRPr="00F503F0">
          <w:rPr>
            <w:rFonts w:ascii="Calibri" w:eastAsia="Calibri" w:hAnsi="Calibri" w:cs="Calibri"/>
            <w:sz w:val="20"/>
            <w:szCs w:val="20"/>
          </w:rPr>
          <w:t>Aponte</w:t>
        </w:r>
        <w:bookmarkEnd w:id="19"/>
        <w:r w:rsidRPr="00F503F0">
          <w:rPr>
            <w:rFonts w:ascii="Calibri" w:eastAsia="Calibri" w:hAnsi="Calibri" w:cs="Calibri"/>
            <w:sz w:val="20"/>
            <w:szCs w:val="20"/>
          </w:rPr>
          <w:t xml:space="preserve"> JJ, Schellenberg D, Egan A, Breckenridge A, Carneiro I, Critchley J, et al. Efficacy and safety of intermittent preventive treatment with sulfadoxine-pyrimethamine for malaria in African infants: a pooled analysis of six randomised, placebo-controlled trials. The Lancet. 2009;374: 1533–1542. doi:10.1016/S0140-6736(09)61258-7</w:t>
        </w:r>
      </w:hyperlink>
    </w:p>
    <w:p w14:paraId="30D1CCDD"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1">
        <w:r w:rsidRPr="00F503F0">
          <w:rPr>
            <w:rFonts w:ascii="Calibri" w:eastAsia="Calibri" w:hAnsi="Calibri" w:cs="Calibri"/>
            <w:sz w:val="20"/>
            <w:szCs w:val="20"/>
          </w:rPr>
          <w:t xml:space="preserve">3. </w:t>
        </w:r>
        <w:r w:rsidRPr="00F503F0">
          <w:rPr>
            <w:rFonts w:ascii="Calibri" w:eastAsia="Calibri" w:hAnsi="Calibri" w:cs="Calibri"/>
            <w:sz w:val="20"/>
            <w:szCs w:val="20"/>
          </w:rPr>
          <w:tab/>
        </w:r>
        <w:r w:rsidRPr="00680E35">
          <w:rPr>
            <w:rFonts w:ascii="Calibri" w:eastAsia="Calibri" w:hAnsi="Calibri" w:cs="Calibri"/>
            <w:sz w:val="20"/>
            <w:szCs w:val="20"/>
            <w:lang w:val="en-US"/>
          </w:rPr>
          <w:t xml:space="preserve">Esu EB, Oringanje C, Meremikwu MM. </w:t>
        </w:r>
        <w:r w:rsidRPr="00F503F0">
          <w:rPr>
            <w:rFonts w:ascii="Calibri" w:eastAsia="Calibri" w:hAnsi="Calibri" w:cs="Calibri"/>
            <w:sz w:val="20"/>
            <w:szCs w:val="20"/>
          </w:rPr>
          <w:t>Intermittent preventive treatment for malaria in infants. Cochrane Database Syst Rev. 2021 [cited 22 Jul 2021]. doi:10.1002/14651858.CD011525.pub3</w:t>
        </w:r>
      </w:hyperlink>
    </w:p>
    <w:p w14:paraId="7BAD0822"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2">
        <w:r w:rsidRPr="00F503F0">
          <w:rPr>
            <w:rFonts w:ascii="Calibri" w:eastAsia="Calibri" w:hAnsi="Calibri" w:cs="Calibri"/>
            <w:sz w:val="20"/>
            <w:szCs w:val="20"/>
          </w:rPr>
          <w:t xml:space="preserve">4. </w:t>
        </w:r>
        <w:r w:rsidRPr="00F503F0">
          <w:rPr>
            <w:rFonts w:ascii="Calibri" w:eastAsia="Calibri" w:hAnsi="Calibri" w:cs="Calibri"/>
            <w:sz w:val="20"/>
            <w:szCs w:val="20"/>
          </w:rPr>
          <w:tab/>
          <w:t>Chandramohan D, Owusu-Agyei S, Carneiro I, Awine T, Amponsa-Achiano K, Mensah N, et al. Cluster randomised trial of intermittent preventive treatment for malaria in infants in area of high, seasonal transmission in Ghana. BMJ. 2005;331: 727–733.</w:t>
        </w:r>
      </w:hyperlink>
    </w:p>
    <w:p w14:paraId="381DF5FD"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3">
        <w:r w:rsidRPr="00F503F0">
          <w:rPr>
            <w:rFonts w:ascii="Calibri" w:eastAsia="Calibri" w:hAnsi="Calibri" w:cs="Calibri"/>
            <w:sz w:val="20"/>
            <w:szCs w:val="20"/>
          </w:rPr>
          <w:t xml:space="preserve">5. </w:t>
        </w:r>
        <w:r w:rsidRPr="00F503F0">
          <w:rPr>
            <w:rFonts w:ascii="Calibri" w:eastAsia="Calibri" w:hAnsi="Calibri" w:cs="Calibri"/>
            <w:sz w:val="20"/>
            <w:szCs w:val="20"/>
          </w:rPr>
          <w:tab/>
          <w:t>Ridley RG. Medical need, scientific opportunity and the drive for antimalarial drugs. Nature. 2002;415: 686–693. doi:10.1038/415686a</w:t>
        </w:r>
      </w:hyperlink>
    </w:p>
    <w:p w14:paraId="7072CBA4"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4">
        <w:r w:rsidRPr="00F503F0">
          <w:rPr>
            <w:rFonts w:ascii="Calibri" w:eastAsia="Calibri" w:hAnsi="Calibri" w:cs="Calibri"/>
            <w:sz w:val="20"/>
            <w:szCs w:val="20"/>
          </w:rPr>
          <w:t xml:space="preserve">6. </w:t>
        </w:r>
        <w:r w:rsidRPr="00F503F0">
          <w:rPr>
            <w:rFonts w:ascii="Calibri" w:eastAsia="Calibri" w:hAnsi="Calibri" w:cs="Calibri"/>
            <w:sz w:val="20"/>
            <w:szCs w:val="20"/>
          </w:rPr>
          <w:tab/>
          <w:t>Sidhu ABS, Verdier-Pinard D, Fidock DA. Chloroquine Resistance in Plasmodium falciparum Malaria Parasites Conferred by pfcrt Mutations. Science. 2002;298: 210–213. doi:10.1126/science.1074045</w:t>
        </w:r>
      </w:hyperlink>
    </w:p>
    <w:p w14:paraId="7EFB3F85"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5">
        <w:r w:rsidRPr="00F503F0">
          <w:rPr>
            <w:rFonts w:ascii="Calibri" w:eastAsia="Calibri" w:hAnsi="Calibri" w:cs="Calibri"/>
            <w:sz w:val="20"/>
            <w:szCs w:val="20"/>
          </w:rPr>
          <w:t xml:space="preserve">7. </w:t>
        </w:r>
        <w:r w:rsidRPr="00F503F0">
          <w:rPr>
            <w:rFonts w:ascii="Calibri" w:eastAsia="Calibri" w:hAnsi="Calibri" w:cs="Calibri"/>
            <w:sz w:val="20"/>
            <w:szCs w:val="20"/>
          </w:rPr>
          <w:tab/>
          <w:t xml:space="preserve">Owusu-Agyei S, Awini E, Anto F, Mensah-Afful T, Adjuik M, Hodgson A, et al. Assessing malaria control in </w:t>
        </w:r>
        <w:r w:rsidRPr="00F503F0">
          <w:rPr>
            <w:rFonts w:ascii="Calibri" w:eastAsia="Calibri" w:hAnsi="Calibri" w:cs="Calibri"/>
            <w:sz w:val="20"/>
            <w:szCs w:val="20"/>
          </w:rPr>
          <w:lastRenderedPageBreak/>
          <w:t>the Kassena-Nankana district of northern Ghana through repeated surveys using the RBM tools. Malar J. 2007;6: 103. doi:10.1186/1475-2875-6-103</w:t>
        </w:r>
      </w:hyperlink>
    </w:p>
    <w:p w14:paraId="07C0D5B8"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6">
        <w:r w:rsidRPr="00F503F0">
          <w:rPr>
            <w:rFonts w:ascii="Calibri" w:eastAsia="Calibri" w:hAnsi="Calibri" w:cs="Calibri"/>
            <w:sz w:val="20"/>
            <w:szCs w:val="20"/>
          </w:rPr>
          <w:t xml:space="preserve">8. </w:t>
        </w:r>
        <w:r w:rsidRPr="00F503F0">
          <w:rPr>
            <w:rFonts w:ascii="Calibri" w:eastAsia="Calibri" w:hAnsi="Calibri" w:cs="Calibri"/>
            <w:sz w:val="20"/>
            <w:szCs w:val="20"/>
          </w:rPr>
          <w:tab/>
          <w:t>Kasasa S, Asoala V, Gosoniu L, Anto F, Adjuik M, Tindana C, et al. Spatio-temporal malaria transmission patterns in Navrongo demographic surveillance site, northern Ghana. Malar J. 2013;12: 63. doi:10.1186/1475-2875-12-63</w:t>
        </w:r>
      </w:hyperlink>
    </w:p>
    <w:p w14:paraId="0BD3A5D3"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7">
        <w:r w:rsidRPr="00F503F0">
          <w:rPr>
            <w:rFonts w:ascii="Calibri" w:eastAsia="Calibri" w:hAnsi="Calibri" w:cs="Calibri"/>
            <w:sz w:val="20"/>
            <w:szCs w:val="20"/>
          </w:rPr>
          <w:t xml:space="preserve">9. </w:t>
        </w:r>
        <w:r w:rsidRPr="00F503F0">
          <w:rPr>
            <w:rFonts w:ascii="Calibri" w:eastAsia="Calibri" w:hAnsi="Calibri" w:cs="Calibri"/>
            <w:sz w:val="20"/>
            <w:szCs w:val="20"/>
          </w:rPr>
          <w:tab/>
          <w:t>RTS,S Clinical Trials Partnership. Efficacy and safety of RTS,S/AS01 malaria vaccine with or without a booster dose in infants and children in Africa: final results of a phase 3, individually randomised, controlled trial. Lancet Lond Engl. 2015;386: 31–45. doi:10.1016/S0140-6736(15)60721-8</w:t>
        </w:r>
      </w:hyperlink>
    </w:p>
    <w:p w14:paraId="518D490C"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8">
        <w:r w:rsidRPr="00F503F0">
          <w:rPr>
            <w:rFonts w:ascii="Calibri" w:eastAsia="Calibri" w:hAnsi="Calibri" w:cs="Calibri"/>
            <w:sz w:val="20"/>
            <w:szCs w:val="20"/>
          </w:rPr>
          <w:t xml:space="preserve">10. </w:t>
        </w:r>
        <w:r w:rsidRPr="00F503F0">
          <w:rPr>
            <w:rFonts w:ascii="Calibri" w:eastAsia="Calibri" w:hAnsi="Calibri" w:cs="Calibri"/>
            <w:sz w:val="20"/>
            <w:szCs w:val="20"/>
          </w:rPr>
          <w:tab/>
          <w:t>Penny MA, Verity R, Bever CA, Sauboin C, Galactionova K, Flasche S, et al. Public health impact and cost-effectiveness of the RTS,S/AS01 malaria vaccine: a systematic comparison of predictions from four mathematical models. The Lancet. 2016;387: 367–375. doi:10.1016/S0140-6736(15)00725-4</w:t>
        </w:r>
      </w:hyperlink>
    </w:p>
    <w:p w14:paraId="34383072"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69">
        <w:r w:rsidRPr="00F503F0">
          <w:rPr>
            <w:rFonts w:ascii="Calibri" w:eastAsia="Calibri" w:hAnsi="Calibri" w:cs="Calibri"/>
            <w:sz w:val="20"/>
            <w:szCs w:val="20"/>
          </w:rPr>
          <w:t xml:space="preserve">11. </w:t>
        </w:r>
        <w:r w:rsidRPr="00F503F0">
          <w:rPr>
            <w:rFonts w:ascii="Calibri" w:eastAsia="Calibri" w:hAnsi="Calibri" w:cs="Calibri"/>
            <w:sz w:val="20"/>
            <w:szCs w:val="20"/>
          </w:rPr>
          <w:tab/>
          <w:t>Ozodiegwu ID, Ambrose M, Galatas B, Runge M, Nandi A, Okuneye K, et al. Application of mathematical modeling to inform national malaria intervention planning in Nigeria. Research Square. 2022;PREPRINT. doi:10.21203/rs.3.rs-2335288/v1</w:t>
        </w:r>
      </w:hyperlink>
    </w:p>
    <w:p w14:paraId="6AA74C25"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70">
        <w:r w:rsidRPr="00F503F0">
          <w:rPr>
            <w:rFonts w:ascii="Calibri" w:eastAsia="Calibri" w:hAnsi="Calibri" w:cs="Calibri"/>
            <w:sz w:val="20"/>
            <w:szCs w:val="20"/>
          </w:rPr>
          <w:t xml:space="preserve">12. </w:t>
        </w:r>
        <w:r w:rsidRPr="00F503F0">
          <w:rPr>
            <w:rFonts w:ascii="Calibri" w:eastAsia="Calibri" w:hAnsi="Calibri" w:cs="Calibri"/>
            <w:sz w:val="20"/>
            <w:szCs w:val="20"/>
          </w:rPr>
          <w:tab/>
          <w:t>Bognini JD, Samadoulougou S, Ouedraogo M, Smart F, Kankoye DT, Sankoh O, et al. What are the trends in seeking health care for fever in children under-five in Sierra Leone? evidence from four population-based studies before and after the free health care initiative. PLOS ONE. 2022;17: e0263364. doi:10.1371/journal.pone.0263364</w:t>
        </w:r>
      </w:hyperlink>
    </w:p>
    <w:p w14:paraId="2F211344" w14:textId="77777777"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71">
        <w:r w:rsidRPr="00F503F0">
          <w:rPr>
            <w:rFonts w:ascii="Calibri" w:eastAsia="Calibri" w:hAnsi="Calibri" w:cs="Calibri"/>
            <w:sz w:val="20"/>
            <w:szCs w:val="20"/>
          </w:rPr>
          <w:t xml:space="preserve">13. </w:t>
        </w:r>
        <w:r w:rsidRPr="00F503F0">
          <w:rPr>
            <w:rFonts w:ascii="Calibri" w:eastAsia="Calibri" w:hAnsi="Calibri" w:cs="Calibri"/>
            <w:sz w:val="20"/>
            <w:szCs w:val="20"/>
          </w:rPr>
          <w:tab/>
          <w:t>McCarthy KA, Wenger EA, Huynh GH, Eckhoff PA. Calibration of an intrahost malaria model and parameter ensemble evaluation of a pre-erythrocytic vaccine. Malar J. 2015;14: 6. doi:10.1186/1475-2875-14-6</w:t>
        </w:r>
      </w:hyperlink>
    </w:p>
    <w:p w14:paraId="22ECD9CB" w14:textId="0152023A" w:rsidR="00B3610D"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72">
        <w:r w:rsidRPr="00F503F0">
          <w:rPr>
            <w:rFonts w:ascii="Calibri" w:eastAsia="Calibri" w:hAnsi="Calibri" w:cs="Calibri"/>
            <w:sz w:val="20"/>
            <w:szCs w:val="20"/>
          </w:rPr>
          <w:t xml:space="preserve">14. </w:t>
        </w:r>
        <w:r w:rsidRPr="00F503F0">
          <w:rPr>
            <w:rFonts w:ascii="Calibri" w:eastAsia="Calibri" w:hAnsi="Calibri" w:cs="Calibri"/>
            <w:sz w:val="20"/>
            <w:szCs w:val="20"/>
          </w:rPr>
          <w:tab/>
          <w:t>WorldPop and National Population Commission of Nigeria. Bottom-up gridded population estimates for Nigeria, version 2.0. 17 Nov 2021 [cited 1 Dec 2022]. doi:10.5258/SOTON/WP00729.</w:t>
        </w:r>
      </w:hyperlink>
    </w:p>
    <w:p w14:paraId="3F8F612C" w14:textId="0B9AFC9D" w:rsidR="00E008E1" w:rsidRDefault="00E008E1" w:rsidP="00E008E1">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r>
        <w:rPr>
          <w:rFonts w:ascii="Calibri" w:eastAsia="Calibri" w:hAnsi="Calibri" w:cs="Calibri"/>
          <w:sz w:val="20"/>
          <w:szCs w:val="20"/>
        </w:rPr>
        <w:t>15.</w:t>
      </w:r>
      <w:r>
        <w:rPr>
          <w:rFonts w:ascii="Calibri" w:eastAsia="Calibri" w:hAnsi="Calibri" w:cs="Calibri"/>
          <w:sz w:val="20"/>
          <w:szCs w:val="20"/>
        </w:rPr>
        <w:tab/>
      </w:r>
      <w:r w:rsidRPr="00E008E1">
        <w:rPr>
          <w:rFonts w:ascii="Calibri" w:eastAsia="Calibri" w:hAnsi="Calibri" w:cs="Calibri"/>
          <w:sz w:val="20"/>
          <w:szCs w:val="20"/>
        </w:rPr>
        <w:t>National Population Commission (NPC) [Nigeria] and ICF. 2019. Nigeria Demographic and Health Survey 2018.</w:t>
      </w:r>
      <w:r>
        <w:rPr>
          <w:rFonts w:ascii="Calibri" w:eastAsia="Calibri" w:hAnsi="Calibri" w:cs="Calibri"/>
          <w:sz w:val="20"/>
          <w:szCs w:val="20"/>
        </w:rPr>
        <w:t xml:space="preserve"> </w:t>
      </w:r>
      <w:r w:rsidRPr="00E008E1">
        <w:rPr>
          <w:rFonts w:ascii="Calibri" w:eastAsia="Calibri" w:hAnsi="Calibri" w:cs="Calibri"/>
          <w:sz w:val="20"/>
          <w:szCs w:val="20"/>
        </w:rPr>
        <w:t>Abuja, Nigeria, and Rockville, Maryland, USA: NPC and ICF.</w:t>
      </w:r>
    </w:p>
    <w:p w14:paraId="422C248A" w14:textId="033D22E1" w:rsidR="0078430F" w:rsidRPr="00F503F0" w:rsidRDefault="0078430F"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r>
        <w:rPr>
          <w:rFonts w:ascii="Calibri" w:eastAsia="Calibri" w:hAnsi="Calibri" w:cs="Calibri"/>
          <w:sz w:val="20"/>
          <w:szCs w:val="20"/>
        </w:rPr>
        <w:t>1</w:t>
      </w:r>
      <w:r w:rsidR="00E008E1">
        <w:rPr>
          <w:rFonts w:ascii="Calibri" w:eastAsia="Calibri" w:hAnsi="Calibri" w:cs="Calibri"/>
          <w:sz w:val="20"/>
          <w:szCs w:val="20"/>
        </w:rPr>
        <w:t>6</w:t>
      </w:r>
      <w:r>
        <w:rPr>
          <w:rFonts w:ascii="Calibri" w:eastAsia="Calibri" w:hAnsi="Calibri" w:cs="Calibri"/>
          <w:sz w:val="20"/>
          <w:szCs w:val="20"/>
        </w:rPr>
        <w:t>.</w:t>
      </w:r>
      <w:r w:rsidR="000151A4">
        <w:rPr>
          <w:rFonts w:ascii="Calibri" w:eastAsia="Calibri" w:hAnsi="Calibri" w:cs="Calibri"/>
          <w:sz w:val="20"/>
          <w:szCs w:val="20"/>
        </w:rPr>
        <w:t xml:space="preserve"> </w:t>
      </w:r>
      <w:r>
        <w:rPr>
          <w:rFonts w:ascii="Calibri" w:eastAsia="Calibri" w:hAnsi="Calibri" w:cs="Calibri"/>
          <w:sz w:val="20"/>
          <w:szCs w:val="20"/>
        </w:rPr>
        <w:t xml:space="preserve"> </w:t>
      </w:r>
      <w:r w:rsidRPr="0078430F">
        <w:rPr>
          <w:rFonts w:ascii="Calibri" w:eastAsia="Calibri" w:hAnsi="Calibri" w:cs="Calibri"/>
          <w:sz w:val="20"/>
          <w:szCs w:val="20"/>
        </w:rPr>
        <w:t>Watson OJ, FitzJohn R, Eaton JW (2019). “rdhs: an R package to interact with The Demographic and Health Surveys (DHS) Program datasets.” Wellcome Open Research, 4, 103. doi:10.12688/wellcomeopenres.15311.1, https://wellcomeopenresearch.org/articles/4-103/v1.</w:t>
      </w:r>
    </w:p>
    <w:p w14:paraId="736BFC29" w14:textId="180B9FEE" w:rsidR="00B3610D" w:rsidRPr="00F503F0" w:rsidRDefault="00000000"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hyperlink r:id="rId73">
        <w:r w:rsidRPr="00F503F0">
          <w:rPr>
            <w:rFonts w:ascii="Calibri" w:eastAsia="Calibri" w:hAnsi="Calibri" w:cs="Calibri"/>
            <w:sz w:val="20"/>
            <w:szCs w:val="20"/>
          </w:rPr>
          <w:t>1</w:t>
        </w:r>
        <w:r w:rsidR="00E008E1">
          <w:rPr>
            <w:rFonts w:ascii="Calibri" w:eastAsia="Calibri" w:hAnsi="Calibri" w:cs="Calibri"/>
            <w:sz w:val="20"/>
            <w:szCs w:val="20"/>
          </w:rPr>
          <w:t>7</w:t>
        </w:r>
        <w:r w:rsidRPr="00F503F0">
          <w:rPr>
            <w:rFonts w:ascii="Calibri" w:eastAsia="Calibri" w:hAnsi="Calibri" w:cs="Calibri"/>
            <w:sz w:val="20"/>
            <w:szCs w:val="20"/>
          </w:rPr>
          <w:t xml:space="preserve">. </w:t>
        </w:r>
        <w:r w:rsidRPr="00F503F0">
          <w:rPr>
            <w:rFonts w:ascii="Calibri" w:eastAsia="Calibri" w:hAnsi="Calibri" w:cs="Calibri"/>
            <w:sz w:val="20"/>
            <w:szCs w:val="20"/>
          </w:rPr>
          <w:tab/>
          <w:t>Lahuerta M, Sutton R, Mansaray A, Eleeza O, Gleason B, Akinjeji A, et al. Evaluation of health system readiness and coverage of intermittent preventive treatment of malaria in infants (IPTi) in Kambia district to inform national scale-up in Sierra Leone. Malar J. 2021;20: 74. doi:10.1186/s12936-021-03615-3</w:t>
        </w:r>
      </w:hyperlink>
    </w:p>
    <w:p w14:paraId="10B5B2AC" w14:textId="77777777" w:rsidR="00B3610D" w:rsidRPr="00F503F0" w:rsidRDefault="00B3610D" w:rsidP="00F503F0">
      <w:pPr>
        <w:widowControl w:val="0"/>
        <w:pBdr>
          <w:top w:val="nil"/>
          <w:left w:val="nil"/>
          <w:bottom w:val="nil"/>
          <w:right w:val="nil"/>
          <w:between w:val="nil"/>
        </w:pBdr>
        <w:spacing w:after="120" w:line="240" w:lineRule="auto"/>
        <w:ind w:left="384" w:hanging="384"/>
        <w:rPr>
          <w:rFonts w:ascii="Calibri" w:eastAsia="Calibri" w:hAnsi="Calibri" w:cs="Calibri"/>
          <w:sz w:val="20"/>
          <w:szCs w:val="20"/>
        </w:rPr>
      </w:pPr>
    </w:p>
    <w:p w14:paraId="25943B0A" w14:textId="77777777" w:rsidR="00B3610D" w:rsidRPr="00F503F0" w:rsidRDefault="00B3610D" w:rsidP="00F503F0">
      <w:pPr>
        <w:spacing w:after="120"/>
        <w:rPr>
          <w:rFonts w:ascii="Calibri" w:eastAsia="Calibri" w:hAnsi="Calibri" w:cs="Calibri"/>
          <w:sz w:val="20"/>
          <w:szCs w:val="20"/>
        </w:rPr>
      </w:pPr>
    </w:p>
    <w:sectPr w:rsidR="00B3610D" w:rsidRPr="00F503F0">
      <w:footerReference w:type="default" r:id="rId74"/>
      <w:footerReference w:type="first" r:id="rId75"/>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04503C" w14:textId="77777777" w:rsidR="0089174C" w:rsidRDefault="0089174C">
      <w:pPr>
        <w:spacing w:line="240" w:lineRule="auto"/>
      </w:pPr>
      <w:r>
        <w:separator/>
      </w:r>
    </w:p>
  </w:endnote>
  <w:endnote w:type="continuationSeparator" w:id="0">
    <w:p w14:paraId="1A9E22D6" w14:textId="77777777" w:rsidR="0089174C" w:rsidRDefault="0089174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6AECFE" w14:textId="77777777" w:rsidR="00B3610D" w:rsidRDefault="00000000">
    <w:pPr>
      <w:jc w:val="right"/>
    </w:pPr>
    <w:r>
      <w:fldChar w:fldCharType="begin"/>
    </w:r>
    <w:r>
      <w:instrText>PAGE</w:instrText>
    </w:r>
    <w:r>
      <w:fldChar w:fldCharType="separate"/>
    </w:r>
    <w:r w:rsidR="00027FA9">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EBFA8" w14:textId="77777777" w:rsidR="00B3610D" w:rsidRDefault="00B3610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BE746" w14:textId="77777777" w:rsidR="0089174C" w:rsidRDefault="0089174C">
      <w:pPr>
        <w:spacing w:line="240" w:lineRule="auto"/>
      </w:pPr>
      <w:r>
        <w:separator/>
      </w:r>
    </w:p>
  </w:footnote>
  <w:footnote w:type="continuationSeparator" w:id="0">
    <w:p w14:paraId="602CB918" w14:textId="77777777" w:rsidR="0089174C" w:rsidRDefault="0089174C">
      <w:pPr>
        <w:spacing w:line="240" w:lineRule="auto"/>
      </w:pPr>
      <w:r>
        <w:continuationSeparator/>
      </w:r>
    </w:p>
  </w:footnote>
  <w:footnote w:id="1">
    <w:p w14:paraId="2E2969B9" w14:textId="77777777" w:rsidR="00B3610D" w:rsidRDefault="00000000">
      <w:pPr>
        <w:spacing w:line="240" w:lineRule="auto"/>
        <w:rPr>
          <w:sz w:val="16"/>
          <w:szCs w:val="16"/>
        </w:rPr>
      </w:pPr>
      <w:r>
        <w:rPr>
          <w:vertAlign w:val="superscript"/>
        </w:rPr>
        <w:footnoteRef/>
      </w:r>
      <w:r>
        <w:rPr>
          <w:sz w:val="20"/>
          <w:szCs w:val="20"/>
        </w:rPr>
        <w:t xml:space="preserve"> </w:t>
      </w:r>
      <w:hyperlink r:id="rId1" w:anchor="waningeffectboxexponential">
        <w:r>
          <w:rPr>
            <w:color w:val="1155CC"/>
            <w:sz w:val="16"/>
            <w:szCs w:val="16"/>
            <w:u w:val="single"/>
          </w:rPr>
          <w:t>https://docs.idmod.org/projects/emod-malaria/en/latest/parameter-campaign-waningeffects.html</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10D"/>
    <w:rsid w:val="00002699"/>
    <w:rsid w:val="000151A4"/>
    <w:rsid w:val="00027FA9"/>
    <w:rsid w:val="00030900"/>
    <w:rsid w:val="00034AD3"/>
    <w:rsid w:val="00071298"/>
    <w:rsid w:val="000F79AF"/>
    <w:rsid w:val="001101D8"/>
    <w:rsid w:val="001135E0"/>
    <w:rsid w:val="00141A46"/>
    <w:rsid w:val="001B5C17"/>
    <w:rsid w:val="001D52A0"/>
    <w:rsid w:val="001D6B63"/>
    <w:rsid w:val="00217474"/>
    <w:rsid w:val="002264EB"/>
    <w:rsid w:val="00235D01"/>
    <w:rsid w:val="0028791E"/>
    <w:rsid w:val="002E0FC7"/>
    <w:rsid w:val="002F2187"/>
    <w:rsid w:val="0030161E"/>
    <w:rsid w:val="003257A4"/>
    <w:rsid w:val="00344E4B"/>
    <w:rsid w:val="0038621A"/>
    <w:rsid w:val="003B4EEA"/>
    <w:rsid w:val="003C45DF"/>
    <w:rsid w:val="0042744D"/>
    <w:rsid w:val="00430A2B"/>
    <w:rsid w:val="004518B1"/>
    <w:rsid w:val="00462736"/>
    <w:rsid w:val="00491848"/>
    <w:rsid w:val="00493031"/>
    <w:rsid w:val="004C4EAE"/>
    <w:rsid w:val="0050798D"/>
    <w:rsid w:val="0057266B"/>
    <w:rsid w:val="005B5AE7"/>
    <w:rsid w:val="005B78C1"/>
    <w:rsid w:val="005C68D9"/>
    <w:rsid w:val="00615E70"/>
    <w:rsid w:val="00626D31"/>
    <w:rsid w:val="00647379"/>
    <w:rsid w:val="0066425B"/>
    <w:rsid w:val="00676C4F"/>
    <w:rsid w:val="00680E35"/>
    <w:rsid w:val="006D6F2F"/>
    <w:rsid w:val="00736357"/>
    <w:rsid w:val="007465A8"/>
    <w:rsid w:val="0078430F"/>
    <w:rsid w:val="00796B4E"/>
    <w:rsid w:val="007C6EA8"/>
    <w:rsid w:val="007F3B1A"/>
    <w:rsid w:val="00810F8A"/>
    <w:rsid w:val="0083210B"/>
    <w:rsid w:val="00840085"/>
    <w:rsid w:val="00876556"/>
    <w:rsid w:val="0089174C"/>
    <w:rsid w:val="008E7213"/>
    <w:rsid w:val="00907ECF"/>
    <w:rsid w:val="00937464"/>
    <w:rsid w:val="00944D8D"/>
    <w:rsid w:val="009B7288"/>
    <w:rsid w:val="009C38B9"/>
    <w:rsid w:val="009D02E3"/>
    <w:rsid w:val="00A1357E"/>
    <w:rsid w:val="00A4164D"/>
    <w:rsid w:val="00A563F6"/>
    <w:rsid w:val="00AA0F88"/>
    <w:rsid w:val="00AD0422"/>
    <w:rsid w:val="00AE5227"/>
    <w:rsid w:val="00B3610D"/>
    <w:rsid w:val="00B50F4A"/>
    <w:rsid w:val="00B97413"/>
    <w:rsid w:val="00C125AE"/>
    <w:rsid w:val="00C16A61"/>
    <w:rsid w:val="00C5717F"/>
    <w:rsid w:val="00C63AD7"/>
    <w:rsid w:val="00CE4B3B"/>
    <w:rsid w:val="00D05906"/>
    <w:rsid w:val="00D6401D"/>
    <w:rsid w:val="00D736A1"/>
    <w:rsid w:val="00D82715"/>
    <w:rsid w:val="00D90B37"/>
    <w:rsid w:val="00DA77A6"/>
    <w:rsid w:val="00DD17C2"/>
    <w:rsid w:val="00E008E1"/>
    <w:rsid w:val="00E372C9"/>
    <w:rsid w:val="00EE28A2"/>
    <w:rsid w:val="00EE30AE"/>
    <w:rsid w:val="00EE32DE"/>
    <w:rsid w:val="00F21FBC"/>
    <w:rsid w:val="00F25C2E"/>
    <w:rsid w:val="00F503F0"/>
    <w:rsid w:val="00F55644"/>
    <w:rsid w:val="00FA61C1"/>
    <w:rsid w:val="00FC3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3FE25"/>
  <w15:docId w15:val="{CC48B3DB-FA4F-4B17-B185-108FBCA69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626D31"/>
    <w:rPr>
      <w:b/>
      <w:bCs/>
    </w:rPr>
  </w:style>
  <w:style w:type="character" w:customStyle="1" w:styleId="CommentSubjectChar">
    <w:name w:val="Comment Subject Char"/>
    <w:basedOn w:val="CommentTextChar"/>
    <w:link w:val="CommentSubject"/>
    <w:uiPriority w:val="99"/>
    <w:semiHidden/>
    <w:rsid w:val="00626D31"/>
    <w:rPr>
      <w:b/>
      <w:bCs/>
      <w:sz w:val="20"/>
      <w:szCs w:val="20"/>
    </w:rPr>
  </w:style>
  <w:style w:type="paragraph" w:styleId="TOC2">
    <w:name w:val="toc 2"/>
    <w:basedOn w:val="Normal"/>
    <w:next w:val="Normal"/>
    <w:autoRedefine/>
    <w:uiPriority w:val="39"/>
    <w:unhideWhenUsed/>
    <w:rsid w:val="00B97413"/>
    <w:pPr>
      <w:spacing w:after="100"/>
      <w:ind w:left="220"/>
    </w:pPr>
  </w:style>
  <w:style w:type="paragraph" w:styleId="TOC3">
    <w:name w:val="toc 3"/>
    <w:basedOn w:val="Normal"/>
    <w:next w:val="Normal"/>
    <w:autoRedefine/>
    <w:uiPriority w:val="39"/>
    <w:unhideWhenUsed/>
    <w:rsid w:val="000F79AF"/>
    <w:pPr>
      <w:tabs>
        <w:tab w:val="right" w:pos="9019"/>
      </w:tabs>
      <w:spacing w:after="100"/>
      <w:ind w:left="440"/>
    </w:pPr>
  </w:style>
  <w:style w:type="character" w:styleId="Hyperlink">
    <w:name w:val="Hyperlink"/>
    <w:basedOn w:val="DefaultParagraphFont"/>
    <w:uiPriority w:val="99"/>
    <w:unhideWhenUsed/>
    <w:rsid w:val="00B97413"/>
    <w:rPr>
      <w:color w:val="0000FF" w:themeColor="hyperlink"/>
      <w:u w:val="single"/>
    </w:rPr>
  </w:style>
  <w:style w:type="paragraph" w:styleId="Revision">
    <w:name w:val="Revision"/>
    <w:hidden/>
    <w:uiPriority w:val="99"/>
    <w:semiHidden/>
    <w:rsid w:val="00D736A1"/>
    <w:pPr>
      <w:spacing w:line="240" w:lineRule="auto"/>
    </w:pPr>
  </w:style>
  <w:style w:type="table" w:styleId="TableGrid">
    <w:name w:val="Table Grid"/>
    <w:basedOn w:val="TableNormal"/>
    <w:uiPriority w:val="39"/>
    <w:rsid w:val="0049303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44E4B"/>
    <w:pPr>
      <w:spacing w:line="240" w:lineRule="auto"/>
    </w:pPr>
    <w:rPr>
      <w:sz w:val="20"/>
      <w:szCs w:val="20"/>
    </w:rPr>
  </w:style>
  <w:style w:type="character" w:customStyle="1" w:styleId="FootnoteTextChar">
    <w:name w:val="Footnote Text Char"/>
    <w:basedOn w:val="DefaultParagraphFont"/>
    <w:link w:val="FootnoteText"/>
    <w:uiPriority w:val="99"/>
    <w:semiHidden/>
    <w:rsid w:val="00344E4B"/>
    <w:rPr>
      <w:sz w:val="20"/>
      <w:szCs w:val="20"/>
    </w:rPr>
  </w:style>
  <w:style w:type="character" w:styleId="FootnoteReference">
    <w:name w:val="footnote reference"/>
    <w:basedOn w:val="DefaultParagraphFont"/>
    <w:uiPriority w:val="99"/>
    <w:semiHidden/>
    <w:unhideWhenUsed/>
    <w:rsid w:val="00344E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201464">
      <w:bodyDiv w:val="1"/>
      <w:marLeft w:val="0"/>
      <w:marRight w:val="0"/>
      <w:marTop w:val="0"/>
      <w:marBottom w:val="0"/>
      <w:divBdr>
        <w:top w:val="none" w:sz="0" w:space="0" w:color="auto"/>
        <w:left w:val="none" w:sz="0" w:space="0" w:color="auto"/>
        <w:bottom w:val="none" w:sz="0" w:space="0" w:color="auto"/>
        <w:right w:val="none" w:sz="0" w:space="0" w:color="auto"/>
      </w:divBdr>
    </w:div>
    <w:div w:id="6703703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zotero.org/google-docs/?qNXAxe" TargetMode="External"/><Relationship Id="rId21" Type="http://schemas.openxmlformats.org/officeDocument/2006/relationships/hyperlink" Target="https://www.zotero.org/google-docs/?NKtpaB" TargetMode="External"/><Relationship Id="rId42" Type="http://schemas.openxmlformats.org/officeDocument/2006/relationships/image" Target="media/image20.png"/><Relationship Id="rId47" Type="http://schemas.openxmlformats.org/officeDocument/2006/relationships/image" Target="media/image23.png"/><Relationship Id="rId63" Type="http://schemas.openxmlformats.org/officeDocument/2006/relationships/hyperlink" Target="https://www.zotero.org/google-docs/?yEqeGj" TargetMode="External"/><Relationship Id="rId68" Type="http://schemas.openxmlformats.org/officeDocument/2006/relationships/hyperlink" Target="https://www.zotero.org/google-docs/?yEqeGj" TargetMode="External"/><Relationship Id="rId16" Type="http://schemas.openxmlformats.org/officeDocument/2006/relationships/hyperlink" Target="https://www.zotero.org/google-docs/?i7mBMF" TargetMode="External"/><Relationship Id="rId11" Type="http://schemas.openxmlformats.org/officeDocument/2006/relationships/image" Target="media/image2.png"/><Relationship Id="rId24" Type="http://schemas.openxmlformats.org/officeDocument/2006/relationships/hyperlink" Target="https://www.zotero.org/google-docs/?kVSxHm"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s://www.zotero.org/google-docs/?QLhThR" TargetMode="External"/><Relationship Id="rId53" Type="http://schemas.openxmlformats.org/officeDocument/2006/relationships/hyperlink" Target="https://www.zotero.org/google-docs/?Bc6IUl" TargetMode="External"/><Relationship Id="rId58" Type="http://schemas.openxmlformats.org/officeDocument/2006/relationships/image" Target="media/image31.png"/><Relationship Id="rId66" Type="http://schemas.openxmlformats.org/officeDocument/2006/relationships/hyperlink" Target="https://www.zotero.org/google-docs/?yEqeGj" TargetMode="External"/><Relationship Id="rId74"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hyperlink" Target="https://www.zotero.org/google-docs/?yEqeGj" TargetMode="External"/><Relationship Id="rId19" Type="http://schemas.openxmlformats.org/officeDocument/2006/relationships/hyperlink" Target="https://www.zotero.org/google-docs/?Wk00al" TargetMode="External"/><Relationship Id="rId14" Type="http://schemas.openxmlformats.org/officeDocument/2006/relationships/hyperlink" Target="https://www.zotero.org/google-docs/?AWqajC" TargetMode="External"/><Relationship Id="rId22" Type="http://schemas.openxmlformats.org/officeDocument/2006/relationships/hyperlink" Target="https://www.zotero.org/google-docs/?v4o6pj" TargetMode="External"/><Relationship Id="rId27" Type="http://schemas.openxmlformats.org/officeDocument/2006/relationships/image" Target="media/image6.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s://www.zotero.org/google-docs/?vhRhpO" TargetMode="External"/><Relationship Id="rId48" Type="http://schemas.openxmlformats.org/officeDocument/2006/relationships/image" Target="media/image24.png"/><Relationship Id="rId56" Type="http://schemas.openxmlformats.org/officeDocument/2006/relationships/image" Target="media/image29.png"/><Relationship Id="rId64" Type="http://schemas.openxmlformats.org/officeDocument/2006/relationships/hyperlink" Target="https://www.zotero.org/google-docs/?yEqeGj" TargetMode="External"/><Relationship Id="rId69" Type="http://schemas.openxmlformats.org/officeDocument/2006/relationships/hyperlink" Target="https://www.zotero.org/google-docs/?yEqeGj" TargetMode="External"/><Relationship Id="rId77" Type="http://schemas.openxmlformats.org/officeDocument/2006/relationships/theme" Target="theme/theme1.xml"/><Relationship Id="rId8" Type="http://schemas.openxmlformats.org/officeDocument/2006/relationships/hyperlink" Target="https://www.zotero.org/google-docs/?IhyXpj" TargetMode="External"/><Relationship Id="rId51" Type="http://schemas.openxmlformats.org/officeDocument/2006/relationships/hyperlink" Target="https://www.zotero.org/google-docs/?AqZbIK" TargetMode="External"/><Relationship Id="rId72" Type="http://schemas.openxmlformats.org/officeDocument/2006/relationships/hyperlink" Target="https://www.zotero.org/google-docs/?yEqeGj" TargetMode="External"/><Relationship Id="rId3" Type="http://schemas.openxmlformats.org/officeDocument/2006/relationships/settings" Target="settings.xml"/><Relationship Id="rId12" Type="http://schemas.openxmlformats.org/officeDocument/2006/relationships/hyperlink" Target="https://www.zotero.org/google-docs/?QNKdcP" TargetMode="External"/><Relationship Id="rId17" Type="http://schemas.openxmlformats.org/officeDocument/2006/relationships/hyperlink" Target="https://www.zotero.org/google-docs/?n4OM7g" TargetMode="External"/><Relationship Id="rId25" Type="http://schemas.openxmlformats.org/officeDocument/2006/relationships/image" Target="media/image5.png"/><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image" Target="media/image22.png"/><Relationship Id="rId59" Type="http://schemas.openxmlformats.org/officeDocument/2006/relationships/hyperlink" Target="https://www.zotero.org/google-docs/?yEqeGj" TargetMode="External"/><Relationship Id="rId67" Type="http://schemas.openxmlformats.org/officeDocument/2006/relationships/hyperlink" Target="https://www.zotero.org/google-docs/?yEqeGj" TargetMode="External"/><Relationship Id="rId20" Type="http://schemas.openxmlformats.org/officeDocument/2006/relationships/image" Target="media/image4.png"/><Relationship Id="rId41" Type="http://schemas.openxmlformats.org/officeDocument/2006/relationships/image" Target="media/image19.png"/><Relationship Id="rId54" Type="http://schemas.openxmlformats.org/officeDocument/2006/relationships/image" Target="media/image28.png"/><Relationship Id="rId62" Type="http://schemas.openxmlformats.org/officeDocument/2006/relationships/hyperlink" Target="https://www.zotero.org/google-docs/?yEqeGj" TargetMode="External"/><Relationship Id="rId70" Type="http://schemas.openxmlformats.org/officeDocument/2006/relationships/hyperlink" Target="https://www.zotero.org/google-docs/?yEqeGj" TargetMode="External"/><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zotero.org/google-docs/?vKffvk" TargetMode="External"/><Relationship Id="rId23" Type="http://schemas.openxmlformats.org/officeDocument/2006/relationships/hyperlink" Target="https://www.zotero.org/google-docs/?FN2N47" TargetMode="External"/><Relationship Id="rId28" Type="http://schemas.openxmlformats.org/officeDocument/2006/relationships/hyperlink" Target="https://www.zotero.org/google-docs/?lYqxjR" TargetMode="External"/><Relationship Id="rId36" Type="http://schemas.openxmlformats.org/officeDocument/2006/relationships/image" Target="media/image14.png"/><Relationship Id="rId49" Type="http://schemas.openxmlformats.org/officeDocument/2006/relationships/image" Target="media/image25.png"/><Relationship Id="rId57" Type="http://schemas.openxmlformats.org/officeDocument/2006/relationships/image" Target="media/image30.png"/><Relationship Id="rId10" Type="http://schemas.openxmlformats.org/officeDocument/2006/relationships/image" Target="media/image1.png"/><Relationship Id="rId31" Type="http://schemas.openxmlformats.org/officeDocument/2006/relationships/image" Target="media/image9.png"/><Relationship Id="rId44" Type="http://schemas.openxmlformats.org/officeDocument/2006/relationships/image" Target="media/image21.png"/><Relationship Id="rId52" Type="http://schemas.openxmlformats.org/officeDocument/2006/relationships/image" Target="media/image27.png"/><Relationship Id="rId60" Type="http://schemas.openxmlformats.org/officeDocument/2006/relationships/hyperlink" Target="https://www.zotero.org/google-docs/?yEqeGj" TargetMode="External"/><Relationship Id="rId65" Type="http://schemas.openxmlformats.org/officeDocument/2006/relationships/hyperlink" Target="https://www.zotero.org/google-docs/?yEqeGj" TargetMode="External"/><Relationship Id="rId73" Type="http://schemas.openxmlformats.org/officeDocument/2006/relationships/hyperlink" Target="https://www.zotero.org/google-docs/?yEqeGj" TargetMode="External"/><Relationship Id="rId4" Type="http://schemas.openxmlformats.org/officeDocument/2006/relationships/webSettings" Target="webSettings.xml"/><Relationship Id="rId9" Type="http://schemas.openxmlformats.org/officeDocument/2006/relationships/hyperlink" Target="https://www.zotero.org/google-docs/?EvFatD" TargetMode="External"/><Relationship Id="rId13" Type="http://schemas.openxmlformats.org/officeDocument/2006/relationships/hyperlink" Target="https://www.zotero.org/google-docs/?ZEwG9i" TargetMode="External"/><Relationship Id="rId18" Type="http://schemas.openxmlformats.org/officeDocument/2006/relationships/image" Target="media/image3.png"/><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image" Target="media/image26.png"/><Relationship Id="rId55" Type="http://schemas.openxmlformats.org/officeDocument/2006/relationships/hyperlink" Target="https://www.zotero.org/google-docs/?PRViO9" TargetMode="External"/><Relationship Id="rId76" Type="http://schemas.openxmlformats.org/officeDocument/2006/relationships/fontTable" Target="fontTable.xml"/><Relationship Id="rId7" Type="http://schemas.openxmlformats.org/officeDocument/2006/relationships/hyperlink" Target="https://www.zotero.org/google-docs/?ibrF6w" TargetMode="External"/><Relationship Id="rId71" Type="http://schemas.openxmlformats.org/officeDocument/2006/relationships/hyperlink" Target="https://www.zotero.org/google-docs/?yEqeGj" TargetMode="External"/><Relationship Id="rId2" Type="http://schemas.openxmlformats.org/officeDocument/2006/relationships/styles" Target="styles.xml"/><Relationship Id="rId29"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s://docs.idmod.org/projects/emod-malaria/en/latest/parameter-campaign-waningeffect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76FB34-A72D-4142-A537-990387715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245</TotalTime>
  <Pages>20</Pages>
  <Words>4730</Words>
  <Characters>26963</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Manuela Runge</cp:lastModifiedBy>
  <cp:revision>55</cp:revision>
  <dcterms:created xsi:type="dcterms:W3CDTF">2023-02-02T09:29:00Z</dcterms:created>
  <dcterms:modified xsi:type="dcterms:W3CDTF">2023-03-19T13:24:00Z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id="EsOqH9Ra"/&gt;&lt;style id="http://www.zotero.org/styles/plos-one" hasBibliography="1" bibliographyStyleHasBeenSet="0"/&gt;&lt;prefs&gt;&lt;pref name="fieldType" value="Field"/&gt;&lt;/prefs&gt;&lt;/data&gt;</vt:lpwstr>
  </property>
</Properties>
</file>