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209" w:rsidRPr="00B47209" w:rsidRDefault="00B47209" w:rsidP="00B47209">
      <w:pPr>
        <w:widowControl/>
        <w:spacing w:line="360" w:lineRule="auto"/>
        <w:jc w:val="center"/>
        <w:rPr>
          <w:rFonts w:ascii="Arial" w:eastAsiaTheme="minorHAnsi" w:hAnsi="Arial"/>
          <w:b/>
          <w:bCs/>
          <w:kern w:val="0"/>
          <w:sz w:val="32"/>
          <w:szCs w:val="32"/>
          <w:lang w:eastAsia="en-US"/>
        </w:rPr>
      </w:pPr>
      <w:r w:rsidRPr="00B47209">
        <w:rPr>
          <w:rFonts w:ascii="Arial" w:eastAsiaTheme="minorHAnsi" w:hAnsi="Arial"/>
          <w:b/>
          <w:bCs/>
          <w:kern w:val="0"/>
          <w:sz w:val="32"/>
          <w:szCs w:val="32"/>
          <w:lang w:eastAsia="en-US"/>
        </w:rPr>
        <w:t xml:space="preserve">Supplementary information </w:t>
      </w:r>
    </w:p>
    <w:p w:rsidR="00DF6162" w:rsidRDefault="00DF6162"/>
    <w:p w:rsidR="004F2F85" w:rsidRDefault="004F2F85" w:rsidP="004F2F85">
      <w:pPr>
        <w:jc w:val="center"/>
        <w:rPr>
          <w:rFonts w:asciiTheme="majorBidi" w:hAnsiTheme="majorBidi" w:cstheme="majorBidi"/>
          <w:b/>
          <w:bCs/>
          <w:sz w:val="20"/>
          <w:szCs w:val="20"/>
        </w:rPr>
      </w:pPr>
      <w:r w:rsidRPr="001F5A2A">
        <w:rPr>
          <w:rFonts w:ascii="Times New Roman" w:eastAsia="MS Mincho" w:hAnsi="Times New Roman" w:cs="Times New Roman"/>
          <w:b/>
          <w:bCs/>
          <w:sz w:val="20"/>
          <w:szCs w:val="20"/>
        </w:rPr>
        <w:t xml:space="preserve">Tuning the acidity of </w:t>
      </w:r>
      <w:proofErr w:type="spellStart"/>
      <w:r w:rsidRPr="001F5A2A">
        <w:rPr>
          <w:rFonts w:ascii="Times New Roman" w:eastAsia="MS Mincho" w:hAnsi="Times New Roman" w:cs="Times New Roman"/>
          <w:b/>
          <w:bCs/>
          <w:sz w:val="20"/>
          <w:szCs w:val="20"/>
        </w:rPr>
        <w:t>halloysite</w:t>
      </w:r>
      <w:proofErr w:type="spellEnd"/>
      <w:r w:rsidRPr="001F5A2A">
        <w:rPr>
          <w:rFonts w:ascii="Times New Roman" w:eastAsia="MS Mincho" w:hAnsi="Times New Roman" w:cs="Times New Roman"/>
          <w:b/>
          <w:bCs/>
          <w:sz w:val="20"/>
          <w:szCs w:val="20"/>
        </w:rPr>
        <w:t xml:space="preserve"> by </w:t>
      </w:r>
      <w:proofErr w:type="spellStart"/>
      <w:r w:rsidRPr="001F5A2A">
        <w:rPr>
          <w:rFonts w:ascii="Times New Roman" w:eastAsia="MS Mincho" w:hAnsi="Times New Roman" w:cs="Times New Roman"/>
          <w:b/>
          <w:bCs/>
          <w:sz w:val="20"/>
          <w:szCs w:val="20"/>
        </w:rPr>
        <w:t>polyionic</w:t>
      </w:r>
      <w:proofErr w:type="spellEnd"/>
      <w:r w:rsidRPr="001F5A2A">
        <w:rPr>
          <w:rFonts w:ascii="Times New Roman" w:eastAsia="MS Mincho" w:hAnsi="Times New Roman" w:cs="Times New Roman"/>
          <w:b/>
          <w:bCs/>
          <w:sz w:val="20"/>
          <w:szCs w:val="20"/>
        </w:rPr>
        <w:t xml:space="preserve"> liquid to develop an efficient catalyst for the conversion of fructose to </w:t>
      </w:r>
      <w:r w:rsidRPr="001F5A2A">
        <w:rPr>
          <w:rFonts w:asciiTheme="majorBidi" w:hAnsiTheme="majorBidi" w:cstheme="majorBidi"/>
          <w:b/>
          <w:bCs/>
          <w:sz w:val="20"/>
          <w:szCs w:val="20"/>
        </w:rPr>
        <w:t>5-hydroxymethylfurfural</w:t>
      </w:r>
    </w:p>
    <w:p w:rsidR="00B47209" w:rsidRDefault="00B47209" w:rsidP="004F2F85">
      <w:pPr>
        <w:jc w:val="center"/>
        <w:rPr>
          <w:rFonts w:asciiTheme="majorBidi" w:hAnsiTheme="majorBidi" w:cstheme="majorBidi"/>
          <w:b/>
          <w:bCs/>
          <w:sz w:val="20"/>
          <w:szCs w:val="20"/>
        </w:rPr>
      </w:pPr>
    </w:p>
    <w:p w:rsidR="00B47209" w:rsidRPr="001F5A2A" w:rsidRDefault="00B47209" w:rsidP="00B47209">
      <w:pPr>
        <w:jc w:val="center"/>
        <w:rPr>
          <w:rFonts w:cstheme="majorBidi"/>
          <w:b/>
          <w:bCs/>
          <w:sz w:val="20"/>
          <w:szCs w:val="20"/>
        </w:rPr>
      </w:pPr>
      <w:proofErr w:type="spellStart"/>
      <w:r w:rsidRPr="001F5A2A">
        <w:rPr>
          <w:rFonts w:ascii="Times New Roman" w:eastAsia="MS Mincho" w:hAnsi="Times New Roman" w:cs="Times New Roman"/>
          <w:sz w:val="20"/>
          <w:szCs w:val="20"/>
        </w:rPr>
        <w:t>Samahe</w:t>
      </w:r>
      <w:proofErr w:type="spellEnd"/>
      <w:r w:rsidRPr="001F5A2A">
        <w:rPr>
          <w:rFonts w:ascii="Times New Roman" w:eastAsia="MS Mincho" w:hAnsi="Times New Roman" w:cs="Times New Roman"/>
          <w:sz w:val="20"/>
          <w:szCs w:val="20"/>
        </w:rPr>
        <w:t xml:space="preserve"> </w:t>
      </w:r>
      <w:proofErr w:type="spellStart"/>
      <w:r w:rsidRPr="001F5A2A">
        <w:rPr>
          <w:rFonts w:ascii="Times New Roman" w:eastAsia="MS Mincho" w:hAnsi="Times New Roman" w:cs="Times New Roman"/>
          <w:sz w:val="20"/>
          <w:szCs w:val="20"/>
        </w:rPr>
        <w:t>Sadjadi</w:t>
      </w:r>
      <w:r w:rsidRPr="001F5A2A">
        <w:rPr>
          <w:rFonts w:ascii="Times New Roman" w:eastAsia="MS Mincho" w:hAnsi="Times New Roman" w:cs="Times New Roman"/>
          <w:sz w:val="20"/>
          <w:szCs w:val="20"/>
          <w:vertAlign w:val="superscript"/>
        </w:rPr>
        <w:t>1</w:t>
      </w:r>
      <w:proofErr w:type="spellEnd"/>
      <w:r w:rsidRPr="001F5A2A">
        <w:rPr>
          <w:rFonts w:ascii="Times New Roman" w:eastAsia="MS Mincho" w:hAnsi="Times New Roman" w:cs="Times New Roman"/>
          <w:sz w:val="20"/>
          <w:szCs w:val="20"/>
          <w:vertAlign w:val="superscript"/>
        </w:rPr>
        <w:t>*</w:t>
      </w:r>
      <w:r w:rsidRPr="001F5A2A">
        <w:rPr>
          <w:rFonts w:asciiTheme="majorBidi" w:hAnsiTheme="majorBidi" w:cstheme="majorBidi"/>
          <w:sz w:val="20"/>
          <w:szCs w:val="20"/>
        </w:rPr>
        <w:t xml:space="preserve">, </w:t>
      </w:r>
      <w:proofErr w:type="spellStart"/>
      <w:r w:rsidRPr="001F5A2A">
        <w:rPr>
          <w:rFonts w:ascii="Times New Roman" w:eastAsia="MS Mincho" w:hAnsi="Times New Roman" w:cs="Times New Roman"/>
          <w:sz w:val="20"/>
          <w:szCs w:val="20"/>
        </w:rPr>
        <w:t>Soheila</w:t>
      </w:r>
      <w:proofErr w:type="spellEnd"/>
      <w:r w:rsidRPr="001F5A2A">
        <w:rPr>
          <w:rFonts w:ascii="Times New Roman" w:eastAsia="MS Mincho" w:hAnsi="Times New Roman" w:cs="Times New Roman"/>
          <w:sz w:val="20"/>
          <w:szCs w:val="20"/>
        </w:rPr>
        <w:t xml:space="preserve"> </w:t>
      </w:r>
      <w:proofErr w:type="spellStart"/>
      <w:r w:rsidRPr="001F5A2A">
        <w:rPr>
          <w:rFonts w:ascii="Times New Roman" w:eastAsia="MS Mincho" w:hAnsi="Times New Roman" w:cs="Times New Roman"/>
          <w:sz w:val="20"/>
          <w:szCs w:val="20"/>
        </w:rPr>
        <w:t>Yaghoubi</w:t>
      </w:r>
      <w:r w:rsidRPr="001F5A2A">
        <w:rPr>
          <w:rFonts w:ascii="Times New Roman" w:eastAsia="MS Mincho" w:hAnsi="Times New Roman" w:cs="Times New Roman"/>
          <w:sz w:val="20"/>
          <w:szCs w:val="20"/>
          <w:vertAlign w:val="superscript"/>
        </w:rPr>
        <w:t>2</w:t>
      </w:r>
      <w:proofErr w:type="spellEnd"/>
      <w:r w:rsidRPr="001F5A2A">
        <w:rPr>
          <w:rFonts w:ascii="Times New Roman" w:eastAsia="MS Mincho" w:hAnsi="Times New Roman" w:cs="Times New Roman"/>
          <w:sz w:val="20"/>
          <w:szCs w:val="20"/>
        </w:rPr>
        <w:t xml:space="preserve">, </w:t>
      </w:r>
      <w:proofErr w:type="spellStart"/>
      <w:r w:rsidRPr="001F5A2A">
        <w:rPr>
          <w:rFonts w:asciiTheme="majorBidi" w:hAnsiTheme="majorBidi" w:cstheme="majorBidi" w:hint="eastAsia"/>
          <w:sz w:val="20"/>
          <w:szCs w:val="20"/>
        </w:rPr>
        <w:t>Xuemin</w:t>
      </w:r>
      <w:proofErr w:type="spellEnd"/>
      <w:r w:rsidRPr="001F5A2A">
        <w:rPr>
          <w:rFonts w:asciiTheme="majorBidi" w:hAnsiTheme="majorBidi" w:cstheme="majorBidi" w:hint="eastAsia"/>
          <w:sz w:val="20"/>
          <w:szCs w:val="20"/>
        </w:rPr>
        <w:t xml:space="preserve"> </w:t>
      </w:r>
      <w:proofErr w:type="spellStart"/>
      <w:r w:rsidRPr="001F5A2A">
        <w:rPr>
          <w:rFonts w:asciiTheme="majorBidi" w:hAnsiTheme="majorBidi" w:cstheme="majorBidi" w:hint="eastAsia"/>
          <w:sz w:val="20"/>
          <w:szCs w:val="20"/>
        </w:rPr>
        <w:t>Zhong</w:t>
      </w:r>
      <w:r w:rsidRPr="001F5A2A">
        <w:rPr>
          <w:rFonts w:asciiTheme="majorBidi" w:hAnsiTheme="majorBidi" w:cstheme="majorBidi"/>
          <w:sz w:val="20"/>
          <w:szCs w:val="20"/>
          <w:vertAlign w:val="superscript"/>
        </w:rPr>
        <w:t>3</w:t>
      </w:r>
      <w:proofErr w:type="spellEnd"/>
      <w:r w:rsidRPr="001F5A2A">
        <w:rPr>
          <w:rFonts w:asciiTheme="majorBidi" w:hAnsiTheme="majorBidi" w:cstheme="majorBidi"/>
          <w:sz w:val="20"/>
          <w:szCs w:val="20"/>
        </w:rPr>
        <w:t>, Peng Yuan</w:t>
      </w:r>
      <w:r w:rsidRPr="001F5A2A">
        <w:rPr>
          <w:rFonts w:asciiTheme="majorBidi" w:hAnsiTheme="majorBidi" w:cstheme="majorBidi"/>
          <w:sz w:val="20"/>
          <w:szCs w:val="20"/>
          <w:vertAlign w:val="superscript"/>
        </w:rPr>
        <w:t>4</w:t>
      </w:r>
      <w:r w:rsidRPr="001F5A2A">
        <w:rPr>
          <w:rFonts w:asciiTheme="majorBidi" w:hAnsiTheme="majorBidi" w:cstheme="majorBidi"/>
          <w:b/>
          <w:bCs/>
          <w:sz w:val="20"/>
          <w:szCs w:val="20"/>
        </w:rPr>
        <w:t xml:space="preserve">, </w:t>
      </w:r>
      <w:r w:rsidRPr="001F5A2A">
        <w:rPr>
          <w:rFonts w:asciiTheme="majorBidi" w:hAnsiTheme="majorBidi" w:cstheme="majorBidi"/>
          <w:sz w:val="20"/>
          <w:szCs w:val="20"/>
        </w:rPr>
        <w:t xml:space="preserve">Majid M. </w:t>
      </w:r>
      <w:proofErr w:type="spellStart"/>
      <w:r w:rsidRPr="001F5A2A">
        <w:rPr>
          <w:rFonts w:asciiTheme="majorBidi" w:hAnsiTheme="majorBidi" w:cstheme="majorBidi"/>
          <w:sz w:val="20"/>
          <w:szCs w:val="20"/>
        </w:rPr>
        <w:t>Heravi</w:t>
      </w:r>
      <w:proofErr w:type="spellEnd"/>
      <w:r w:rsidRPr="001F5A2A">
        <w:rPr>
          <w:rFonts w:asciiTheme="majorBidi" w:hAnsiTheme="majorBidi" w:cstheme="majorBidi"/>
          <w:sz w:val="20"/>
          <w:szCs w:val="20"/>
        </w:rPr>
        <w:t>*</w:t>
      </w:r>
      <w:r w:rsidRPr="001F5A2A">
        <w:rPr>
          <w:rFonts w:asciiTheme="majorBidi" w:hAnsiTheme="majorBidi" w:cstheme="majorBidi"/>
          <w:sz w:val="20"/>
          <w:szCs w:val="20"/>
          <w:vertAlign w:val="superscript"/>
        </w:rPr>
        <w:t>2</w:t>
      </w:r>
    </w:p>
    <w:p w:rsidR="00FC4641" w:rsidRDefault="00FC4641" w:rsidP="004F2F85">
      <w:pPr>
        <w:spacing w:before="400"/>
        <w:jc w:val="center"/>
        <w:rPr>
          <w:rFonts w:asciiTheme="majorBidi" w:hAnsiTheme="majorBidi" w:cstheme="majorBidi"/>
          <w:b/>
          <w:bCs/>
          <w:sz w:val="20"/>
          <w:szCs w:val="20"/>
        </w:rPr>
      </w:pPr>
    </w:p>
    <w:p w:rsidR="00FC4641" w:rsidRPr="006C0967" w:rsidRDefault="00FC4641" w:rsidP="006C0967">
      <w:pPr>
        <w:tabs>
          <w:tab w:val="left" w:pos="3933"/>
        </w:tabs>
        <w:rPr>
          <w:rFonts w:ascii="Times New Roman" w:hAnsi="Times New Roman" w:cs="Times New Roman"/>
          <w:b/>
          <w:bCs/>
          <w:sz w:val="20"/>
          <w:szCs w:val="20"/>
          <w:rtl/>
        </w:rPr>
      </w:pPr>
      <w:r w:rsidRPr="006C0967">
        <w:rPr>
          <w:rFonts w:asciiTheme="majorBidi" w:hAnsiTheme="majorBidi" w:cstheme="majorBidi"/>
          <w:b/>
          <w:bCs/>
          <w:sz w:val="20"/>
          <w:szCs w:val="20"/>
        </w:rPr>
        <w:t>Materials and instruments</w:t>
      </w:r>
    </w:p>
    <w:p w:rsidR="00FC4641" w:rsidRPr="001F5A2A" w:rsidRDefault="00FC4641" w:rsidP="00FC4641">
      <w:pPr>
        <w:rPr>
          <w:rFonts w:asciiTheme="majorBidi" w:hAnsiTheme="majorBidi" w:cstheme="majorBidi"/>
          <w:sz w:val="20"/>
          <w:szCs w:val="20"/>
        </w:rPr>
      </w:pPr>
      <w:proofErr w:type="spellStart"/>
      <w:r w:rsidRPr="001F5A2A">
        <w:rPr>
          <w:rFonts w:asciiTheme="majorBidi" w:hAnsiTheme="majorBidi" w:cstheme="majorBidi"/>
          <w:sz w:val="20"/>
          <w:szCs w:val="20"/>
        </w:rPr>
        <w:t>Halloysite</w:t>
      </w:r>
      <w:proofErr w:type="spellEnd"/>
      <w:r w:rsidRPr="001F5A2A">
        <w:rPr>
          <w:rFonts w:asciiTheme="majorBidi" w:hAnsiTheme="majorBidi" w:cstheme="majorBidi"/>
          <w:sz w:val="20"/>
          <w:szCs w:val="20"/>
        </w:rPr>
        <w:t xml:space="preserve"> (Hal), </w:t>
      </w:r>
      <w:proofErr w:type="spellStart"/>
      <w:r w:rsidRPr="001F5A2A">
        <w:rPr>
          <w:rFonts w:asciiTheme="majorBidi" w:hAnsiTheme="majorBidi" w:cstheme="majorBidi"/>
          <w:sz w:val="20"/>
          <w:szCs w:val="20"/>
        </w:rPr>
        <w:t>vinyltriethoxysilane</w:t>
      </w:r>
      <w:proofErr w:type="spellEnd"/>
      <w:r w:rsidRPr="001F5A2A">
        <w:rPr>
          <w:rFonts w:asciiTheme="majorBidi" w:hAnsiTheme="majorBidi" w:cstheme="majorBidi"/>
          <w:sz w:val="20"/>
          <w:szCs w:val="20"/>
        </w:rPr>
        <w:t xml:space="preserve"> (97%), vinyl imidazole (VI, &gt;99%),</w:t>
      </w:r>
      <w:r w:rsidRPr="001F5A2A">
        <w:rPr>
          <w:sz w:val="20"/>
          <w:szCs w:val="20"/>
        </w:rPr>
        <w:t xml:space="preserve"> </w:t>
      </w:r>
      <w:proofErr w:type="spellStart"/>
      <w:r w:rsidRPr="001F5A2A">
        <w:rPr>
          <w:rFonts w:asciiTheme="majorBidi" w:hAnsiTheme="majorBidi" w:cstheme="majorBidi"/>
          <w:sz w:val="20"/>
          <w:szCs w:val="20"/>
        </w:rPr>
        <w:t>azobisisobutyronitrile</w:t>
      </w:r>
      <w:proofErr w:type="spellEnd"/>
      <w:r w:rsidRPr="001F5A2A">
        <w:rPr>
          <w:rFonts w:asciiTheme="majorBidi" w:hAnsiTheme="majorBidi" w:cstheme="majorBidi"/>
          <w:sz w:val="20"/>
          <w:szCs w:val="20"/>
        </w:rPr>
        <w:t xml:space="preserve"> (AIBN, 98%), 2-</w:t>
      </w:r>
      <w:proofErr w:type="spellStart"/>
      <w:r w:rsidRPr="001F5A2A">
        <w:rPr>
          <w:rFonts w:asciiTheme="majorBidi" w:hAnsiTheme="majorBidi" w:cstheme="majorBidi"/>
          <w:sz w:val="20"/>
          <w:szCs w:val="20"/>
        </w:rPr>
        <w:t>acrylamido</w:t>
      </w:r>
      <w:proofErr w:type="spellEnd"/>
      <w:r w:rsidRPr="001F5A2A">
        <w:rPr>
          <w:rFonts w:asciiTheme="majorBidi" w:hAnsiTheme="majorBidi" w:cstheme="majorBidi"/>
          <w:sz w:val="20"/>
          <w:szCs w:val="20"/>
        </w:rPr>
        <w:t>-2-</w:t>
      </w:r>
      <w:proofErr w:type="spellStart"/>
      <w:r w:rsidRPr="001F5A2A">
        <w:rPr>
          <w:rFonts w:asciiTheme="majorBidi" w:hAnsiTheme="majorBidi" w:cstheme="majorBidi"/>
          <w:sz w:val="20"/>
          <w:szCs w:val="20"/>
        </w:rPr>
        <w:t>methylpropanesulfonic</w:t>
      </w:r>
      <w:proofErr w:type="spellEnd"/>
      <w:r w:rsidRPr="001F5A2A">
        <w:rPr>
          <w:rFonts w:asciiTheme="majorBidi" w:hAnsiTheme="majorBidi" w:cstheme="majorBidi"/>
          <w:sz w:val="20"/>
          <w:szCs w:val="20"/>
        </w:rPr>
        <w:t xml:space="preserve"> acid (AMPS, 99%), </w:t>
      </w:r>
      <w:proofErr w:type="spellStart"/>
      <w:r w:rsidRPr="001F5A2A">
        <w:rPr>
          <w:rFonts w:asciiTheme="majorBidi" w:hAnsiTheme="majorBidi" w:cstheme="majorBidi"/>
          <w:sz w:val="20"/>
          <w:szCs w:val="20"/>
        </w:rPr>
        <w:t>chlorosulfuric</w:t>
      </w:r>
      <w:proofErr w:type="spellEnd"/>
      <w:r w:rsidRPr="001F5A2A">
        <w:rPr>
          <w:rFonts w:asciiTheme="majorBidi" w:hAnsiTheme="majorBidi" w:cstheme="majorBidi"/>
          <w:sz w:val="20"/>
          <w:szCs w:val="20"/>
        </w:rPr>
        <w:t xml:space="preserve"> acid (</w:t>
      </w:r>
      <w:r w:rsidRPr="001F5A2A">
        <w:rPr>
          <w:rFonts w:ascii="Times New Roman" w:hAnsi="Times New Roman" w:cs="Times New Roman"/>
          <w:sz w:val="20"/>
          <w:szCs w:val="20"/>
          <w:lang w:bidi="fa-IR"/>
        </w:rPr>
        <w:t>97%</w:t>
      </w:r>
      <w:r w:rsidRPr="001F5A2A">
        <w:rPr>
          <w:rFonts w:asciiTheme="majorBidi" w:hAnsiTheme="majorBidi" w:cstheme="majorBidi"/>
          <w:sz w:val="20"/>
          <w:szCs w:val="20"/>
        </w:rPr>
        <w:t>), dichloromethane (CH</w:t>
      </w:r>
      <w:r w:rsidRPr="001F5A2A">
        <w:rPr>
          <w:rFonts w:asciiTheme="majorBidi" w:hAnsiTheme="majorBidi" w:cstheme="majorBidi"/>
          <w:sz w:val="20"/>
          <w:szCs w:val="20"/>
          <w:vertAlign w:val="subscript"/>
        </w:rPr>
        <w:t>2</w:t>
      </w:r>
      <w:r w:rsidRPr="001F5A2A">
        <w:rPr>
          <w:rFonts w:asciiTheme="majorBidi" w:hAnsiTheme="majorBidi" w:cstheme="majorBidi"/>
          <w:sz w:val="20"/>
          <w:szCs w:val="20"/>
        </w:rPr>
        <w:t>Cl</w:t>
      </w:r>
      <w:r w:rsidRPr="001F5A2A">
        <w:rPr>
          <w:rFonts w:asciiTheme="majorBidi" w:hAnsiTheme="majorBidi" w:cstheme="majorBidi"/>
          <w:sz w:val="20"/>
          <w:szCs w:val="20"/>
          <w:vertAlign w:val="subscript"/>
        </w:rPr>
        <w:t>2</w:t>
      </w:r>
      <w:r w:rsidRPr="001F5A2A">
        <w:rPr>
          <w:rFonts w:asciiTheme="majorBidi" w:hAnsiTheme="majorBidi" w:cstheme="majorBidi"/>
          <w:sz w:val="20"/>
          <w:szCs w:val="20"/>
        </w:rPr>
        <w:t xml:space="preserve">), ethanol </w:t>
      </w:r>
      <w:r w:rsidRPr="001F5A2A">
        <w:rPr>
          <w:rFonts w:ascii="Times New Roman" w:hAnsi="Times New Roman" w:cs="Times New Roman"/>
          <w:sz w:val="20"/>
          <w:szCs w:val="20"/>
          <w:lang w:bidi="fa-IR"/>
        </w:rPr>
        <w:t>(&gt;99%)</w:t>
      </w:r>
      <w:r w:rsidRPr="001F5A2A">
        <w:rPr>
          <w:rFonts w:asciiTheme="majorBidi" w:hAnsiTheme="majorBidi" w:cstheme="majorBidi"/>
          <w:sz w:val="20"/>
          <w:szCs w:val="20"/>
        </w:rPr>
        <w:t xml:space="preserve">, dimethyl sulfoxide </w:t>
      </w:r>
      <w:r w:rsidRPr="001F5A2A">
        <w:rPr>
          <w:rFonts w:ascii="Times New Roman" w:hAnsi="Times New Roman" w:cs="Times New Roman"/>
          <w:sz w:val="20"/>
          <w:szCs w:val="20"/>
          <w:lang w:bidi="fa-IR"/>
        </w:rPr>
        <w:t>(DMSO, &gt;99%)</w:t>
      </w:r>
      <w:r w:rsidRPr="001F5A2A">
        <w:rPr>
          <w:rFonts w:asciiTheme="majorBidi" w:hAnsiTheme="majorBidi" w:cstheme="majorBidi"/>
          <w:sz w:val="20"/>
          <w:szCs w:val="20"/>
        </w:rPr>
        <w:t xml:space="preserve">, fructose </w:t>
      </w:r>
      <w:r w:rsidRPr="001F5A2A">
        <w:rPr>
          <w:rFonts w:ascii="Times New Roman" w:hAnsi="Times New Roman" w:cs="Times New Roman"/>
          <w:sz w:val="20"/>
          <w:szCs w:val="20"/>
          <w:lang w:bidi="fa-IR"/>
        </w:rPr>
        <w:t>(&gt;99%)</w:t>
      </w:r>
      <w:r w:rsidRPr="001F5A2A">
        <w:rPr>
          <w:rFonts w:asciiTheme="majorBidi" w:hAnsiTheme="majorBidi" w:cstheme="majorBidi"/>
          <w:sz w:val="20"/>
          <w:szCs w:val="20"/>
        </w:rPr>
        <w:t xml:space="preserve">, glucose </w:t>
      </w:r>
      <w:r w:rsidRPr="001F5A2A">
        <w:rPr>
          <w:rFonts w:ascii="Times New Roman" w:hAnsi="Times New Roman" w:cs="Times New Roman"/>
          <w:sz w:val="20"/>
          <w:szCs w:val="20"/>
          <w:lang w:bidi="fa-IR"/>
        </w:rPr>
        <w:t>(&gt;99%)</w:t>
      </w:r>
      <w:r w:rsidRPr="001F5A2A">
        <w:rPr>
          <w:rFonts w:asciiTheme="majorBidi" w:hAnsiTheme="majorBidi" w:cstheme="majorBidi"/>
          <w:sz w:val="20"/>
          <w:szCs w:val="20"/>
        </w:rPr>
        <w:t xml:space="preserve">, maltose </w:t>
      </w:r>
      <w:r w:rsidRPr="001F5A2A">
        <w:rPr>
          <w:rFonts w:ascii="Times New Roman" w:hAnsi="Times New Roman" w:cs="Times New Roman"/>
          <w:sz w:val="20"/>
          <w:szCs w:val="20"/>
          <w:lang w:bidi="fa-IR"/>
        </w:rPr>
        <w:t>(&gt;99%)</w:t>
      </w:r>
      <w:r w:rsidRPr="001F5A2A">
        <w:rPr>
          <w:rFonts w:asciiTheme="majorBidi" w:hAnsiTheme="majorBidi" w:cstheme="majorBidi"/>
          <w:sz w:val="20"/>
          <w:szCs w:val="20"/>
        </w:rPr>
        <w:t xml:space="preserve">, cellulose, all provided from Sigma-Aldrich, were applied for the synthesis of Hal-PIL and investigating its catalytic activity for the synthesis of HMF. </w:t>
      </w:r>
    </w:p>
    <w:p w:rsidR="00FC4641" w:rsidRPr="001F5A2A" w:rsidRDefault="00FC4641" w:rsidP="00FC4641">
      <w:pPr>
        <w:rPr>
          <w:rFonts w:asciiTheme="majorBidi" w:hAnsiTheme="majorBidi" w:cstheme="majorBidi"/>
          <w:sz w:val="20"/>
          <w:szCs w:val="20"/>
        </w:rPr>
      </w:pPr>
      <w:r w:rsidRPr="001F5A2A">
        <w:rPr>
          <w:rFonts w:asciiTheme="majorBidi" w:hAnsiTheme="majorBidi" w:cstheme="majorBidi"/>
          <w:sz w:val="20"/>
          <w:szCs w:val="20"/>
        </w:rPr>
        <w:t>The analyses used</w:t>
      </w:r>
      <w:r w:rsidRPr="001F5A2A">
        <w:rPr>
          <w:rFonts w:asciiTheme="majorBidi" w:hAnsiTheme="majorBidi" w:cstheme="majorBidi"/>
          <w:sz w:val="20"/>
          <w:szCs w:val="20"/>
          <w:lang w:bidi="fa-IR"/>
        </w:rPr>
        <w:t xml:space="preserve"> to confirm the formation of Hal-PIL were </w:t>
      </w:r>
      <w:r w:rsidRPr="001F5A2A">
        <w:rPr>
          <w:rFonts w:asciiTheme="majorBidi" w:hAnsiTheme="majorBidi" w:cstheme="majorBidi"/>
          <w:sz w:val="20"/>
          <w:szCs w:val="20"/>
        </w:rPr>
        <w:t xml:space="preserve">X-ray diffraction (XRD, </w:t>
      </w:r>
      <w:proofErr w:type="spellStart"/>
      <w:r w:rsidRPr="001F5A2A">
        <w:rPr>
          <w:rFonts w:asciiTheme="majorBidi" w:hAnsiTheme="majorBidi" w:cstheme="majorBidi"/>
          <w:sz w:val="20"/>
          <w:szCs w:val="20"/>
        </w:rPr>
        <w:t>Rigaku</w:t>
      </w:r>
      <w:proofErr w:type="spellEnd"/>
      <w:r w:rsidRPr="001F5A2A">
        <w:rPr>
          <w:rFonts w:asciiTheme="majorBidi" w:hAnsiTheme="majorBidi" w:cstheme="majorBidi"/>
          <w:sz w:val="20"/>
          <w:szCs w:val="20"/>
        </w:rPr>
        <w:t xml:space="preserve"> </w:t>
      </w:r>
      <w:proofErr w:type="spellStart"/>
      <w:r w:rsidRPr="001F5A2A">
        <w:rPr>
          <w:rFonts w:asciiTheme="majorBidi" w:hAnsiTheme="majorBidi" w:cstheme="majorBidi"/>
          <w:sz w:val="20"/>
          <w:szCs w:val="20"/>
        </w:rPr>
        <w:t>Ultima</w:t>
      </w:r>
      <w:proofErr w:type="spellEnd"/>
      <w:r w:rsidRPr="001F5A2A">
        <w:rPr>
          <w:rFonts w:asciiTheme="majorBidi" w:hAnsiTheme="majorBidi" w:cstheme="majorBidi"/>
          <w:sz w:val="20"/>
          <w:szCs w:val="20"/>
        </w:rPr>
        <w:t xml:space="preserve"> </w:t>
      </w:r>
      <m:oMath>
        <m:r>
          <w:rPr>
            <w:rFonts w:ascii="MS Mincho" w:eastAsia="MS Mincho" w:hAnsi="MS Mincho" w:cs="MS Mincho" w:hint="eastAsia"/>
            <w:sz w:val="20"/>
            <w:szCs w:val="20"/>
          </w:rPr>
          <m:t>Ⅳ</m:t>
        </m:r>
      </m:oMath>
      <w:r w:rsidRPr="001F5A2A">
        <w:rPr>
          <w:rFonts w:asciiTheme="majorBidi" w:hAnsiTheme="majorBidi" w:cstheme="majorBidi"/>
          <w:sz w:val="20"/>
          <w:szCs w:val="20"/>
        </w:rPr>
        <w:t xml:space="preserve"> with Cu-Kα). Infrared spectroscopy (FT-IR, BRUKER TENSOR 35 spectrophotometer 65 with a scan time of 1s and spectral resolution of 2 cm</w:t>
      </w:r>
      <w:r w:rsidRPr="001F5A2A">
        <w:rPr>
          <w:rFonts w:asciiTheme="majorBidi" w:hAnsiTheme="majorBidi" w:cstheme="majorBidi"/>
          <w:sz w:val="20"/>
          <w:szCs w:val="20"/>
          <w:vertAlign w:val="superscript"/>
        </w:rPr>
        <w:t>-1</w:t>
      </w:r>
      <w:r w:rsidRPr="001F5A2A">
        <w:rPr>
          <w:rFonts w:asciiTheme="majorBidi" w:hAnsiTheme="majorBidi" w:cstheme="majorBidi"/>
          <w:sz w:val="20"/>
          <w:szCs w:val="20"/>
        </w:rPr>
        <w:t xml:space="preserve"> by using potassium bromide (</w:t>
      </w:r>
      <w:proofErr w:type="spellStart"/>
      <w:r w:rsidRPr="001F5A2A">
        <w:rPr>
          <w:rFonts w:asciiTheme="majorBidi" w:hAnsiTheme="majorBidi" w:cstheme="majorBidi"/>
          <w:sz w:val="20"/>
          <w:szCs w:val="20"/>
        </w:rPr>
        <w:t>KBr</w:t>
      </w:r>
      <w:proofErr w:type="spellEnd"/>
      <w:r w:rsidRPr="001F5A2A">
        <w:rPr>
          <w:rFonts w:asciiTheme="majorBidi" w:hAnsiTheme="majorBidi" w:cstheme="majorBidi"/>
          <w:sz w:val="20"/>
          <w:szCs w:val="20"/>
        </w:rPr>
        <w:t xml:space="preserve">) pellets. Thermogravimetric analysis (TGA, </w:t>
      </w:r>
      <w:r w:rsidRPr="001F5A2A">
        <w:rPr>
          <w:rFonts w:ascii="Times New Roman" w:hAnsi="Times New Roman" w:cs="Times New Roman"/>
          <w:sz w:val="20"/>
          <w:szCs w:val="20"/>
          <w:lang w:bidi="fa-IR"/>
        </w:rPr>
        <w:t>METTLER TOLEDO, under O</w:t>
      </w:r>
      <w:r w:rsidRPr="001F5A2A">
        <w:rPr>
          <w:rFonts w:ascii="Times New Roman" w:hAnsi="Times New Roman" w:cs="Times New Roman"/>
          <w:sz w:val="20"/>
          <w:szCs w:val="20"/>
          <w:vertAlign w:val="subscript"/>
          <w:lang w:bidi="fa-IR"/>
        </w:rPr>
        <w:t>2</w:t>
      </w:r>
      <w:r w:rsidRPr="001F5A2A">
        <w:rPr>
          <w:rFonts w:ascii="Times New Roman" w:hAnsi="Times New Roman" w:cs="Times New Roman"/>
          <w:sz w:val="20"/>
          <w:szCs w:val="20"/>
          <w:lang w:bidi="fa-IR"/>
        </w:rPr>
        <w:t xml:space="preserve"> atmosphere and ramp rate of 10 °C/min</w:t>
      </w:r>
      <w:r w:rsidRPr="001F5A2A">
        <w:rPr>
          <w:rFonts w:asciiTheme="majorBidi" w:hAnsiTheme="majorBidi" w:cstheme="majorBidi"/>
          <w:sz w:val="20"/>
          <w:szCs w:val="20"/>
        </w:rPr>
        <w:t xml:space="preserve">), Scanning electron microscope (SEM) and energy-dispersive X-ray spectroscopy (EDS, </w:t>
      </w:r>
      <w:r w:rsidRPr="001F5A2A">
        <w:rPr>
          <w:rFonts w:ascii="Times New Roman" w:hAnsi="Times New Roman" w:cs="Times New Roman"/>
          <w:sz w:val="20"/>
          <w:szCs w:val="20"/>
          <w:lang w:bidi="fa-IR"/>
        </w:rPr>
        <w:t>VEGAII TESCAN device, equipped with QX2, RONTEC energy dispersive X-ray analyzer</w:t>
      </w:r>
      <w:r w:rsidRPr="001F5A2A">
        <w:rPr>
          <w:rFonts w:asciiTheme="majorBidi" w:hAnsiTheme="majorBidi" w:cstheme="majorBidi"/>
          <w:sz w:val="20"/>
          <w:szCs w:val="20"/>
        </w:rPr>
        <w:t xml:space="preserve">). The acidity of the catalyst and pristine </w:t>
      </w:r>
      <w:proofErr w:type="spellStart"/>
      <w:r w:rsidRPr="001F5A2A">
        <w:rPr>
          <w:rFonts w:asciiTheme="majorBidi" w:hAnsiTheme="majorBidi" w:cstheme="majorBidi"/>
          <w:sz w:val="20"/>
          <w:szCs w:val="20"/>
        </w:rPr>
        <w:t>halloysite</w:t>
      </w:r>
      <w:proofErr w:type="spellEnd"/>
      <w:r w:rsidRPr="001F5A2A">
        <w:rPr>
          <w:rFonts w:asciiTheme="majorBidi" w:hAnsiTheme="majorBidi" w:cstheme="majorBidi"/>
          <w:sz w:val="20"/>
          <w:szCs w:val="20"/>
        </w:rPr>
        <w:t xml:space="preserve"> was also measured using </w:t>
      </w:r>
      <w:r w:rsidRPr="001F5A2A">
        <w:rPr>
          <w:rFonts w:ascii="Times New Roman" w:hAnsi="Times New Roman" w:cs="Times New Roman"/>
          <w:sz w:val="20"/>
          <w:szCs w:val="20"/>
        </w:rPr>
        <w:t>UV-Vis spectroscopy and the Hammett equation.</w:t>
      </w:r>
      <w:r w:rsidRPr="001F5A2A">
        <w:rPr>
          <w:sz w:val="20"/>
          <w:szCs w:val="20"/>
        </w:rPr>
        <w:t xml:space="preserve"> </w:t>
      </w:r>
      <w:r w:rsidRPr="001F5A2A">
        <w:rPr>
          <w:rFonts w:ascii="Times New Roman" w:hAnsi="Times New Roman" w:cs="Times New Roman"/>
          <w:sz w:val="20"/>
          <w:szCs w:val="20"/>
        </w:rPr>
        <w:t>The specific surface areas (S</w:t>
      </w:r>
      <w:r w:rsidRPr="001F5A2A">
        <w:rPr>
          <w:rFonts w:ascii="Times New Roman" w:hAnsi="Times New Roman" w:cs="Times New Roman"/>
          <w:sz w:val="20"/>
          <w:szCs w:val="20"/>
          <w:vertAlign w:val="subscript"/>
        </w:rPr>
        <w:t>BET</w:t>
      </w:r>
      <w:r w:rsidRPr="001F5A2A">
        <w:rPr>
          <w:rFonts w:ascii="Times New Roman" w:hAnsi="Times New Roman" w:cs="Times New Roman"/>
          <w:sz w:val="20"/>
          <w:szCs w:val="20"/>
        </w:rPr>
        <w:t xml:space="preserve">) of Hal and Hal-PIL were estimated using </w:t>
      </w:r>
      <w:proofErr w:type="spellStart"/>
      <w:r w:rsidRPr="001F5A2A">
        <w:rPr>
          <w:rFonts w:ascii="Times New Roman" w:hAnsi="Times New Roman" w:cs="Times New Roman"/>
          <w:sz w:val="20"/>
          <w:szCs w:val="20"/>
        </w:rPr>
        <w:t>Brunauer</w:t>
      </w:r>
      <w:proofErr w:type="spellEnd"/>
      <w:r w:rsidRPr="001F5A2A">
        <w:rPr>
          <w:rFonts w:ascii="Times New Roman" w:hAnsi="Times New Roman" w:cs="Times New Roman"/>
          <w:sz w:val="20"/>
          <w:szCs w:val="20"/>
        </w:rPr>
        <w:t xml:space="preserve">-Emmett-Teller (BET) method using BELSORP MINI II, BEL instrument with pre-heating at 150 °C for 3 h.  </w:t>
      </w:r>
    </w:p>
    <w:p w:rsidR="00680160" w:rsidRPr="004C0DE4" w:rsidRDefault="00680160" w:rsidP="00680160">
      <w:pPr>
        <w:rPr>
          <w:rFonts w:ascii="Times New Roman" w:hAnsi="Times New Roman" w:cs="Times New Roman"/>
          <w:b/>
          <w:bCs/>
          <w:sz w:val="20"/>
          <w:szCs w:val="20"/>
        </w:rPr>
      </w:pPr>
      <w:r w:rsidRPr="004C0DE4">
        <w:rPr>
          <w:rFonts w:ascii="Times New Roman" w:hAnsi="Times New Roman" w:cs="Times New Roman"/>
          <w:b/>
          <w:bCs/>
          <w:sz w:val="20"/>
          <w:szCs w:val="20"/>
        </w:rPr>
        <w:t>HMF yield</w:t>
      </w:r>
    </w:p>
    <w:p w:rsidR="00680160" w:rsidRPr="001F5A2A" w:rsidRDefault="004C7660" w:rsidP="00680160">
      <w:pPr>
        <w:rPr>
          <w:rFonts w:asciiTheme="majorBidi" w:hAnsiTheme="majorBidi" w:cstheme="majorBidi"/>
          <w:sz w:val="20"/>
          <w:szCs w:val="20"/>
          <w:lang w:bidi="fa-IR"/>
        </w:rPr>
      </w:pPr>
      <w:r w:rsidRPr="001F5A2A">
        <w:rPr>
          <w:rFonts w:ascii="Times New Roman" w:hAnsi="Times New Roman" w:cs="Times New Roman"/>
          <w:sz w:val="20"/>
          <w:szCs w:val="20"/>
        </w:rPr>
        <w:t xml:space="preserve">The obtained HMF was purified through a known procedure </w:t>
      </w:r>
      <w:hyperlink w:anchor="_ENREF_49" w:tooltip="Wang, 2013 #676" w:history="1">
        <w:r w:rsidRPr="001F5A2A">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&lt;EndNote&gt;&lt;Cite&gt;&lt;Author&gt;Wang&lt;/Author&gt;&lt;Year&gt;2013&lt;/Year&gt;&lt;RecNum&gt;676&lt;/RecNum&gt;&lt;DisplayText&gt;&lt;style face="superscript"&gt;49&lt;/style&gt;&lt;/DisplayText&gt;&lt;record&gt;&lt;rec-number&gt;676&lt;/rec-number&gt;&lt;foreign-keys&gt;&lt;key app="EN" db-id="5rtffspfrsawxcet00mxaw2rdx9ps5ztfe59" timestamp="1662906283"&gt;676&lt;/key&gt;&lt;/foreign-keys&gt;&lt;ref-type name="Journal Article"&gt;17&lt;/ref-type&gt;&lt;contributors&gt;&lt;authors&gt;&lt;author&gt;Wang, Jianjian&lt;/author&gt;&lt;author&gt;Ren, Jiawen&lt;/author&gt;&lt;author&gt;Liu, Xiaohui&lt;/author&gt;&lt;author&gt;Lu, Guanzhong&lt;/author&gt;&lt;author&gt;Wang, Yanqin&lt;/author&gt;&lt;/authors&gt;&lt;/contributors&gt;&lt;titles&gt;&lt;title&gt;High yield production and purification of 5-hydroxymethylfurfural&lt;/title&gt;&lt;secondary-title&gt;AIChE J. &lt;/secondary-title&gt;&lt;/titles&gt;&lt;periodical&gt;&lt;full-title&gt;AIChE J.&lt;/full-title&gt;&lt;/periodical&gt;&lt;pages&gt;2558-2566&lt;/pages&gt;&lt;volume&gt;59&lt;/volume&gt;&lt;number&gt;7&lt;/number&gt;&lt;dates&gt;&lt;year&gt;2013&lt;/year&gt;&lt;/dates&gt;&lt;isbn&gt;0001-1541&lt;/isbn&gt;&lt;urls&gt;&lt;related-urls&gt;&lt;url&gt;https://aiche.onlinelibrary.wiley.com/doi/abs/10.1002/aic.14019&lt;/url&gt;&lt;/related-urls&gt;&lt;/urls&gt;&lt;electronic-resource-num&gt;https://doi.org/10.1002/aic.14019&lt;/electronic-resource-num&gt;&lt;/record&gt;&lt;/Cite&gt;&lt;/EndNote&gt;</w:instrText>
        </w:r>
        <w:r w:rsidRPr="001F5A2A">
          <w:rPr>
            <w:rFonts w:ascii="Times New Roman" w:hAnsi="Times New Roman" w:cs="Times New Roman"/>
            <w:sz w:val="20"/>
            <w:szCs w:val="20"/>
          </w:rPr>
          <w:fldChar w:fldCharType="separate"/>
        </w:r>
        <w:r w:rsidRPr="001647B7">
          <w:rPr>
            <w:rFonts w:ascii="Times New Roman" w:hAnsi="Times New Roman" w:cs="Times New Roman"/>
            <w:noProof/>
            <w:sz w:val="20"/>
            <w:szCs w:val="20"/>
            <w:vertAlign w:val="superscript"/>
          </w:rPr>
          <w:t>49</w:t>
        </w:r>
        <w:r w:rsidRPr="001F5A2A">
          <w:rPr>
            <w:rFonts w:ascii="Times New Roman" w:hAnsi="Times New Roman" w:cs="Times New Roman"/>
            <w:sz w:val="20"/>
            <w:szCs w:val="20"/>
          </w:rPr>
          <w:fldChar w:fldCharType="end"/>
        </w:r>
      </w:hyperlink>
      <w:r w:rsidRPr="001F5A2A">
        <w:rPr>
          <w:rFonts w:ascii="Times New Roman" w:hAnsi="Times New Roman" w:cs="Times New Roman"/>
          <w:sz w:val="20"/>
          <w:szCs w:val="20"/>
        </w:rPr>
        <w:t xml:space="preserve">. Briefly, water saturated with </w:t>
      </w:r>
      <w:proofErr w:type="spellStart"/>
      <w:r w:rsidRPr="001F5A2A">
        <w:rPr>
          <w:rFonts w:ascii="Times New Roman" w:hAnsi="Times New Roman" w:cs="Times New Roman"/>
          <w:sz w:val="20"/>
          <w:szCs w:val="20"/>
        </w:rPr>
        <w:t>NaCl</w:t>
      </w:r>
      <w:proofErr w:type="spellEnd"/>
      <w:r w:rsidRPr="001F5A2A">
        <w:rPr>
          <w:rFonts w:ascii="Times New Roman" w:hAnsi="Times New Roman" w:cs="Times New Roman"/>
          <w:sz w:val="20"/>
          <w:szCs w:val="20"/>
        </w:rPr>
        <w:t xml:space="preserve"> (9 mL) was added to the reaction mixture to form organic and aqueous phases. HMF in the organic phase was separated via Rotary evaporation, while the low content of HMF in the aqueous phase was obtained via the addition of diethyl ether (35 mL), following distillation.</w:t>
      </w:r>
      <w:r>
        <w:rPr>
          <w:rFonts w:ascii="Times New Roman" w:hAnsi="Times New Roman" w:cs="Times New Roman"/>
          <w:sz w:val="20"/>
          <w:szCs w:val="20"/>
        </w:rPr>
        <w:t xml:space="preserve"> </w:t>
      </w:r>
      <w:bookmarkStart w:id="0" w:name="_GoBack"/>
      <w:bookmarkEnd w:id="0"/>
      <w:r w:rsidR="00680160" w:rsidRPr="001F5A2A">
        <w:rPr>
          <w:rFonts w:asciiTheme="majorBidi" w:hAnsiTheme="majorBidi" w:cstheme="majorBidi"/>
          <w:sz w:val="20"/>
          <w:szCs w:val="20"/>
          <w:lang w:bidi="fa-IR"/>
        </w:rPr>
        <w:t>Quantitative analysis and measurement of HMF yield were conducted using Gas chromatography (GC) and</w:t>
      </w:r>
      <w:r w:rsidR="00680160" w:rsidRPr="001F5A2A">
        <w:rPr>
          <w:sz w:val="20"/>
          <w:szCs w:val="20"/>
        </w:rPr>
        <w:t xml:space="preserve"> </w:t>
      </w:r>
      <w:r w:rsidR="00680160" w:rsidRPr="001F5A2A">
        <w:rPr>
          <w:rFonts w:asciiTheme="majorBidi" w:hAnsiTheme="majorBidi" w:cstheme="majorBidi"/>
          <w:sz w:val="20"/>
          <w:szCs w:val="20"/>
          <w:lang w:bidi="fa-IR"/>
        </w:rPr>
        <w:t>High-performance liquid chromatography (</w:t>
      </w:r>
      <w:r w:rsidR="00680160" w:rsidRPr="001F5A2A">
        <w:rPr>
          <w:rFonts w:asciiTheme="majorBidi" w:hAnsiTheme="majorBidi" w:cstheme="majorBidi"/>
          <w:sz w:val="20"/>
          <w:szCs w:val="20"/>
        </w:rPr>
        <w:t>HPLC).</w:t>
      </w:r>
    </w:p>
    <w:p w:rsidR="00680160" w:rsidRPr="001F5A2A" w:rsidRDefault="00680160" w:rsidP="00680160">
      <w:pPr>
        <w:rPr>
          <w:rFonts w:asciiTheme="majorBidi" w:hAnsiTheme="majorBidi" w:cstheme="majorBidi"/>
          <w:sz w:val="20"/>
          <w:szCs w:val="20"/>
          <w:lang w:bidi="fa-IR"/>
        </w:rPr>
      </w:pPr>
      <w:r w:rsidRPr="001F5A2A">
        <w:rPr>
          <w:rFonts w:asciiTheme="majorBidi" w:hAnsiTheme="majorBidi" w:cstheme="majorBidi"/>
          <w:sz w:val="20"/>
          <w:szCs w:val="20"/>
          <w:lang w:bidi="fa-IR"/>
        </w:rPr>
        <w:t xml:space="preserve">GC analysis was performed using Agilent 6890 gas chromatograph with a flame ionization detector (FID) and G&amp;W HP-5 </w:t>
      </w:r>
      <w:proofErr w:type="spellStart"/>
      <w:r w:rsidRPr="001F5A2A">
        <w:rPr>
          <w:rFonts w:asciiTheme="majorBidi" w:hAnsiTheme="majorBidi" w:cstheme="majorBidi"/>
          <w:sz w:val="20"/>
          <w:szCs w:val="20"/>
          <w:lang w:bidi="fa-IR"/>
        </w:rPr>
        <w:t>ms</w:t>
      </w:r>
      <w:proofErr w:type="spellEnd"/>
      <w:r w:rsidRPr="001F5A2A">
        <w:rPr>
          <w:rFonts w:asciiTheme="majorBidi" w:hAnsiTheme="majorBidi" w:cstheme="majorBidi"/>
          <w:sz w:val="20"/>
          <w:szCs w:val="20"/>
          <w:lang w:bidi="fa-IR"/>
        </w:rPr>
        <w:t xml:space="preserve"> GC column. For this analysis, </w:t>
      </w:r>
      <w:proofErr w:type="spellStart"/>
      <w:r w:rsidRPr="001F5A2A">
        <w:rPr>
          <w:rFonts w:asciiTheme="majorBidi" w:hAnsiTheme="majorBidi" w:cstheme="majorBidi"/>
          <w:sz w:val="20"/>
          <w:szCs w:val="20"/>
          <w:lang w:bidi="fa-IR"/>
        </w:rPr>
        <w:t>N</w:t>
      </w:r>
      <w:r w:rsidRPr="001F5A2A">
        <w:rPr>
          <w:rFonts w:asciiTheme="majorBidi" w:hAnsiTheme="majorBidi" w:cstheme="majorBidi"/>
          <w:sz w:val="20"/>
          <w:szCs w:val="20"/>
          <w:vertAlign w:val="subscript"/>
          <w:lang w:bidi="fa-IR"/>
        </w:rPr>
        <w:t>2</w:t>
      </w:r>
      <w:proofErr w:type="spellEnd"/>
      <w:r w:rsidRPr="001F5A2A">
        <w:rPr>
          <w:rFonts w:asciiTheme="majorBidi" w:hAnsiTheme="majorBidi" w:cstheme="majorBidi"/>
          <w:sz w:val="20"/>
          <w:szCs w:val="20"/>
          <w:lang w:bidi="fa-IR"/>
        </w:rPr>
        <w:t xml:space="preserve"> was utilized as a carrier gas at a split ratio of 100:1. Moreover, inlet and detector temperatures were set at 275 °C and 285 °C respectively. </w:t>
      </w:r>
    </w:p>
    <w:p w:rsidR="00680160" w:rsidRPr="001F5A2A" w:rsidRDefault="00680160" w:rsidP="00680160">
      <w:pPr>
        <w:rPr>
          <w:rFonts w:asciiTheme="majorBidi" w:hAnsiTheme="majorBidi" w:cstheme="majorBidi"/>
          <w:sz w:val="20"/>
          <w:szCs w:val="20"/>
          <w:rtl/>
          <w:lang w:bidi="fa-IR"/>
        </w:rPr>
      </w:pPr>
      <w:r w:rsidRPr="001F5A2A">
        <w:rPr>
          <w:rFonts w:asciiTheme="majorBidi" w:hAnsiTheme="majorBidi" w:cstheme="majorBidi"/>
          <w:sz w:val="20"/>
          <w:szCs w:val="20"/>
        </w:rPr>
        <w:t xml:space="preserve">For HPLC analysis, Agilent 1200 Series apparatus equipped with a Brisa LC2 </w:t>
      </w:r>
      <w:proofErr w:type="spellStart"/>
      <w:r w:rsidRPr="001F5A2A">
        <w:rPr>
          <w:rFonts w:asciiTheme="majorBidi" w:hAnsiTheme="majorBidi" w:cstheme="majorBidi"/>
          <w:sz w:val="20"/>
          <w:szCs w:val="20"/>
        </w:rPr>
        <w:t>C18</w:t>
      </w:r>
      <w:proofErr w:type="spellEnd"/>
      <w:r w:rsidRPr="001F5A2A">
        <w:rPr>
          <w:rFonts w:asciiTheme="majorBidi" w:hAnsiTheme="majorBidi" w:cstheme="majorBidi"/>
          <w:sz w:val="20"/>
          <w:szCs w:val="20"/>
        </w:rPr>
        <w:t xml:space="preserve"> column (5 µm, 25 </w:t>
      </w:r>
      <m:oMath>
        <m:r>
          <m:rPr>
            <m:sty m:val="p"/>
          </m:rPr>
          <w:rPr>
            <w:rFonts w:ascii="Cambria Math" w:hAnsi="Cambria Math" w:cstheme="majorBidi"/>
            <w:sz w:val="20"/>
            <w:szCs w:val="20"/>
          </w:rPr>
          <m:t>×</m:t>
        </m:r>
      </m:oMath>
      <w:r w:rsidRPr="001F5A2A">
        <w:rPr>
          <w:rFonts w:asciiTheme="majorBidi" w:hAnsiTheme="majorBidi" w:cstheme="majorBidi"/>
          <w:sz w:val="20"/>
          <w:szCs w:val="20"/>
        </w:rPr>
        <w:t xml:space="preserve"> 0.46) operated at 35 ºC based on the external standard was applied. To identify the compounds, pure HMF was used and its retention time was compared with the sample. An auto-sampler (Agilent G1329A) was utilized to enhance the reproducibility. The eluent with the flow a rate of 1 mL min</w:t>
      </w:r>
      <w:r w:rsidRPr="001F5A2A">
        <w:rPr>
          <w:rFonts w:asciiTheme="majorBidi" w:hAnsiTheme="majorBidi" w:cstheme="majorBidi"/>
          <w:sz w:val="20"/>
          <w:szCs w:val="20"/>
          <w:vertAlign w:val="superscript"/>
        </w:rPr>
        <w:t>-1</w:t>
      </w:r>
      <w:r w:rsidRPr="001F5A2A">
        <w:rPr>
          <w:rFonts w:asciiTheme="majorBidi" w:hAnsiTheme="majorBidi" w:cstheme="majorBidi"/>
          <w:sz w:val="20"/>
          <w:szCs w:val="20"/>
        </w:rPr>
        <w:t xml:space="preserve"> was a mixture of acetonitrile to water with a volumetric ratio of 40:60. </w:t>
      </w:r>
    </w:p>
    <w:p w:rsidR="00680160" w:rsidRPr="001F5A2A" w:rsidRDefault="00680160" w:rsidP="00680160">
      <w:pPr>
        <w:tabs>
          <w:tab w:val="left" w:pos="3933"/>
        </w:tabs>
        <w:rPr>
          <w:rFonts w:ascii="Times New Roman" w:hAnsi="Times New Roman" w:cs="Times New Roman"/>
          <w:sz w:val="20"/>
          <w:szCs w:val="20"/>
        </w:rPr>
      </w:pPr>
      <w:r w:rsidRPr="001F5A2A">
        <w:rPr>
          <w:rFonts w:ascii="Times New Roman" w:hAnsi="Times New Roman" w:cs="Times New Roman"/>
          <w:sz w:val="20"/>
          <w:szCs w:val="20"/>
        </w:rPr>
        <w:t>HMF yield was simply achieved using Equation 1, where</w:t>
      </w:r>
      <w:r w:rsidRPr="001F5A2A">
        <w:rPr>
          <w:rFonts w:asciiTheme="majorBidi" w:hAnsiTheme="majorBidi" w:cstheme="majorBidi"/>
          <w:sz w:val="20"/>
          <w:szCs w:val="20"/>
          <w:lang w:bidi="fa-IR"/>
        </w:rPr>
        <w:t xml:space="preserve">, Mole (F) is the initial moles of fructose. </w:t>
      </w:r>
    </w:p>
    <w:p w:rsidR="00680160" w:rsidRPr="001F5A2A" w:rsidRDefault="00680160" w:rsidP="00680160">
      <w:pPr>
        <w:rPr>
          <w:rFonts w:asciiTheme="majorBidi" w:hAnsiTheme="majorBidi" w:cstheme="majorBidi"/>
          <w:sz w:val="20"/>
          <w:szCs w:val="20"/>
          <w:lang w:bidi="fa-IR"/>
        </w:rPr>
      </w:pPr>
      <m:oMathPara>
        <m:oMath>
          <m:r>
            <w:rPr>
              <w:rFonts w:ascii="Cambria Math" w:hAnsi="Cambria Math" w:cstheme="majorBidi"/>
              <w:sz w:val="20"/>
              <w:szCs w:val="20"/>
              <w:lang w:bidi="fa-IR"/>
            </w:rPr>
            <m:t xml:space="preserve">HMF yield </m:t>
          </m:r>
          <m:d>
            <m:dPr>
              <m:ctrlPr>
                <w:rPr>
                  <w:rFonts w:ascii="Cambria Math" w:hAnsi="Cambria Math" w:cstheme="majorBidi"/>
                  <w:i/>
                  <w:sz w:val="20"/>
                  <w:szCs w:val="20"/>
                  <w:lang w:bidi="fa-IR"/>
                </w:rPr>
              </m:ctrlPr>
            </m:dPr>
            <m:e>
              <m:r>
                <w:rPr>
                  <w:rFonts w:ascii="Cambria Math" w:hAnsi="Cambria Math" w:cstheme="majorBidi"/>
                  <w:sz w:val="20"/>
                  <w:szCs w:val="20"/>
                  <w:lang w:bidi="fa-IR"/>
                </w:rPr>
                <m:t>%</m:t>
              </m:r>
            </m:e>
          </m:d>
          <m:r>
            <w:rPr>
              <w:rFonts w:ascii="Cambria Math" w:hAnsi="Cambria Math" w:cstheme="majorBidi"/>
              <w:sz w:val="20"/>
              <w:szCs w:val="20"/>
              <w:lang w:bidi="fa-IR"/>
            </w:rPr>
            <m:t>=</m:t>
          </m:r>
          <m:f>
            <m:fPr>
              <m:ctrlPr>
                <w:rPr>
                  <w:rFonts w:ascii="Cambria Math" w:hAnsi="Cambria Math" w:cstheme="majorBidi"/>
                  <w:i/>
                  <w:sz w:val="20"/>
                  <w:szCs w:val="20"/>
                  <w:lang w:bidi="fa-IR"/>
                </w:rPr>
              </m:ctrlPr>
            </m:fPr>
            <m:num>
              <m:r>
                <w:rPr>
                  <w:rFonts w:ascii="Cambria Math" w:hAnsi="Cambria Math" w:cstheme="majorBidi"/>
                  <w:sz w:val="20"/>
                  <w:szCs w:val="20"/>
                  <w:lang w:bidi="fa-IR"/>
                </w:rPr>
                <m:t>Mole (HMF)</m:t>
              </m:r>
            </m:num>
            <m:den>
              <m:r>
                <w:rPr>
                  <w:rFonts w:ascii="Cambria Math" w:hAnsi="Cambria Math" w:cstheme="majorBidi"/>
                  <w:sz w:val="20"/>
                  <w:szCs w:val="20"/>
                  <w:lang w:bidi="fa-IR"/>
                </w:rPr>
                <m:t>Mole</m:t>
              </m:r>
              <m:d>
                <m:dPr>
                  <m:ctrlPr>
                    <w:rPr>
                      <w:rFonts w:ascii="Cambria Math" w:hAnsi="Cambria Math" w:cstheme="majorBidi"/>
                      <w:i/>
                      <w:sz w:val="20"/>
                      <w:szCs w:val="20"/>
                      <w:lang w:bidi="fa-IR"/>
                    </w:rPr>
                  </m:ctrlPr>
                </m:dPr>
                <m:e>
                  <m:r>
                    <w:rPr>
                      <w:rFonts w:ascii="Cambria Math" w:hAnsi="Cambria Math" w:cstheme="majorBidi"/>
                      <w:sz w:val="20"/>
                      <w:szCs w:val="20"/>
                      <w:lang w:bidi="fa-IR"/>
                    </w:rPr>
                    <m:t>F</m:t>
                  </m:r>
                </m:e>
              </m:d>
            </m:den>
          </m:f>
          <m:r>
            <w:rPr>
              <w:rFonts w:ascii="Cambria Math" w:hAnsi="Cambria Math" w:cstheme="majorBidi"/>
              <w:sz w:val="20"/>
              <w:szCs w:val="20"/>
              <w:lang w:bidi="fa-IR"/>
            </w:rPr>
            <m:t>×100%                         Eq. 1</m:t>
          </m:r>
        </m:oMath>
      </m:oMathPara>
    </w:p>
    <w:p w:rsidR="00FC4641" w:rsidRDefault="00FC4641" w:rsidP="004F2F85">
      <w:pPr>
        <w:spacing w:before="400"/>
        <w:jc w:val="center"/>
        <w:rPr>
          <w:rFonts w:asciiTheme="majorBidi" w:hAnsiTheme="majorBidi" w:cstheme="majorBidi"/>
          <w:b/>
          <w:bCs/>
          <w:sz w:val="20"/>
          <w:szCs w:val="20"/>
        </w:rPr>
      </w:pPr>
    </w:p>
    <w:p w:rsidR="004F2F85" w:rsidRPr="001F5A2A" w:rsidRDefault="004F2F85" w:rsidP="004F2F85">
      <w:pPr>
        <w:spacing w:before="400"/>
        <w:jc w:val="center"/>
        <w:rPr>
          <w:rFonts w:asciiTheme="majorBidi" w:hAnsiTheme="majorBidi" w:cs="B Nazanin"/>
          <w:sz w:val="20"/>
          <w:szCs w:val="20"/>
          <w:lang w:bidi="fa-IR"/>
        </w:rPr>
      </w:pPr>
      <w:r w:rsidRPr="001F5A2A">
        <w:rPr>
          <w:rFonts w:asciiTheme="majorBidi" w:hAnsiTheme="majorBidi" w:cs="B Nazanin"/>
          <w:noProof/>
          <w:sz w:val="20"/>
          <w:szCs w:val="20"/>
          <w:lang w:eastAsia="ja-JP"/>
        </w:rPr>
        <w:lastRenderedPageBreak/>
        <w:drawing>
          <wp:inline distT="0" distB="0" distL="0" distR="0" wp14:anchorId="3C377702" wp14:editId="36DD549B">
            <wp:extent cx="3839210" cy="2534037"/>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46511" cy="2538856"/>
                    </a:xfrm>
                    <a:prstGeom prst="rect">
                      <a:avLst/>
                    </a:prstGeom>
                    <a:noFill/>
                  </pic:spPr>
                </pic:pic>
              </a:graphicData>
            </a:graphic>
          </wp:inline>
        </w:drawing>
      </w:r>
    </w:p>
    <w:p w:rsidR="004F2F85" w:rsidRPr="001F5A2A" w:rsidRDefault="004F2F85" w:rsidP="00EF32AF">
      <w:pPr>
        <w:tabs>
          <w:tab w:val="left" w:pos="3933"/>
        </w:tabs>
        <w:jc w:val="center"/>
        <w:rPr>
          <w:rFonts w:ascii="Times New Roman" w:hAnsi="Times New Roman" w:cs="Times New Roman"/>
          <w:sz w:val="20"/>
          <w:szCs w:val="20"/>
        </w:rPr>
      </w:pPr>
      <w:r w:rsidRPr="001F5A2A">
        <w:rPr>
          <w:rFonts w:ascii="Times New Roman" w:hAnsi="Times New Roman" w:cs="Times New Roman"/>
          <w:b/>
          <w:bCs/>
          <w:sz w:val="20"/>
          <w:szCs w:val="20"/>
        </w:rPr>
        <w:t xml:space="preserve">Figure </w:t>
      </w:r>
      <w:r w:rsidR="00EF32AF">
        <w:rPr>
          <w:rFonts w:ascii="Times New Roman" w:hAnsi="Times New Roman" w:cs="Times New Roman"/>
          <w:b/>
          <w:bCs/>
          <w:sz w:val="20"/>
          <w:szCs w:val="20"/>
        </w:rPr>
        <w:t>S1</w:t>
      </w:r>
      <w:r w:rsidRPr="001F5A2A">
        <w:rPr>
          <w:rFonts w:ascii="Times New Roman" w:hAnsi="Times New Roman" w:cs="Times New Roman"/>
          <w:b/>
          <w:bCs/>
          <w:sz w:val="20"/>
          <w:szCs w:val="20"/>
        </w:rPr>
        <w:t>.</w:t>
      </w:r>
      <w:r w:rsidRPr="001F5A2A">
        <w:rPr>
          <w:rFonts w:ascii="Times New Roman" w:hAnsi="Times New Roman" w:cs="Times New Roman"/>
          <w:sz w:val="20"/>
          <w:szCs w:val="20"/>
        </w:rPr>
        <w:t xml:space="preserve"> </w:t>
      </w:r>
      <w:proofErr w:type="gramStart"/>
      <w:r w:rsidRPr="001F5A2A">
        <w:rPr>
          <w:rFonts w:ascii="Times New Roman" w:hAnsi="Times New Roman" w:cs="Times New Roman"/>
          <w:sz w:val="20"/>
          <w:szCs w:val="20"/>
        </w:rPr>
        <w:t>EDS</w:t>
      </w:r>
      <w:proofErr w:type="gramEnd"/>
      <w:r w:rsidRPr="001F5A2A">
        <w:rPr>
          <w:rFonts w:ascii="Times New Roman" w:hAnsi="Times New Roman" w:cs="Times New Roman"/>
          <w:sz w:val="20"/>
          <w:szCs w:val="20"/>
        </w:rPr>
        <w:t xml:space="preserve"> analysis of Hal-PIL.</w:t>
      </w:r>
    </w:p>
    <w:p w:rsidR="004F2F85" w:rsidRDefault="004F2F85" w:rsidP="004F2F85">
      <w:pPr>
        <w:tabs>
          <w:tab w:val="left" w:pos="3933"/>
        </w:tabs>
        <w:jc w:val="center"/>
        <w:rPr>
          <w:rFonts w:ascii="Times New Roman" w:hAnsi="Times New Roman" w:cs="Times New Roman"/>
          <w:sz w:val="20"/>
          <w:szCs w:val="20"/>
        </w:rPr>
      </w:pPr>
      <w:r w:rsidRPr="001F5A2A">
        <w:rPr>
          <w:rFonts w:ascii="Times New Roman" w:hAnsi="Times New Roman" w:cs="Times New Roman"/>
          <w:noProof/>
          <w:sz w:val="20"/>
          <w:szCs w:val="20"/>
          <w:lang w:eastAsia="ja-JP"/>
        </w:rPr>
        <w:drawing>
          <wp:inline distT="0" distB="0" distL="0" distR="0" wp14:anchorId="64037FB8" wp14:editId="7547A5A2">
            <wp:extent cx="4432300" cy="469121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48819" cy="4708699"/>
                    </a:xfrm>
                    <a:prstGeom prst="rect">
                      <a:avLst/>
                    </a:prstGeom>
                    <a:noFill/>
                  </pic:spPr>
                </pic:pic>
              </a:graphicData>
            </a:graphic>
          </wp:inline>
        </w:drawing>
      </w:r>
    </w:p>
    <w:p w:rsidR="00EA19BA" w:rsidRPr="001F5A2A" w:rsidRDefault="00EA19BA" w:rsidP="004F2F85">
      <w:pPr>
        <w:tabs>
          <w:tab w:val="left" w:pos="3933"/>
        </w:tabs>
        <w:jc w:val="center"/>
        <w:rPr>
          <w:rFonts w:ascii="Times New Roman" w:hAnsi="Times New Roman" w:cs="Times New Roman"/>
          <w:sz w:val="20"/>
          <w:szCs w:val="20"/>
        </w:rPr>
      </w:pPr>
    </w:p>
    <w:p w:rsidR="004F2F85" w:rsidRDefault="004F2F85" w:rsidP="00EF32AF">
      <w:pPr>
        <w:tabs>
          <w:tab w:val="left" w:pos="3933"/>
        </w:tabs>
        <w:jc w:val="center"/>
        <w:rPr>
          <w:rFonts w:ascii="Times New Roman" w:hAnsi="Times New Roman" w:cs="Times New Roman"/>
          <w:sz w:val="20"/>
          <w:szCs w:val="20"/>
        </w:rPr>
      </w:pPr>
      <w:r w:rsidRPr="001F5A2A">
        <w:rPr>
          <w:rFonts w:ascii="Times New Roman" w:hAnsi="Times New Roman" w:cs="Times New Roman"/>
          <w:b/>
          <w:bCs/>
          <w:sz w:val="20"/>
          <w:szCs w:val="20"/>
        </w:rPr>
        <w:t xml:space="preserve">Figure </w:t>
      </w:r>
      <w:r w:rsidR="00EF32AF">
        <w:rPr>
          <w:rFonts w:ascii="Times New Roman" w:hAnsi="Times New Roman" w:cs="Times New Roman"/>
          <w:b/>
          <w:bCs/>
          <w:sz w:val="20"/>
          <w:szCs w:val="20"/>
        </w:rPr>
        <w:t>S2</w:t>
      </w:r>
      <w:r w:rsidRPr="001F5A2A">
        <w:rPr>
          <w:rFonts w:ascii="Times New Roman" w:hAnsi="Times New Roman" w:cs="Times New Roman"/>
          <w:b/>
          <w:bCs/>
          <w:sz w:val="20"/>
          <w:szCs w:val="20"/>
        </w:rPr>
        <w:t>.</w:t>
      </w:r>
      <w:r w:rsidRPr="001F5A2A">
        <w:rPr>
          <w:rFonts w:ascii="Times New Roman" w:hAnsi="Times New Roman" w:cs="Times New Roman"/>
          <w:sz w:val="20"/>
          <w:szCs w:val="20"/>
        </w:rPr>
        <w:t xml:space="preserve"> Elemental mapping analysis of Hal-PIL.</w:t>
      </w:r>
    </w:p>
    <w:p w:rsidR="00EA19BA" w:rsidRDefault="00EA19BA" w:rsidP="004F2F85">
      <w:pPr>
        <w:tabs>
          <w:tab w:val="left" w:pos="3933"/>
        </w:tabs>
        <w:jc w:val="center"/>
        <w:rPr>
          <w:rFonts w:ascii="Times New Roman" w:hAnsi="Times New Roman" w:cs="Times New Roman"/>
          <w:sz w:val="20"/>
          <w:szCs w:val="20"/>
        </w:rPr>
      </w:pPr>
    </w:p>
    <w:p w:rsidR="00EA19BA" w:rsidRDefault="00EA19BA" w:rsidP="004F2F85">
      <w:pPr>
        <w:tabs>
          <w:tab w:val="left" w:pos="3933"/>
        </w:tabs>
        <w:jc w:val="center"/>
        <w:rPr>
          <w:rFonts w:ascii="Times New Roman" w:hAnsi="Times New Roman" w:cs="Times New Roman"/>
          <w:sz w:val="20"/>
          <w:szCs w:val="20"/>
        </w:rPr>
      </w:pPr>
    </w:p>
    <w:p w:rsidR="00EA19BA" w:rsidRDefault="00EA19BA" w:rsidP="004F2F85">
      <w:pPr>
        <w:tabs>
          <w:tab w:val="left" w:pos="3933"/>
        </w:tabs>
        <w:jc w:val="center"/>
        <w:rPr>
          <w:rFonts w:ascii="Times New Roman" w:hAnsi="Times New Roman" w:cs="Times New Roman"/>
          <w:sz w:val="20"/>
          <w:szCs w:val="20"/>
        </w:rPr>
      </w:pPr>
    </w:p>
    <w:p w:rsidR="00EA19BA" w:rsidRDefault="00EA19BA" w:rsidP="004F2F85">
      <w:pPr>
        <w:tabs>
          <w:tab w:val="left" w:pos="3933"/>
        </w:tabs>
        <w:jc w:val="center"/>
        <w:rPr>
          <w:rFonts w:ascii="Times New Roman" w:hAnsi="Times New Roman" w:cs="Times New Roman"/>
          <w:sz w:val="20"/>
          <w:szCs w:val="20"/>
        </w:rPr>
      </w:pPr>
    </w:p>
    <w:p w:rsidR="00EA19BA" w:rsidRPr="001F5A2A" w:rsidRDefault="00EA19BA" w:rsidP="004F2F85">
      <w:pPr>
        <w:tabs>
          <w:tab w:val="left" w:pos="3933"/>
        </w:tabs>
        <w:jc w:val="center"/>
        <w:rPr>
          <w:rFonts w:ascii="Times New Roman" w:hAnsi="Times New Roman" w:cs="Times New Roman"/>
          <w:sz w:val="20"/>
          <w:szCs w:val="20"/>
        </w:rPr>
      </w:pPr>
    </w:p>
    <w:p w:rsidR="00EA19BA" w:rsidRPr="001F5A2A" w:rsidRDefault="00EA19BA" w:rsidP="00EA19BA">
      <w:pPr>
        <w:tabs>
          <w:tab w:val="left" w:pos="3933"/>
        </w:tabs>
        <w:jc w:val="center"/>
        <w:rPr>
          <w:rFonts w:ascii="Times New Roman" w:hAnsi="Times New Roman" w:cs="Times New Roman"/>
          <w:sz w:val="20"/>
          <w:szCs w:val="20"/>
        </w:rPr>
      </w:pPr>
      <w:r w:rsidRPr="001F5A2A">
        <w:rPr>
          <w:noProof/>
          <w:sz w:val="20"/>
          <w:szCs w:val="20"/>
          <w:lang w:eastAsia="ja-JP"/>
        </w:rPr>
        <w:lastRenderedPageBreak/>
        <w:drawing>
          <wp:inline distT="0" distB="0" distL="0" distR="0" wp14:anchorId="0F03B36C" wp14:editId="1C06E12C">
            <wp:extent cx="2895600" cy="3438525"/>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A19BA" w:rsidRPr="001F5A2A" w:rsidRDefault="00EA19BA" w:rsidP="00EF32AF">
      <w:pPr>
        <w:tabs>
          <w:tab w:val="left" w:pos="3933"/>
        </w:tabs>
        <w:jc w:val="center"/>
        <w:rPr>
          <w:rFonts w:ascii="Times New Roman" w:hAnsi="Times New Roman" w:cs="Times New Roman"/>
          <w:sz w:val="20"/>
          <w:szCs w:val="20"/>
        </w:rPr>
      </w:pPr>
      <w:r w:rsidRPr="001F5A2A">
        <w:rPr>
          <w:rFonts w:ascii="Times New Roman" w:hAnsi="Times New Roman" w:cs="Times New Roman"/>
          <w:b/>
          <w:bCs/>
          <w:sz w:val="20"/>
          <w:szCs w:val="20"/>
        </w:rPr>
        <w:t xml:space="preserve">Figure </w:t>
      </w:r>
      <w:r w:rsidR="00EF32AF">
        <w:rPr>
          <w:rFonts w:ascii="Times New Roman" w:hAnsi="Times New Roman" w:cs="Times New Roman"/>
          <w:b/>
          <w:bCs/>
          <w:sz w:val="20"/>
          <w:szCs w:val="20"/>
        </w:rPr>
        <w:t>S3</w:t>
      </w:r>
      <w:r w:rsidRPr="001F5A2A">
        <w:rPr>
          <w:rFonts w:ascii="Times New Roman" w:hAnsi="Times New Roman" w:cs="Times New Roman"/>
          <w:b/>
          <w:bCs/>
          <w:sz w:val="20"/>
          <w:szCs w:val="20"/>
        </w:rPr>
        <w:t>.</w:t>
      </w:r>
      <w:r w:rsidRPr="001F5A2A">
        <w:rPr>
          <w:rFonts w:ascii="Times New Roman" w:hAnsi="Times New Roman" w:cs="Times New Roman"/>
          <w:sz w:val="20"/>
          <w:szCs w:val="20"/>
        </w:rPr>
        <w:t xml:space="preserve"> Nitrogen adsorption–desorption isotherm of Hal-PIL</w:t>
      </w:r>
    </w:p>
    <w:p w:rsidR="004F2F85" w:rsidRDefault="004F2F85"/>
    <w:p w:rsidR="00EE460F" w:rsidRPr="001F5A2A" w:rsidRDefault="00EE460F" w:rsidP="00EE460F">
      <w:pPr>
        <w:tabs>
          <w:tab w:val="left" w:pos="3933"/>
        </w:tabs>
        <w:jc w:val="center"/>
        <w:rPr>
          <w:rFonts w:ascii="Times New Roman" w:hAnsi="Times New Roman" w:cs="Times New Roman"/>
          <w:sz w:val="20"/>
          <w:szCs w:val="20"/>
        </w:rPr>
      </w:pPr>
      <w:r w:rsidRPr="001F5A2A">
        <w:rPr>
          <w:rFonts w:ascii="Times New Roman" w:hAnsi="Times New Roman" w:cs="Times New Roman"/>
          <w:noProof/>
          <w:sz w:val="20"/>
          <w:szCs w:val="20"/>
          <w:lang w:eastAsia="ja-JP"/>
        </w:rPr>
        <w:drawing>
          <wp:inline distT="0" distB="0" distL="0" distR="0" wp14:anchorId="6154D712" wp14:editId="0ECBB611">
            <wp:extent cx="2815522" cy="234315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23794" cy="2350034"/>
                    </a:xfrm>
                    <a:prstGeom prst="rect">
                      <a:avLst/>
                    </a:prstGeom>
                    <a:noFill/>
                    <a:ln>
                      <a:noFill/>
                    </a:ln>
                  </pic:spPr>
                </pic:pic>
              </a:graphicData>
            </a:graphic>
          </wp:inline>
        </w:drawing>
      </w:r>
    </w:p>
    <w:p w:rsidR="00EE460F" w:rsidRPr="001F5A2A" w:rsidRDefault="00EE460F" w:rsidP="00EE460F">
      <w:pPr>
        <w:tabs>
          <w:tab w:val="left" w:pos="3933"/>
        </w:tabs>
        <w:jc w:val="center"/>
        <w:rPr>
          <w:rFonts w:ascii="Times New Roman" w:hAnsi="Times New Roman" w:cs="Times New Roman"/>
          <w:sz w:val="20"/>
          <w:szCs w:val="20"/>
        </w:rPr>
      </w:pPr>
      <w:r w:rsidRPr="001F5A2A">
        <w:rPr>
          <w:rFonts w:ascii="Times New Roman" w:hAnsi="Times New Roman" w:cs="Times New Roman"/>
          <w:b/>
          <w:bCs/>
          <w:sz w:val="20"/>
          <w:szCs w:val="20"/>
        </w:rPr>
        <w:t xml:space="preserve">Figure </w:t>
      </w:r>
      <w:r w:rsidR="00EF32AF">
        <w:rPr>
          <w:rFonts w:ascii="Times New Roman" w:hAnsi="Times New Roman" w:cs="Times New Roman"/>
          <w:b/>
          <w:bCs/>
          <w:sz w:val="20"/>
          <w:szCs w:val="20"/>
        </w:rPr>
        <w:t>S4</w:t>
      </w:r>
      <w:r w:rsidRPr="001F5A2A">
        <w:rPr>
          <w:rFonts w:ascii="Times New Roman" w:hAnsi="Times New Roman" w:cs="Times New Roman"/>
          <w:sz w:val="20"/>
          <w:szCs w:val="20"/>
        </w:rPr>
        <w:t>. Hammett plot of Hal and Hal-PIL using basic indicator 4-nitroaniline.</w:t>
      </w:r>
    </w:p>
    <w:p w:rsidR="00EE460F" w:rsidRDefault="00EE460F">
      <w:pPr>
        <w:rPr>
          <w:rtl/>
        </w:rPr>
      </w:pPr>
    </w:p>
    <w:sectPr w:rsidR="00EE460F" w:rsidSect="00D14AF4">
      <w:footerReference w:type="default" r:id="rId11"/>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CED" w:rsidRDefault="00C07CED" w:rsidP="004F2F85">
      <w:r>
        <w:separator/>
      </w:r>
    </w:p>
  </w:endnote>
  <w:endnote w:type="continuationSeparator" w:id="0">
    <w:p w:rsidR="00C07CED" w:rsidRDefault="00C07CED" w:rsidP="004F2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 Nazanin">
    <w:panose1 w:val="00000400000000000000"/>
    <w:charset w:val="B2"/>
    <w:family w:val="auto"/>
    <w:pitch w:val="variable"/>
    <w:sig w:usb0="00002001" w:usb1="80000000" w:usb2="00000008" w:usb3="00000000" w:csb0="0000004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6534738"/>
      <w:docPartObj>
        <w:docPartGallery w:val="Page Numbers (Bottom of Page)"/>
        <w:docPartUnique/>
      </w:docPartObj>
    </w:sdtPr>
    <w:sdtEndPr/>
    <w:sdtContent>
      <w:p w:rsidR="004F2F85" w:rsidRDefault="004F2F85">
        <w:pPr>
          <w:pStyle w:val="Footer"/>
          <w:jc w:val="center"/>
        </w:pPr>
        <w:r>
          <w:t>S</w:t>
        </w:r>
        <w:r>
          <w:fldChar w:fldCharType="begin"/>
        </w:r>
        <w:r>
          <w:instrText xml:space="preserve"> PAGE   \* MERGEFORMAT </w:instrText>
        </w:r>
        <w:r>
          <w:fldChar w:fldCharType="separate"/>
        </w:r>
        <w:r w:rsidR="004C7660">
          <w:rPr>
            <w:noProof/>
          </w:rPr>
          <w:t>3</w:t>
        </w:r>
        <w:r>
          <w:rPr>
            <w:noProof/>
          </w:rPr>
          <w:fldChar w:fldCharType="end"/>
        </w:r>
      </w:p>
    </w:sdtContent>
  </w:sdt>
  <w:p w:rsidR="004F2F85" w:rsidRDefault="004F2F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CED" w:rsidRDefault="00C07CED" w:rsidP="004F2F85">
      <w:r>
        <w:separator/>
      </w:r>
    </w:p>
  </w:footnote>
  <w:footnote w:type="continuationSeparator" w:id="0">
    <w:p w:rsidR="00C07CED" w:rsidRDefault="00C07CED" w:rsidP="004F2F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C5087E"/>
    <w:multiLevelType w:val="multilevel"/>
    <w:tmpl w:val="81004A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F85"/>
    <w:rsid w:val="004C7660"/>
    <w:rsid w:val="004F2F85"/>
    <w:rsid w:val="00680160"/>
    <w:rsid w:val="006C0967"/>
    <w:rsid w:val="0083377F"/>
    <w:rsid w:val="009937AC"/>
    <w:rsid w:val="00B47209"/>
    <w:rsid w:val="00C07CED"/>
    <w:rsid w:val="00D14AF4"/>
    <w:rsid w:val="00DF6162"/>
    <w:rsid w:val="00EA19BA"/>
    <w:rsid w:val="00EE460F"/>
    <w:rsid w:val="00EF32AF"/>
    <w:rsid w:val="00FC4641"/>
  </w:rsids>
  <m:mathPr>
    <m:mathFont m:val="Cambria Math"/>
    <m:brkBin m:val="before"/>
    <m:brkBinSub m:val="--"/>
    <m:smallFrac m:val="0"/>
    <m:dispDef/>
    <m:lMargin m:val="0"/>
    <m:rMargin m:val="0"/>
    <m:defJc m:val="centerGroup"/>
    <m:wrapIndent m:val="1440"/>
    <m:intLim m:val="subSup"/>
    <m:naryLim m:val="undOvr"/>
  </m:mathPr>
  <w:themeFontLang w:val="en-US" w:eastAsia="ja-JP"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EE120E-E5C3-41DE-AF8C-5CADD6C04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F85"/>
    <w:pPr>
      <w:widowControl w:val="0"/>
      <w:spacing w:after="0" w:line="240" w:lineRule="auto"/>
      <w:jc w:val="both"/>
    </w:pPr>
    <w:rPr>
      <w:kern w:val="2"/>
      <w:sz w:val="21"/>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2F85"/>
    <w:pPr>
      <w:tabs>
        <w:tab w:val="center" w:pos="4513"/>
        <w:tab w:val="right" w:pos="9026"/>
      </w:tabs>
    </w:pPr>
  </w:style>
  <w:style w:type="character" w:customStyle="1" w:styleId="HeaderChar">
    <w:name w:val="Header Char"/>
    <w:basedOn w:val="DefaultParagraphFont"/>
    <w:link w:val="Header"/>
    <w:uiPriority w:val="99"/>
    <w:rsid w:val="004F2F85"/>
    <w:rPr>
      <w:kern w:val="2"/>
      <w:sz w:val="21"/>
      <w:lang w:eastAsia="zh-CN" w:bidi="ar-SA"/>
    </w:rPr>
  </w:style>
  <w:style w:type="paragraph" w:styleId="Footer">
    <w:name w:val="footer"/>
    <w:basedOn w:val="Normal"/>
    <w:link w:val="FooterChar"/>
    <w:uiPriority w:val="99"/>
    <w:unhideWhenUsed/>
    <w:rsid w:val="004F2F85"/>
    <w:pPr>
      <w:tabs>
        <w:tab w:val="center" w:pos="4513"/>
        <w:tab w:val="right" w:pos="9026"/>
      </w:tabs>
    </w:pPr>
  </w:style>
  <w:style w:type="character" w:customStyle="1" w:styleId="FooterChar">
    <w:name w:val="Footer Char"/>
    <w:basedOn w:val="DefaultParagraphFont"/>
    <w:link w:val="Footer"/>
    <w:uiPriority w:val="99"/>
    <w:rsid w:val="004F2F85"/>
    <w:rPr>
      <w:kern w:val="2"/>
      <w:sz w:val="21"/>
      <w:lang w:eastAsia="zh-CN" w:bidi="ar-SA"/>
    </w:rPr>
  </w:style>
  <w:style w:type="paragraph" w:styleId="ListParagraph">
    <w:name w:val="List Paragraph"/>
    <w:basedOn w:val="Normal"/>
    <w:uiPriority w:val="34"/>
    <w:qFormat/>
    <w:rsid w:val="00FC46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523773113398806"/>
          <c:y val="0.12072174400192079"/>
          <c:w val="0.82993362124612979"/>
          <c:h val="0.72269908909257985"/>
        </c:manualLayout>
      </c:layout>
      <c:scatterChart>
        <c:scatterStyle val="lineMarker"/>
        <c:varyColors val="0"/>
        <c:ser>
          <c:idx val="0"/>
          <c:order val="0"/>
          <c:tx>
            <c:v>ADS</c:v>
          </c:tx>
          <c:spPr>
            <a:ln w="12700">
              <a:solidFill>
                <a:srgbClr val="000080"/>
              </a:solidFill>
              <a:prstDash val="solid"/>
            </a:ln>
          </c:spPr>
          <c:marker>
            <c:symbol val="diamond"/>
            <c:size val="5"/>
            <c:spPr>
              <a:solidFill>
                <a:srgbClr val="000080"/>
              </a:solidFill>
              <a:ln>
                <a:solidFill>
                  <a:srgbClr val="000080"/>
                </a:solidFill>
                <a:prstDash val="solid"/>
              </a:ln>
            </c:spPr>
          </c:marker>
          <c:xVal>
            <c:numRef>
              <c:f>AdsDes!$F$23:$F$46</c:f>
              <c:numCache>
                <c:formatCode>General</c:formatCode>
                <c:ptCount val="24"/>
                <c:pt idx="0">
                  <c:v>6.7564000000000001E-3</c:v>
                </c:pt>
                <c:pt idx="1">
                  <c:v>2.564E-2</c:v>
                </c:pt>
                <c:pt idx="2">
                  <c:v>5.1667999999999999E-2</c:v>
                </c:pt>
                <c:pt idx="3">
                  <c:v>7.7289999999999998E-2</c:v>
                </c:pt>
                <c:pt idx="4">
                  <c:v>0.10249999999999999</c:v>
                </c:pt>
                <c:pt idx="5">
                  <c:v>0.15490000000000001</c:v>
                </c:pt>
                <c:pt idx="6">
                  <c:v>0.20530000000000001</c:v>
                </c:pt>
                <c:pt idx="7">
                  <c:v>0.25519999999999998</c:v>
                </c:pt>
                <c:pt idx="8">
                  <c:v>0.30559999999999998</c:v>
                </c:pt>
                <c:pt idx="9">
                  <c:v>0.35589999999999999</c:v>
                </c:pt>
                <c:pt idx="10">
                  <c:v>0.40600000000000003</c:v>
                </c:pt>
                <c:pt idx="11">
                  <c:v>0.46429999999999999</c:v>
                </c:pt>
                <c:pt idx="12">
                  <c:v>0.51439999999999997</c:v>
                </c:pt>
                <c:pt idx="13">
                  <c:v>0.56430000000000002</c:v>
                </c:pt>
                <c:pt idx="14">
                  <c:v>0.6139</c:v>
                </c:pt>
                <c:pt idx="15">
                  <c:v>0.66349999999999998</c:v>
                </c:pt>
                <c:pt idx="16">
                  <c:v>0.7137</c:v>
                </c:pt>
                <c:pt idx="17">
                  <c:v>0.7621</c:v>
                </c:pt>
                <c:pt idx="18">
                  <c:v>0.8105</c:v>
                </c:pt>
                <c:pt idx="19">
                  <c:v>0.85819999999999996</c:v>
                </c:pt>
                <c:pt idx="20">
                  <c:v>0.90200000000000002</c:v>
                </c:pt>
                <c:pt idx="21">
                  <c:v>0.95440000000000003</c:v>
                </c:pt>
                <c:pt idx="22">
                  <c:v>0.9819</c:v>
                </c:pt>
                <c:pt idx="23">
                  <c:v>0.99099999999999999</c:v>
                </c:pt>
              </c:numCache>
            </c:numRef>
          </c:xVal>
          <c:yVal>
            <c:numRef>
              <c:f>AdsDes!$G$23:$G$46</c:f>
              <c:numCache>
                <c:formatCode>General</c:formatCode>
                <c:ptCount val="24"/>
                <c:pt idx="0">
                  <c:v>2.4723999999999999</c:v>
                </c:pt>
                <c:pt idx="1">
                  <c:v>3.3812000000000002</c:v>
                </c:pt>
                <c:pt idx="2">
                  <c:v>3.9899</c:v>
                </c:pt>
                <c:pt idx="3">
                  <c:v>4.4055</c:v>
                </c:pt>
                <c:pt idx="4">
                  <c:v>4.7671999999999999</c:v>
                </c:pt>
                <c:pt idx="5">
                  <c:v>5.3437000000000001</c:v>
                </c:pt>
                <c:pt idx="6">
                  <c:v>5.8620000000000001</c:v>
                </c:pt>
                <c:pt idx="7">
                  <c:v>6.3235000000000001</c:v>
                </c:pt>
                <c:pt idx="8">
                  <c:v>6.7827000000000002</c:v>
                </c:pt>
                <c:pt idx="9">
                  <c:v>7.2614999999999998</c:v>
                </c:pt>
                <c:pt idx="10">
                  <c:v>7.7088999999999999</c:v>
                </c:pt>
                <c:pt idx="11">
                  <c:v>8.2094000000000005</c:v>
                </c:pt>
                <c:pt idx="12">
                  <c:v>8.6957000000000004</c:v>
                </c:pt>
                <c:pt idx="13">
                  <c:v>9.1951999999999998</c:v>
                </c:pt>
                <c:pt idx="14">
                  <c:v>9.8561999999999994</c:v>
                </c:pt>
                <c:pt idx="15">
                  <c:v>10.622</c:v>
                </c:pt>
                <c:pt idx="16">
                  <c:v>11.509</c:v>
                </c:pt>
                <c:pt idx="17">
                  <c:v>12.654</c:v>
                </c:pt>
                <c:pt idx="18">
                  <c:v>14.032</c:v>
                </c:pt>
                <c:pt idx="19">
                  <c:v>15.981</c:v>
                </c:pt>
                <c:pt idx="20">
                  <c:v>19.297000000000001</c:v>
                </c:pt>
                <c:pt idx="21">
                  <c:v>30.613</c:v>
                </c:pt>
                <c:pt idx="22">
                  <c:v>50.241999999999997</c:v>
                </c:pt>
                <c:pt idx="23">
                  <c:v>62.161000000000001</c:v>
                </c:pt>
              </c:numCache>
            </c:numRef>
          </c:yVal>
          <c:smooth val="0"/>
          <c:extLst xmlns:c16r2="http://schemas.microsoft.com/office/drawing/2015/06/chart">
            <c:ext xmlns:c16="http://schemas.microsoft.com/office/drawing/2014/chart" uri="{C3380CC4-5D6E-409C-BE32-E72D297353CC}">
              <c16:uniqueId val="{00000000-CDB9-42E3-A0D7-16EC6D4D3D33}"/>
            </c:ext>
          </c:extLst>
        </c:ser>
        <c:ser>
          <c:idx val="1"/>
          <c:order val="1"/>
          <c:tx>
            <c:v>DES</c:v>
          </c:tx>
          <c:spPr>
            <a:ln w="12700">
              <a:solidFill>
                <a:srgbClr val="FF00FF"/>
              </a:solidFill>
              <a:prstDash val="solid"/>
            </a:ln>
          </c:spPr>
          <c:marker>
            <c:symbol val="square"/>
            <c:size val="5"/>
            <c:spPr>
              <a:solidFill>
                <a:srgbClr val="FF00FF"/>
              </a:solidFill>
              <a:ln>
                <a:solidFill>
                  <a:srgbClr val="FF00FF"/>
                </a:solidFill>
                <a:prstDash val="solid"/>
              </a:ln>
            </c:spPr>
          </c:marker>
          <c:xVal>
            <c:numRef>
              <c:f>AdsDes!$F$48:$F$61</c:f>
              <c:numCache>
                <c:formatCode>General</c:formatCode>
                <c:ptCount val="14"/>
                <c:pt idx="0">
                  <c:v>0.97770000000000001</c:v>
                </c:pt>
                <c:pt idx="1">
                  <c:v>0.94530000000000003</c:v>
                </c:pt>
                <c:pt idx="2">
                  <c:v>0.89480000000000004</c:v>
                </c:pt>
                <c:pt idx="3">
                  <c:v>0.84030000000000005</c:v>
                </c:pt>
                <c:pt idx="4">
                  <c:v>0.79520000000000002</c:v>
                </c:pt>
                <c:pt idx="5">
                  <c:v>0.74180000000000001</c:v>
                </c:pt>
                <c:pt idx="6">
                  <c:v>0.68969999999999998</c:v>
                </c:pt>
                <c:pt idx="7">
                  <c:v>0.63890000000000002</c:v>
                </c:pt>
                <c:pt idx="8">
                  <c:v>0.58809999999999996</c:v>
                </c:pt>
                <c:pt idx="9">
                  <c:v>0.49020000000000002</c:v>
                </c:pt>
                <c:pt idx="10">
                  <c:v>0.39029999999999998</c:v>
                </c:pt>
                <c:pt idx="11">
                  <c:v>0.29770000000000002</c:v>
                </c:pt>
                <c:pt idx="12">
                  <c:v>0.19719999999999999</c:v>
                </c:pt>
                <c:pt idx="13">
                  <c:v>9.4812999999999995E-2</c:v>
                </c:pt>
              </c:numCache>
            </c:numRef>
          </c:xVal>
          <c:yVal>
            <c:numRef>
              <c:f>AdsDes!$G$48:$G$61</c:f>
              <c:numCache>
                <c:formatCode>General</c:formatCode>
                <c:ptCount val="14"/>
                <c:pt idx="0">
                  <c:v>51.939</c:v>
                </c:pt>
                <c:pt idx="1">
                  <c:v>34.165999999999997</c:v>
                </c:pt>
                <c:pt idx="2">
                  <c:v>23.111999999999998</c:v>
                </c:pt>
                <c:pt idx="3">
                  <c:v>18.192</c:v>
                </c:pt>
                <c:pt idx="4">
                  <c:v>15.808999999999999</c:v>
                </c:pt>
                <c:pt idx="5">
                  <c:v>14.068</c:v>
                </c:pt>
                <c:pt idx="6">
                  <c:v>12.808</c:v>
                </c:pt>
                <c:pt idx="7">
                  <c:v>11.856999999999999</c:v>
                </c:pt>
                <c:pt idx="8">
                  <c:v>11.071999999999999</c:v>
                </c:pt>
                <c:pt idx="9">
                  <c:v>9.6927000000000003</c:v>
                </c:pt>
                <c:pt idx="10">
                  <c:v>8.2531999999999996</c:v>
                </c:pt>
                <c:pt idx="11">
                  <c:v>7.2728999999999999</c:v>
                </c:pt>
                <c:pt idx="12">
                  <c:v>6.2348999999999997</c:v>
                </c:pt>
                <c:pt idx="13">
                  <c:v>5.1360000000000001</c:v>
                </c:pt>
              </c:numCache>
            </c:numRef>
          </c:yVal>
          <c:smooth val="0"/>
          <c:extLst xmlns:c16r2="http://schemas.microsoft.com/office/drawing/2015/06/chart">
            <c:ext xmlns:c16="http://schemas.microsoft.com/office/drawing/2014/chart" uri="{C3380CC4-5D6E-409C-BE32-E72D297353CC}">
              <c16:uniqueId val="{00000001-CDB9-42E3-A0D7-16EC6D4D3D33}"/>
            </c:ext>
          </c:extLst>
        </c:ser>
        <c:dLbls>
          <c:showLegendKey val="0"/>
          <c:showVal val="0"/>
          <c:showCatName val="0"/>
          <c:showSerName val="0"/>
          <c:showPercent val="0"/>
          <c:showBubbleSize val="0"/>
        </c:dLbls>
        <c:axId val="1318050448"/>
        <c:axId val="1318053168"/>
      </c:scatterChart>
      <c:valAx>
        <c:axId val="1318050448"/>
        <c:scaling>
          <c:orientation val="minMax"/>
          <c:max val="1"/>
          <c:min val="0"/>
        </c:scaling>
        <c:delete val="0"/>
        <c:axPos val="b"/>
        <c:title>
          <c:tx>
            <c:rich>
              <a:bodyPr/>
              <a:lstStyle/>
              <a:p>
                <a:pPr>
                  <a:defRPr sz="875" b="1" i="1" u="none" strike="noStrike" baseline="0">
                    <a:solidFill>
                      <a:srgbClr val="000000"/>
                    </a:solidFill>
                    <a:latin typeface="Arial"/>
                    <a:ea typeface="Arial"/>
                    <a:cs typeface="Arial"/>
                  </a:defRPr>
                </a:pPr>
                <a:r>
                  <a:rPr lang="en-US" sz="1200" b="1" i="1" u="none" strike="noStrike" baseline="0">
                    <a:solidFill>
                      <a:srgbClr val="000000"/>
                    </a:solidFill>
                    <a:latin typeface="Arial"/>
                    <a:cs typeface="Arial"/>
                  </a:rPr>
                  <a:t>p</a:t>
                </a:r>
                <a:r>
                  <a:rPr lang="en-US" sz="1200" b="1" i="0" u="none" strike="noStrike" baseline="0">
                    <a:solidFill>
                      <a:srgbClr val="000000"/>
                    </a:solidFill>
                    <a:latin typeface="Arial"/>
                    <a:cs typeface="Arial"/>
                  </a:rPr>
                  <a:t>/</a:t>
                </a:r>
                <a:r>
                  <a:rPr lang="en-US" sz="1200" b="1" i="1" u="none" strike="noStrike" baseline="0">
                    <a:solidFill>
                      <a:srgbClr val="000000"/>
                    </a:solidFill>
                    <a:latin typeface="Arial"/>
                    <a:cs typeface="Arial"/>
                  </a:rPr>
                  <a:t>p</a:t>
                </a:r>
                <a:r>
                  <a:rPr lang="en-US" sz="1200" b="1" i="0" u="none" strike="noStrike" baseline="-25000">
                    <a:solidFill>
                      <a:srgbClr val="000000"/>
                    </a:solidFill>
                    <a:latin typeface="Arial"/>
                    <a:cs typeface="Arial"/>
                  </a:rPr>
                  <a:t>0</a:t>
                </a:r>
              </a:p>
            </c:rich>
          </c:tx>
          <c:layout>
            <c:manualLayout>
              <c:xMode val="edge"/>
              <c:yMode val="edge"/>
              <c:x val="0.51403546360965247"/>
              <c:y val="0.89236208066284695"/>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1318053168"/>
        <c:crossesAt val="0"/>
        <c:crossBetween val="midCat"/>
        <c:majorUnit val="0.2"/>
      </c:valAx>
      <c:valAx>
        <c:axId val="1318053168"/>
        <c:scaling>
          <c:orientation val="minMax"/>
          <c:max val="65"/>
          <c:min val="0"/>
        </c:scaling>
        <c:delete val="0"/>
        <c:axPos val="l"/>
        <c:title>
          <c:tx>
            <c:rich>
              <a:bodyPr/>
              <a:lstStyle/>
              <a:p>
                <a:pPr>
                  <a:defRPr sz="875" b="1" i="1" u="none" strike="noStrike" baseline="0">
                    <a:solidFill>
                      <a:srgbClr val="000000"/>
                    </a:solidFill>
                    <a:latin typeface="Arial"/>
                    <a:ea typeface="Arial"/>
                    <a:cs typeface="Arial"/>
                  </a:defRPr>
                </a:pPr>
                <a:r>
                  <a:rPr lang="en-US" sz="1100" b="1" i="1" u="none" strike="noStrike" baseline="0">
                    <a:solidFill>
                      <a:srgbClr val="000000"/>
                    </a:solidFill>
                    <a:latin typeface="Arial"/>
                    <a:cs typeface="Arial"/>
                  </a:rPr>
                  <a:t>V</a:t>
                </a:r>
                <a:r>
                  <a:rPr lang="en-US" sz="1100" b="1" i="1" u="none" strike="noStrike" baseline="-25000">
                    <a:solidFill>
                      <a:srgbClr val="000000"/>
                    </a:solidFill>
                    <a:latin typeface="Arial"/>
                    <a:cs typeface="Arial"/>
                  </a:rPr>
                  <a:t>a</a:t>
                </a:r>
                <a:r>
                  <a:rPr lang="en-US" sz="1100" b="1" i="0" u="none" strike="noStrike" baseline="0">
                    <a:solidFill>
                      <a:srgbClr val="000000"/>
                    </a:solidFill>
                    <a:latin typeface="Arial"/>
                    <a:cs typeface="Arial"/>
                  </a:rPr>
                  <a:t>/cm</a:t>
                </a:r>
                <a:r>
                  <a:rPr lang="en-US" sz="1100" b="1" i="0" u="none" strike="noStrike" baseline="30000">
                    <a:solidFill>
                      <a:srgbClr val="000000"/>
                    </a:solidFill>
                    <a:latin typeface="Arial"/>
                    <a:cs typeface="Arial"/>
                  </a:rPr>
                  <a:t>3</a:t>
                </a:r>
                <a:r>
                  <a:rPr lang="en-US" sz="1100" b="1" i="0" u="none" strike="noStrike" baseline="0">
                    <a:solidFill>
                      <a:srgbClr val="000000"/>
                    </a:solidFill>
                    <a:latin typeface="Arial"/>
                    <a:cs typeface="Arial"/>
                  </a:rPr>
                  <a:t> g</a:t>
                </a:r>
                <a:r>
                  <a:rPr lang="en-US" sz="1100" b="1" i="0" u="none" strike="noStrike" baseline="30000">
                    <a:solidFill>
                      <a:srgbClr val="000000"/>
                    </a:solidFill>
                    <a:latin typeface="Arial"/>
                    <a:cs typeface="Arial"/>
                  </a:rPr>
                  <a:t>-1</a:t>
                </a:r>
              </a:p>
            </c:rich>
          </c:tx>
          <c:layout>
            <c:manualLayout>
              <c:xMode val="edge"/>
              <c:yMode val="edge"/>
              <c:x val="3.5916563061196309E-3"/>
              <c:y val="0.40827447815560453"/>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1318050448"/>
        <c:crossesAt val="0"/>
        <c:crossBetween val="midCat"/>
        <c:majorUnit val="20"/>
      </c:valAx>
      <c:spPr>
        <a:noFill/>
        <a:ln w="25400">
          <a:noFill/>
        </a:ln>
      </c:spPr>
    </c:plotArea>
    <c:legend>
      <c:legendPos val="b"/>
      <c:legendEntry>
        <c:idx val="0"/>
        <c:txPr>
          <a:bodyPr/>
          <a:lstStyle/>
          <a:p>
            <a:pPr>
              <a:defRPr sz="1200" b="1"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legendEntry>
      <c:legendEntry>
        <c:idx val="1"/>
        <c:txPr>
          <a:bodyPr/>
          <a:lstStyle/>
          <a:p>
            <a:pPr>
              <a:defRPr sz="1200" b="1"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legendEntry>
      <c:layout>
        <c:manualLayout>
          <c:xMode val="edge"/>
          <c:yMode val="edge"/>
          <c:x val="0.25153785053184136"/>
          <c:y val="9.0939865203830114E-2"/>
          <c:w val="0.5541635585025555"/>
          <c:h val="7.0762608967507856E-2"/>
        </c:manualLayout>
      </c:layout>
      <c:overlay val="0"/>
      <c:spPr>
        <a:solidFill>
          <a:srgbClr val="FFFFFF"/>
        </a:solidFill>
        <a:ln w="3175">
          <a:solidFill>
            <a:srgbClr val="000000"/>
          </a:solidFill>
          <a:prstDash val="solid"/>
        </a:ln>
      </c:spPr>
      <c:txPr>
        <a:bodyPr/>
        <a:lstStyle/>
        <a:p>
          <a:pPr>
            <a:defRPr sz="80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875" b="0" i="0" u="none" strike="noStrike" baseline="0">
          <a:solidFill>
            <a:srgbClr val="000000"/>
          </a:solidFill>
          <a:latin typeface="Arial"/>
          <a:ea typeface="Arial"/>
          <a:cs typeface="Arial"/>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TotalTime>
  <Pages>3</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Samahe Sajadi</dc:creator>
  <cp:keywords/>
  <dc:description/>
  <cp:lastModifiedBy>asus</cp:lastModifiedBy>
  <cp:revision>8</cp:revision>
  <dcterms:created xsi:type="dcterms:W3CDTF">2023-03-18T04:21:00Z</dcterms:created>
  <dcterms:modified xsi:type="dcterms:W3CDTF">2023-03-19T05:19:00Z</dcterms:modified>
</cp:coreProperties>
</file>