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eastAsia="宋体" w:cs="Times New Roman"/>
          <w:b/>
          <w:bCs/>
          <w:color w:val="000000" w:themeColor="text1"/>
          <w:sz w:val="28"/>
          <w:szCs w:val="28"/>
          <w14:textFill>
            <w14:solidFill>
              <w14:schemeClr w14:val="tx1"/>
            </w14:solidFill>
          </w14:textFill>
        </w:rPr>
      </w:pPr>
      <w:bookmarkStart w:id="0" w:name="OLE_LINK21"/>
      <w:r>
        <w:rPr>
          <w:rFonts w:hint="eastAsia" w:ascii="Times New Roman" w:hAnsi="Times New Roman" w:eastAsia="宋体" w:cs="Times New Roman"/>
          <w:b/>
          <w:color w:val="000000" w:themeColor="text1"/>
          <w:sz w:val="28"/>
          <w:szCs w:val="28"/>
          <w14:textFill>
            <w14:solidFill>
              <w14:schemeClr w14:val="tx1"/>
            </w14:solidFill>
          </w14:textFill>
        </w:rPr>
        <w:t xml:space="preserve">High efficient and green micro/nano cellulose preparation </w:t>
      </w:r>
      <w:r>
        <w:rPr>
          <w:rFonts w:ascii="Times New Roman" w:hAnsi="Times New Roman" w:eastAsia="宋体" w:cs="Times New Roman"/>
          <w:b/>
          <w:color w:val="000000" w:themeColor="text1"/>
          <w:sz w:val="28"/>
          <w:szCs w:val="28"/>
          <w14:textFill>
            <w14:solidFill>
              <w14:schemeClr w14:val="tx1"/>
            </w14:solidFill>
          </w14:textFill>
        </w:rPr>
        <w:t xml:space="preserve">with </w:t>
      </w:r>
      <w:bookmarkStart w:id="1" w:name="OLE_LINK20"/>
      <w:r>
        <w:rPr>
          <w:rFonts w:hint="eastAsia" w:ascii="Times New Roman" w:hAnsi="Times New Roman" w:eastAsia="宋体" w:cs="Times New Roman"/>
          <w:b/>
          <w:color w:val="000000" w:themeColor="text1"/>
          <w:sz w:val="28"/>
          <w:szCs w:val="28"/>
          <w14:textFill>
            <w14:solidFill>
              <w14:schemeClr w14:val="tx1"/>
            </w14:solidFill>
          </w14:textFill>
        </w:rPr>
        <w:t>micro</w:t>
      </w:r>
      <w:r>
        <w:rPr>
          <w:rFonts w:ascii="Times New Roman" w:hAnsi="Times New Roman" w:eastAsia="宋体" w:cs="Times New Roman"/>
          <w:b/>
          <w:color w:val="000000" w:themeColor="text1"/>
          <w:sz w:val="28"/>
          <w:szCs w:val="28"/>
          <w14:textFill>
            <w14:solidFill>
              <w14:schemeClr w14:val="tx1"/>
            </w14:solidFill>
          </w14:textFill>
        </w:rPr>
        <w:t>-</w:t>
      </w:r>
      <w:r>
        <w:rPr>
          <w:rFonts w:hint="eastAsia" w:ascii="Times New Roman" w:hAnsi="Times New Roman" w:eastAsia="宋体" w:cs="Times New Roman"/>
          <w:b/>
          <w:color w:val="000000" w:themeColor="text1"/>
          <w:sz w:val="28"/>
          <w:szCs w:val="28"/>
          <w14:textFill>
            <w14:solidFill>
              <w14:schemeClr w14:val="tx1"/>
            </w14:solidFill>
          </w14:textFill>
        </w:rPr>
        <w:t>nano bubbles</w:t>
      </w:r>
      <w:bookmarkEnd w:id="1"/>
      <w:r>
        <w:rPr>
          <w:rFonts w:hint="eastAsia" w:ascii="Times New Roman" w:hAnsi="Times New Roman" w:eastAsia="宋体" w:cs="Times New Roman"/>
          <w:b/>
          <w:color w:val="000000" w:themeColor="text1"/>
          <w:sz w:val="28"/>
          <w:szCs w:val="28"/>
          <w14:textFill>
            <w14:solidFill>
              <w14:schemeClr w14:val="tx1"/>
            </w14:solidFill>
          </w14:textFill>
        </w:rPr>
        <w:t xml:space="preserve"> from mild alkaline pretreated bagasse</w:t>
      </w:r>
    </w:p>
    <w:bookmarkEnd w:id="0"/>
    <w:p>
      <w:pPr>
        <w:pStyle w:val="2"/>
        <w:spacing w:after="0" w:line="264" w:lineRule="auto"/>
        <w:jc w:val="both"/>
        <w:rPr>
          <w:rFonts w:ascii="Times New Roman" w:hAnsi="Times New Roman" w:eastAsia="楷体" w:cs="Times New Roman"/>
        </w:rPr>
      </w:pPr>
    </w:p>
    <w:p>
      <w:pPr>
        <w:pStyle w:val="2"/>
        <w:jc w:val="both"/>
        <w:rPr>
          <w:rFonts w:ascii="Times New Roman" w:hAnsi="Times New Roman" w:cs="Times New Roman"/>
          <w:sz w:val="22"/>
          <w:vertAlign w:val="superscript"/>
        </w:rPr>
      </w:pPr>
      <w:r>
        <w:rPr>
          <w:rFonts w:ascii="Times New Roman" w:hAnsi="Times New Roman" w:cs="Times New Roman"/>
          <w:sz w:val="22"/>
        </w:rPr>
        <w:t>Qian Yu</w:t>
      </w:r>
      <w:r>
        <w:rPr>
          <w:rFonts w:ascii="Times New Roman" w:hAnsi="Times New Roman" w:cs="Times New Roman"/>
          <w:sz w:val="22"/>
          <w:vertAlign w:val="superscript"/>
        </w:rPr>
        <w:t>1</w:t>
      </w:r>
      <w:r>
        <w:rPr>
          <w:rFonts w:ascii="Times New Roman" w:hAnsi="Times New Roman" w:cs="Times New Roman"/>
          <w:sz w:val="22"/>
        </w:rPr>
        <w:t xml:space="preserve">; Ping </w:t>
      </w:r>
      <w:r>
        <w:rPr>
          <w:rFonts w:hint="eastAsia" w:ascii="Times New Roman" w:hAnsi="Times New Roman" w:cs="Times New Roman"/>
          <w:sz w:val="22"/>
          <w:lang w:val="en-US" w:eastAsia="zh-CN"/>
        </w:rPr>
        <w:t>T</w:t>
      </w:r>
      <w:r>
        <w:rPr>
          <w:rFonts w:ascii="Times New Roman" w:hAnsi="Times New Roman" w:cs="Times New Roman"/>
          <w:sz w:val="22"/>
        </w:rPr>
        <w:t>iantian</w:t>
      </w:r>
      <w:r>
        <w:rPr>
          <w:rFonts w:ascii="Times New Roman" w:hAnsi="Times New Roman" w:cs="Times New Roman"/>
          <w:sz w:val="22"/>
          <w:vertAlign w:val="superscript"/>
        </w:rPr>
        <w:t>1</w:t>
      </w:r>
      <w:r>
        <w:rPr>
          <w:rFonts w:ascii="Times New Roman" w:hAnsi="Times New Roman" w:cs="Times New Roman"/>
          <w:sz w:val="22"/>
        </w:rPr>
        <w:t>; Huang He</w:t>
      </w:r>
      <w:r>
        <w:rPr>
          <w:rFonts w:ascii="Times New Roman" w:hAnsi="Times New Roman" w:cs="Times New Roman"/>
          <w:sz w:val="22"/>
          <w:vertAlign w:val="superscript"/>
        </w:rPr>
        <w:t>1</w:t>
      </w:r>
      <w:r>
        <w:rPr>
          <w:rFonts w:ascii="Times New Roman" w:hAnsi="Times New Roman" w:cs="Times New Roman"/>
          <w:sz w:val="22"/>
        </w:rPr>
        <w:t>; Xing Huiying</w:t>
      </w:r>
      <w:r>
        <w:rPr>
          <w:rFonts w:ascii="Times New Roman" w:hAnsi="Times New Roman" w:cs="Times New Roman"/>
          <w:sz w:val="22"/>
          <w:vertAlign w:val="superscript"/>
        </w:rPr>
        <w:t>1</w:t>
      </w:r>
      <w:r>
        <w:rPr>
          <w:rFonts w:ascii="Times New Roman" w:hAnsi="Times New Roman" w:cs="Times New Roman"/>
          <w:sz w:val="22"/>
        </w:rPr>
        <w:t xml:space="preserve">; Liu </w:t>
      </w:r>
      <w:r>
        <w:rPr>
          <w:rFonts w:hint="eastAsia" w:ascii="Times New Roman" w:hAnsi="Times New Roman" w:cs="Times New Roman"/>
          <w:sz w:val="22"/>
          <w:lang w:val="en-US" w:eastAsia="zh-CN"/>
        </w:rPr>
        <w:t>M</w:t>
      </w:r>
      <w:r>
        <w:rPr>
          <w:rFonts w:ascii="Times New Roman" w:hAnsi="Times New Roman" w:cs="Times New Roman"/>
          <w:sz w:val="22"/>
        </w:rPr>
        <w:t>engke</w:t>
      </w:r>
      <w:r>
        <w:rPr>
          <w:rFonts w:ascii="Times New Roman" w:hAnsi="Times New Roman" w:cs="Times New Roman"/>
          <w:sz w:val="22"/>
          <w:vertAlign w:val="superscript"/>
        </w:rPr>
        <w:t>1</w:t>
      </w:r>
      <w:r>
        <w:rPr>
          <w:rFonts w:ascii="Times New Roman" w:hAnsi="Times New Roman" w:cs="Times New Roman"/>
          <w:sz w:val="22"/>
        </w:rPr>
        <w:t>; Feng Xin</w:t>
      </w:r>
      <w:r>
        <w:rPr>
          <w:rFonts w:ascii="Times New Roman" w:hAnsi="Times New Roman" w:cs="Times New Roman"/>
          <w:sz w:val="22"/>
          <w:vertAlign w:val="superscript"/>
        </w:rPr>
        <w:t>1</w:t>
      </w:r>
      <w:r>
        <w:rPr>
          <w:rFonts w:ascii="Times New Roman" w:hAnsi="Times New Roman" w:cs="Times New Roman"/>
          <w:sz w:val="22"/>
        </w:rPr>
        <w:t>; Lu Xiaohua</w:t>
      </w:r>
      <w:r>
        <w:rPr>
          <w:rFonts w:ascii="Times New Roman" w:hAnsi="Times New Roman" w:cs="Times New Roman"/>
          <w:sz w:val="22"/>
          <w:vertAlign w:val="superscript"/>
        </w:rPr>
        <w:t>1</w:t>
      </w:r>
      <w:r>
        <w:rPr>
          <w:rFonts w:ascii="Times New Roman" w:hAnsi="Times New Roman" w:cs="Times New Roman"/>
          <w:sz w:val="22"/>
        </w:rPr>
        <w:t xml:space="preserve"> ; Zhang Lilong</w:t>
      </w:r>
      <w:r>
        <w:rPr>
          <w:rFonts w:ascii="Times New Roman" w:hAnsi="Times New Roman" w:cs="Times New Roman"/>
          <w:sz w:val="22"/>
          <w:vertAlign w:val="superscript"/>
        </w:rPr>
        <w:t>1*</w:t>
      </w:r>
      <w:r>
        <w:rPr>
          <w:rFonts w:ascii="Times New Roman" w:hAnsi="Times New Roman" w:cs="Times New Roman"/>
          <w:sz w:val="22"/>
        </w:rPr>
        <w:t>; Zhu Jiahua</w:t>
      </w:r>
      <w:r>
        <w:rPr>
          <w:rFonts w:ascii="Times New Roman" w:hAnsi="Times New Roman" w:cs="Times New Roman"/>
          <w:sz w:val="22"/>
          <w:vertAlign w:val="superscript"/>
        </w:rPr>
        <w:t>1*</w:t>
      </w:r>
    </w:p>
    <w:p>
      <w:pPr>
        <w:pStyle w:val="2"/>
        <w:jc w:val="both"/>
        <w:rPr>
          <w:rFonts w:hint="default" w:ascii="Times New Roman" w:hAnsi="Times New Roman" w:cs="Times New Roman"/>
          <w:sz w:val="22"/>
          <w:lang w:val="en-US" w:eastAsia="zh-CN"/>
        </w:rPr>
      </w:pPr>
      <w:r>
        <w:rPr>
          <w:rFonts w:hint="eastAsia" w:ascii="Times New Roman" w:hAnsi="Times New Roman" w:cs="Times New Roman"/>
          <w:sz w:val="22"/>
          <w:vertAlign w:val="superscript"/>
          <w:lang w:val="en-US" w:eastAsia="zh-CN"/>
        </w:rPr>
        <w:t>1</w:t>
      </w:r>
      <w:r>
        <w:rPr>
          <w:rFonts w:hint="default" w:ascii="Times New Roman" w:hAnsi="Times New Roman" w:cs="Times New Roman"/>
          <w:sz w:val="22"/>
          <w:lang w:val="en-US" w:eastAsia="zh-CN"/>
        </w:rPr>
        <w:t>State Key Laboratory of Materials-Oriented Chemical Engineering,</w:t>
      </w:r>
    </w:p>
    <w:p>
      <w:pPr>
        <w:pStyle w:val="2"/>
        <w:jc w:val="both"/>
        <w:rPr>
          <w:rFonts w:hint="default" w:ascii="Times New Roman" w:hAnsi="Times New Roman" w:cs="Times New Roman"/>
          <w:sz w:val="22"/>
        </w:rPr>
      </w:pPr>
      <w:r>
        <w:rPr>
          <w:rFonts w:hint="default" w:ascii="Times New Roman" w:hAnsi="Times New Roman" w:cs="Times New Roman"/>
          <w:sz w:val="22"/>
          <w:lang w:val="en-US" w:eastAsia="zh-CN"/>
        </w:rPr>
        <w:t xml:space="preserve"> College of Chemical Engineering, Nanjing Tech University,</w:t>
      </w:r>
    </w:p>
    <w:p>
      <w:pPr>
        <w:pStyle w:val="2"/>
        <w:jc w:val="both"/>
        <w:rPr>
          <w:rFonts w:ascii="Times New Roman" w:hAnsi="Times New Roman" w:cs="Times New Roman"/>
          <w:sz w:val="22"/>
        </w:rPr>
      </w:pPr>
      <w:r>
        <w:rPr>
          <w:rFonts w:ascii="Times New Roman" w:hAnsi="Times New Roman" w:cs="Times New Roman"/>
          <w:sz w:val="22"/>
          <w:vertAlign w:val="superscript"/>
        </w:rPr>
        <w:t>*</w:t>
      </w:r>
      <w:r>
        <w:rPr>
          <w:rFonts w:ascii="Times New Roman" w:hAnsi="Times New Roman" w:cs="Times New Roman"/>
          <w:sz w:val="22"/>
        </w:rPr>
        <w:t xml:space="preserve">Corresponding authors: </w:t>
      </w:r>
    </w:p>
    <w:p>
      <w:pPr>
        <w:pStyle w:val="2"/>
        <w:jc w:val="both"/>
        <w:rPr>
          <w:rFonts w:ascii="Times New Roman" w:hAnsi="Times New Roman" w:cs="Times New Roman"/>
          <w:sz w:val="22"/>
        </w:rPr>
      </w:pPr>
      <w:r>
        <w:rPr>
          <w:rFonts w:ascii="Times New Roman" w:hAnsi="Times New Roman" w:cs="Times New Roman"/>
          <w:sz w:val="22"/>
        </w:rPr>
        <w:t xml:space="preserve">Zhang Lilong </w:t>
      </w:r>
      <w:r>
        <w:rPr>
          <w:rFonts w:ascii="Times New Roman" w:hAnsi="Times New Roman" w:cs="Times New Roman"/>
          <w:sz w:val="22"/>
        </w:rPr>
        <w:fldChar w:fldCharType="begin"/>
      </w:r>
      <w:r>
        <w:rPr>
          <w:rFonts w:ascii="Times New Roman" w:hAnsi="Times New Roman" w:cs="Times New Roman"/>
          <w:sz w:val="22"/>
        </w:rPr>
        <w:instrText xml:space="preserve"> HYPERLINK "mailto:(zhanglilong@njtech,edu.cn);" </w:instrText>
      </w:r>
      <w:r>
        <w:rPr>
          <w:rFonts w:ascii="Times New Roman" w:hAnsi="Times New Roman" w:cs="Times New Roman"/>
          <w:sz w:val="22"/>
        </w:rPr>
        <w:fldChar w:fldCharType="separate"/>
      </w:r>
      <w:r>
        <w:rPr>
          <w:rStyle w:val="9"/>
          <w:rFonts w:ascii="Times New Roman" w:hAnsi="Times New Roman" w:cs="Times New Roman"/>
          <w:sz w:val="22"/>
        </w:rPr>
        <w:t>(zhanglilong@njtech,edu.cn);</w:t>
      </w:r>
      <w:r>
        <w:rPr>
          <w:rFonts w:ascii="Times New Roman" w:hAnsi="Times New Roman" w:cs="Times New Roman"/>
          <w:sz w:val="22"/>
        </w:rPr>
        <w:fldChar w:fldCharType="end"/>
      </w:r>
    </w:p>
    <w:p>
      <w:pPr>
        <w:pStyle w:val="2"/>
        <w:jc w:val="both"/>
        <w:rPr>
          <w:rFonts w:hint="eastAsia" w:ascii="Times New Roman" w:hAnsi="Times New Roman" w:eastAsia="宋体" w:cs="Times New Roman"/>
          <w:sz w:val="22"/>
          <w:lang w:val="en-US" w:eastAsia="zh-CN"/>
        </w:rPr>
      </w:pPr>
      <w:r>
        <w:rPr>
          <w:rFonts w:ascii="Times New Roman" w:hAnsi="Times New Roman" w:cs="Times New Roman"/>
          <w:sz w:val="22"/>
        </w:rPr>
        <w:t xml:space="preserve">Zhu Jiahua </w:t>
      </w:r>
      <w:r>
        <w:rPr>
          <w:rStyle w:val="9"/>
          <w:rFonts w:ascii="Times New Roman" w:hAnsi="Times New Roman" w:eastAsia="宋体" w:cs="Times New Roman"/>
          <w:color w:val="0000FF"/>
          <w:sz w:val="22"/>
        </w:rPr>
        <w:t>(jhzhu@njtech.edu.cn)</w:t>
      </w:r>
      <w:r>
        <w:rPr>
          <w:rStyle w:val="9"/>
          <w:rFonts w:hint="eastAsia" w:ascii="Times New Roman" w:hAnsi="Times New Roman" w:eastAsia="宋体" w:cs="Times New Roman"/>
          <w:color w:val="0000FF"/>
          <w:sz w:val="22"/>
          <w:lang w:val="en-US" w:eastAsia="zh-CN"/>
        </w:rPr>
        <w:t>.</w:t>
      </w:r>
    </w:p>
    <w:p>
      <w:pPr>
        <w:pStyle w:val="2"/>
        <w:rPr>
          <w:rFonts w:ascii="Times New Roman" w:hAnsi="Times New Roman"/>
          <w:i/>
          <w:iCs/>
          <w:sz w:val="24"/>
          <w:szCs w:val="32"/>
        </w:rPr>
      </w:pPr>
    </w:p>
    <w:p>
      <w:pPr>
        <w:pStyle w:val="2"/>
        <w:rPr>
          <w:rFonts w:ascii="Times New Roman" w:hAnsi="Times New Roman"/>
          <w:i/>
          <w:iCs/>
          <w:sz w:val="24"/>
          <w:szCs w:val="32"/>
        </w:rPr>
      </w:pPr>
      <w:bookmarkStart w:id="2" w:name="_GoBack"/>
      <w:bookmarkEnd w:id="2"/>
    </w:p>
    <w:p>
      <w:pPr>
        <w:pStyle w:val="2"/>
        <w:rPr>
          <w:rFonts w:ascii="Times New Roman" w:hAnsi="Times New Roman" w:eastAsia="楷体" w:cs="Times New Roman"/>
          <w:sz w:val="24"/>
          <w:szCs w:val="32"/>
        </w:rPr>
      </w:pPr>
      <w:r>
        <w:rPr>
          <w:rFonts w:ascii="Times New Roman" w:hAnsi="Times New Roman" w:eastAsia="楷体" w:cs="Times New Roman"/>
          <w:sz w:val="24"/>
          <w:szCs w:val="32"/>
        </w:rPr>
        <w:t xml:space="preserve">Support Infomation </w:t>
      </w:r>
    </w:p>
    <w:p>
      <w:pPr>
        <w:pStyle w:val="2"/>
        <w:numPr>
          <w:ilvl w:val="0"/>
          <w:numId w:val="1"/>
        </w:numPr>
        <w:rPr>
          <w:rFonts w:ascii="Times New Roman" w:hAnsi="Times New Roman" w:eastAsia="楷体" w:cs="Times New Roman"/>
          <w:sz w:val="24"/>
          <w:szCs w:val="32"/>
        </w:rPr>
      </w:pPr>
      <w:r>
        <w:rPr>
          <w:rFonts w:hint="eastAsia" w:ascii="Times New Roman" w:hAnsi="Times New Roman" w:eastAsia="楷体" w:cs="Times New Roman"/>
          <w:sz w:val="24"/>
          <w:szCs w:val="32"/>
        </w:rPr>
        <w:t>Method detail.</w:t>
      </w:r>
    </w:p>
    <w:p>
      <w:pPr>
        <w:pStyle w:val="2"/>
        <w:numPr>
          <w:ilvl w:val="0"/>
          <w:numId w:val="1"/>
        </w:numPr>
        <w:rPr>
          <w:rFonts w:ascii="Times New Roman" w:hAnsi="Times New Roman" w:eastAsia="楷体" w:cs="Times New Roman"/>
          <w:sz w:val="24"/>
          <w:szCs w:val="32"/>
        </w:rPr>
      </w:pPr>
      <w:r>
        <w:rPr>
          <w:rFonts w:ascii="Times New Roman" w:hAnsi="Times New Roman" w:eastAsia="楷体" w:cs="Times New Roman"/>
          <w:sz w:val="24"/>
          <w:szCs w:val="32"/>
        </w:rPr>
        <w:t>Figure and Table captures.</w:t>
      </w:r>
    </w:p>
    <w:p>
      <w:pPr>
        <w:pStyle w:val="2"/>
        <w:numPr>
          <w:ilvl w:val="0"/>
          <w:numId w:val="1"/>
        </w:numPr>
        <w:rPr>
          <w:rFonts w:hint="eastAsia" w:ascii="Times New Roman" w:hAnsi="Times New Roman" w:eastAsia="楷体" w:cs="Times New Roman"/>
          <w:sz w:val="24"/>
          <w:szCs w:val="32"/>
        </w:rPr>
      </w:pPr>
      <w:r>
        <w:rPr>
          <w:rFonts w:ascii="Times New Roman" w:hAnsi="Times New Roman" w:eastAsia="楷体" w:cs="Times New Roman"/>
          <w:sz w:val="24"/>
          <w:szCs w:val="32"/>
        </w:rPr>
        <w:t>Cost estimate of preparation micro/nano cellulose</w:t>
      </w:r>
    </w:p>
    <w:p>
      <w:pPr>
        <w:pStyle w:val="2"/>
        <w:numPr>
          <w:ilvl w:val="0"/>
          <w:numId w:val="2"/>
        </w:numPr>
        <w:rPr>
          <w:rFonts w:ascii="Times New Roman" w:hAnsi="Times New Roman"/>
          <w:b/>
          <w:bCs/>
          <w:sz w:val="24"/>
          <w:szCs w:val="32"/>
        </w:rPr>
      </w:pPr>
      <w:r>
        <w:rPr>
          <w:rFonts w:hint="eastAsia" w:ascii="Times New Roman" w:hAnsi="Times New Roman" w:eastAsia="楷体" w:cs="Times New Roman"/>
          <w:b/>
          <w:bCs/>
          <w:sz w:val="24"/>
          <w:szCs w:val="32"/>
        </w:rPr>
        <w:t>Method detail.</w:t>
      </w:r>
    </w:p>
    <w:p>
      <w:pPr>
        <w:pStyle w:val="2"/>
      </w:pPr>
      <w:r>
        <w:rPr>
          <w:rFonts w:hint="eastAsia" w:ascii="Times New Roman" w:hAnsi="Times New Roman"/>
          <w:i/>
          <w:iCs/>
          <w:sz w:val="24"/>
          <w:szCs w:val="32"/>
        </w:rPr>
        <w:t xml:space="preserve">1.1 </w:t>
      </w:r>
      <w:r>
        <w:rPr>
          <w:rFonts w:ascii="Times New Roman" w:hAnsi="Times New Roman"/>
          <w:i/>
          <w:iCs/>
          <w:sz w:val="24"/>
          <w:szCs w:val="32"/>
        </w:rPr>
        <w:t>Composition</w:t>
      </w:r>
    </w:p>
    <w:p>
      <w:pPr>
        <w:widowControl/>
        <w:spacing w:line="264" w:lineRule="auto"/>
        <w:ind w:firstLine="480" w:firstLineChars="200"/>
        <w:rPr>
          <w:rFonts w:ascii="Times New Roman" w:hAnsi="Times New Roman"/>
          <w:sz w:val="24"/>
          <w:szCs w:val="32"/>
        </w:rPr>
      </w:pPr>
      <w:r>
        <w:rPr>
          <w:rFonts w:ascii="Times New Roman" w:hAnsi="Times New Roman"/>
          <w:sz w:val="24"/>
          <w:szCs w:val="32"/>
        </w:rPr>
        <w:t xml:space="preserve">Acid insoluble lignin evaluation was performed according to the protocol presented by previous work. In brief, approximately 300 mg of dry PMES material (in three repetitions) were placed in 50 mL test tubes and hydrolyzed with 3 mL sulfuric acid (72% v/v) at 30 </w:t>
      </w:r>
      <w:r>
        <w:rPr>
          <w:rFonts w:ascii="Times New Roman" w:hAnsi="Times New Roman"/>
          <w:sz w:val="24"/>
          <w:szCs w:val="32"/>
          <w:vertAlign w:val="superscript"/>
        </w:rPr>
        <w:t>o</w:t>
      </w:r>
      <w:r>
        <w:rPr>
          <w:rFonts w:ascii="Times New Roman" w:hAnsi="Times New Roman"/>
          <w:sz w:val="24"/>
          <w:szCs w:val="32"/>
        </w:rPr>
        <w:t xml:space="preserve">C in a water bath. After hydrolysis, the samples were autoclaved at 121 </w:t>
      </w:r>
      <w:r>
        <w:rPr>
          <w:rFonts w:ascii="Times New Roman" w:hAnsi="Times New Roman"/>
          <w:sz w:val="24"/>
          <w:szCs w:val="32"/>
          <w:vertAlign w:val="superscript"/>
        </w:rPr>
        <w:t>o</w:t>
      </w:r>
      <w:r>
        <w:rPr>
          <w:rFonts w:ascii="Times New Roman" w:hAnsi="Times New Roman"/>
          <w:sz w:val="24"/>
          <w:szCs w:val="32"/>
        </w:rPr>
        <w:t xml:space="preserve">C for 1 h. The diluted hydrolyzed samples were then vacuum filtered. The Whatman fifilter papers and their solid content were then dried overnight in an oven at 105 </w:t>
      </w:r>
      <w:r>
        <w:rPr>
          <w:rFonts w:ascii="Times New Roman" w:hAnsi="Times New Roman"/>
          <w:sz w:val="24"/>
          <w:szCs w:val="32"/>
          <w:vertAlign w:val="superscript"/>
        </w:rPr>
        <w:t>o</w:t>
      </w:r>
      <w:r>
        <w:rPr>
          <w:rFonts w:ascii="Times New Roman" w:hAnsi="Times New Roman"/>
          <w:sz w:val="24"/>
          <w:szCs w:val="32"/>
        </w:rPr>
        <w:t xml:space="preserve">C. The total weight was recorded, and the samples were placed in a furnace at 575 </w:t>
      </w:r>
      <w:r>
        <w:rPr>
          <w:rFonts w:ascii="Times New Roman" w:hAnsi="Times New Roman"/>
          <w:sz w:val="24"/>
          <w:szCs w:val="32"/>
          <w:vertAlign w:val="superscript"/>
        </w:rPr>
        <w:t>o</w:t>
      </w:r>
      <w:r>
        <w:rPr>
          <w:rFonts w:ascii="Times New Roman" w:hAnsi="Times New Roman"/>
          <w:sz w:val="24"/>
          <w:szCs w:val="32"/>
        </w:rPr>
        <w:t>C for 4 h and cooled in a desiccator for an additional 1 h. The final weight was then recorded again or the determination of the total insoluble lignin.</w:t>
      </w:r>
    </w:p>
    <w:p>
      <w:pPr>
        <w:widowControl/>
        <w:spacing w:line="264" w:lineRule="auto"/>
        <w:ind w:firstLine="240" w:firstLineChars="100"/>
        <w:rPr>
          <w:rFonts w:ascii="Times New Roman" w:hAnsi="Times New Roman"/>
          <w:sz w:val="24"/>
          <w:szCs w:val="32"/>
        </w:rPr>
      </w:pPr>
      <w:r>
        <w:rPr>
          <w:rFonts w:ascii="Times New Roman" w:hAnsi="Times New Roman"/>
          <w:sz w:val="24"/>
          <w:szCs w:val="32"/>
        </w:rPr>
        <w:t xml:space="preserve">The sugars in the supernatant from hydrolysis were quantitated by HPLC equipped with a refractive index detector (Showa Denko K.K., Japan) and a BioRad-HPX-87 P column (Bio-Rad Laboratories, Hercules, CA). Ultrapure water was used as the mobile phase at a flow rate of 0.6 mL/min and the column temperature was set to 65 </w:t>
      </w:r>
      <w:r>
        <w:rPr>
          <w:rFonts w:ascii="Times New Roman" w:hAnsi="Times New Roman"/>
          <w:sz w:val="24"/>
          <w:szCs w:val="32"/>
          <w:vertAlign w:val="superscript"/>
        </w:rPr>
        <w:t>o</w:t>
      </w:r>
      <w:r>
        <w:rPr>
          <w:rFonts w:ascii="Times New Roman" w:hAnsi="Times New Roman"/>
          <w:sz w:val="24"/>
          <w:szCs w:val="32"/>
        </w:rPr>
        <w:t>C.</w:t>
      </w:r>
    </w:p>
    <w:p>
      <w:pPr>
        <w:widowControl/>
        <w:spacing w:line="264" w:lineRule="auto"/>
        <w:ind w:firstLine="480"/>
      </w:pPr>
      <w:r>
        <w:rPr>
          <w:rFonts w:ascii="Times New Roman" w:hAnsi="Times New Roman"/>
          <w:sz w:val="24"/>
          <w:szCs w:val="32"/>
        </w:rPr>
        <w:t xml:space="preserve">Ash content was analyzed according to the protocol presented by TAPPI (2002). Briefly, the samples were weighed and then heated in a furnace at 525 ± 25 °C for 360 min. They were then cooled slightly and placed in a desiccator containing indicator-grade anhydrous alumina. When cooled to room temperature, the samples were weighed again. </w:t>
      </w:r>
    </w:p>
    <w:p>
      <w:pPr>
        <w:spacing w:line="264" w:lineRule="auto"/>
        <w:jc w:val="left"/>
        <w:rPr>
          <w:i/>
          <w:iCs/>
          <w:sz w:val="24"/>
        </w:rPr>
      </w:pPr>
      <w:r>
        <w:rPr>
          <w:rFonts w:hint="eastAsia" w:ascii="Times New Roman" w:hAnsi="Times New Roman"/>
          <w:i/>
          <w:iCs/>
          <w:sz w:val="24"/>
          <w:szCs w:val="32"/>
        </w:rPr>
        <w:t>1.2</w:t>
      </w:r>
      <w:r>
        <w:rPr>
          <w:rFonts w:hint="eastAsia" w:ascii="Times New Roman" w:hAnsi="Times New Roman"/>
          <w:sz w:val="24"/>
          <w:szCs w:val="32"/>
        </w:rPr>
        <w:t xml:space="preserve"> </w:t>
      </w:r>
      <w:r>
        <w:rPr>
          <w:rFonts w:ascii="Times New Roman" w:hAnsi="Times New Roman"/>
          <w:i/>
          <w:iCs/>
          <w:sz w:val="24"/>
        </w:rPr>
        <w:t>Crystallinity Measurements</w:t>
      </w:r>
    </w:p>
    <w:p>
      <w:pPr>
        <w:spacing w:line="264" w:lineRule="auto"/>
        <w:ind w:firstLine="480" w:firstLineChars="200"/>
        <w:rPr>
          <w:rFonts w:ascii="Times New Roman" w:hAnsi="Times New Roman"/>
          <w:sz w:val="24"/>
        </w:rPr>
      </w:pPr>
      <w:r>
        <w:rPr>
          <w:rFonts w:ascii="Times New Roman" w:hAnsi="Times New Roman"/>
          <w:sz w:val="24"/>
        </w:rPr>
        <w:t>To examine and compare the crystalline structure of both the untreated and alkaline-treated samples, X-ray diffraction (XRD) was performed on an Empyrean diffractometer (PANalytical B.V, Almelo, Holland) with CuKα radiation that had a wavelength (λ) (Kα 1) of 0.15406 nm generated at 40 kV and 40 mA. The samples were dried in a vacuum oven with P</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5</w:t>
      </w:r>
      <w:r>
        <w:rPr>
          <w:rFonts w:ascii="Times New Roman" w:hAnsi="Times New Roman"/>
          <w:sz w:val="24"/>
        </w:rPr>
        <w:t xml:space="preserve"> at 35 °C for 48 h. The scans were obtained from 2θ values of 10° to 90° at a scanning speed of 1° per min. </w:t>
      </w:r>
    </w:p>
    <w:p>
      <w:pPr>
        <w:spacing w:line="264" w:lineRule="auto"/>
        <w:jc w:val="left"/>
        <w:rPr>
          <w:rFonts w:ascii="Times New Roman" w:hAnsi="Times New Roman"/>
          <w:i/>
          <w:iCs/>
          <w:sz w:val="22"/>
          <w:szCs w:val="22"/>
        </w:rPr>
      </w:pPr>
      <w:r>
        <w:rPr>
          <w:rFonts w:hint="eastAsia" w:ascii="Times New Roman" w:hAnsi="Times New Roman"/>
          <w:i/>
          <w:iCs/>
          <w:sz w:val="22"/>
          <w:szCs w:val="22"/>
        </w:rPr>
        <w:t xml:space="preserve">1.3 Thermogravimetric analysis (TGA) and FTIR </w:t>
      </w:r>
    </w:p>
    <w:p>
      <w:pPr>
        <w:pStyle w:val="2"/>
        <w:ind w:firstLine="440" w:firstLineChars="200"/>
      </w:pPr>
      <w:r>
        <w:rPr>
          <w:rFonts w:ascii="Times New Roman" w:hAnsi="Times New Roman"/>
          <w:sz w:val="22"/>
          <w:szCs w:val="22"/>
        </w:rPr>
        <w:t>After designated treatment, the wet solid samples were dehydrated at 50 °C overnight in an oven. TGA analyses were performed with a high sensitivity thermogravimetric analyzer (Q</w:t>
      </w:r>
      <w:r>
        <w:rPr>
          <w:rFonts w:hint="eastAsia" w:ascii="Times New Roman" w:hAnsi="Times New Roman"/>
          <w:sz w:val="22"/>
          <w:szCs w:val="22"/>
        </w:rPr>
        <w:t>s650</w:t>
      </w:r>
      <w:r>
        <w:rPr>
          <w:rFonts w:ascii="Times New Roman" w:hAnsi="Times New Roman"/>
          <w:sz w:val="22"/>
          <w:szCs w:val="22"/>
        </w:rPr>
        <w:t xml:space="preserve"> TGA, TA Instruments) operating from ambient temperature to 800 °C at a heating rate of 10 °C min</w:t>
      </w:r>
      <w:r>
        <w:rPr>
          <w:rFonts w:hint="eastAsia" w:ascii="Times New Roman" w:hAnsi="Times New Roman"/>
          <w:sz w:val="22"/>
          <w:szCs w:val="22"/>
          <w:vertAlign w:val="superscript"/>
        </w:rPr>
        <w:t>-</w:t>
      </w:r>
      <w:r>
        <w:rPr>
          <w:rFonts w:ascii="Times New Roman" w:hAnsi="Times New Roman"/>
          <w:sz w:val="22"/>
          <w:szCs w:val="22"/>
          <w:vertAlign w:val="superscript"/>
        </w:rPr>
        <w:t>1</w:t>
      </w:r>
      <w:r>
        <w:rPr>
          <w:rFonts w:ascii="Times New Roman" w:hAnsi="Times New Roman"/>
          <w:sz w:val="22"/>
          <w:szCs w:val="22"/>
        </w:rPr>
        <w:t xml:space="preserve"> , with 99.99% nitrogen purging. FTIR analysis was conducted using</w:t>
      </w:r>
      <w:r>
        <w:rPr>
          <w:rFonts w:hint="eastAsia" w:ascii="Times New Roman" w:hAnsi="Times New Roman"/>
          <w:sz w:val="22"/>
          <w:szCs w:val="22"/>
        </w:rPr>
        <w:t xml:space="preserve"> </w:t>
      </w:r>
      <w:r>
        <w:rPr>
          <w:rFonts w:ascii="Times New Roman" w:hAnsi="Times New Roman"/>
          <w:sz w:val="22"/>
          <w:szCs w:val="22"/>
        </w:rPr>
        <w:t>Fourier transform infrared (ATR</w:t>
      </w:r>
      <w:r>
        <w:rPr>
          <w:rFonts w:hint="eastAsia" w:ascii="Times New Roman" w:hAnsi="Times New Roman"/>
          <w:sz w:val="22"/>
          <w:szCs w:val="22"/>
        </w:rPr>
        <w:t>-</w:t>
      </w:r>
      <w:r>
        <w:rPr>
          <w:rFonts w:ascii="Times New Roman" w:hAnsi="Times New Roman"/>
          <w:sz w:val="22"/>
          <w:szCs w:val="22"/>
        </w:rPr>
        <w:t>FTIR) spectroscopy (Tensor 27-IR, Bruker, USA).</w:t>
      </w:r>
    </w:p>
    <w:p>
      <w:pPr>
        <w:spacing w:line="264" w:lineRule="auto"/>
        <w:jc w:val="left"/>
      </w:pPr>
      <w:r>
        <w:rPr>
          <w:rFonts w:hint="eastAsia" w:ascii="Times New Roman" w:hAnsi="Times New Roman"/>
          <w:i/>
          <w:iCs/>
          <w:sz w:val="24"/>
          <w:szCs w:val="32"/>
        </w:rPr>
        <w:t>1</w:t>
      </w:r>
      <w:r>
        <w:rPr>
          <w:rFonts w:ascii="Times New Roman" w:hAnsi="Times New Roman"/>
          <w:i/>
          <w:iCs/>
          <w:sz w:val="24"/>
          <w:szCs w:val="32"/>
        </w:rPr>
        <w:t>.</w:t>
      </w:r>
      <w:r>
        <w:rPr>
          <w:rFonts w:hint="eastAsia" w:ascii="Times New Roman" w:hAnsi="Times New Roman"/>
          <w:i/>
          <w:iCs/>
          <w:sz w:val="24"/>
          <w:szCs w:val="32"/>
        </w:rPr>
        <w:t>4</w:t>
      </w:r>
      <w:r>
        <w:rPr>
          <w:rFonts w:hint="eastAsia" w:ascii="Times New Roman" w:hAnsi="Times New Roman"/>
          <w:sz w:val="24"/>
          <w:szCs w:val="32"/>
        </w:rPr>
        <w:t xml:space="preserve"> </w:t>
      </w:r>
      <w:r>
        <w:rPr>
          <w:rFonts w:ascii="Times New Roman" w:hAnsi="Times New Roman"/>
          <w:i/>
          <w:iCs/>
          <w:sz w:val="22"/>
        </w:rPr>
        <w:t>Scanning Electron Microscopy (SEM)</w:t>
      </w:r>
    </w:p>
    <w:p>
      <w:pPr>
        <w:pStyle w:val="3"/>
        <w:widowControl/>
        <w:shd w:val="clear" w:color="auto" w:fill="FFFFFF"/>
        <w:spacing w:beforeAutospacing="0" w:afterAutospacing="0" w:line="264" w:lineRule="auto"/>
        <w:ind w:firstLine="440" w:firstLineChars="200"/>
        <w:jc w:val="both"/>
        <w:rPr>
          <w:rFonts w:hint="default"/>
          <w:lang w:eastAsia="en-US"/>
        </w:rPr>
      </w:pPr>
      <w:r>
        <w:rPr>
          <w:rFonts w:ascii="Times New Roman" w:hAnsi="Times New Roman"/>
          <w:b w:val="0"/>
          <w:sz w:val="22"/>
          <w:szCs w:val="21"/>
          <w:lang w:eastAsia="en-US"/>
        </w:rPr>
        <w:t>Imaging with scanning electron microscopy (VEGA3-SBH</w:t>
      </w:r>
      <w:r>
        <w:rPr>
          <w:rFonts w:ascii="Times New Roman" w:hAnsi="Times New Roman"/>
          <w:b w:val="0"/>
          <w:sz w:val="22"/>
          <w:szCs w:val="21"/>
        </w:rPr>
        <w:t xml:space="preserve">, </w:t>
      </w:r>
      <w:r>
        <w:fldChar w:fldCharType="begin"/>
      </w:r>
      <w:r>
        <w:instrText xml:space="preserve"> HYPERLINK "http://www.baidu.com/baidu.php?url=K60000Kt3yYVuBrI94q2fi21DUf17jES-OJjZz4UCxnURtRKfW4naVZ6-fYbBKiqMBVBfi8fPJ0F8c3fLOKH4dIu7T0vkJuG6Sf51XH-9bqXSQLQDibI_5M4n4DLSZLPwGBWsfWKuMDiQq8pcTM-LrmEMjKl8b3sR81R9bd4pw5UzjPnm0.Db_a6hr7hQ53DQDkELUS1W3de8yG-LQWdQjPakk3q-x7f0.U1Yk0ZDq12MQ8UO5zpWjlQgMEoNywRIKnzRzw7Pai0KY5ThCsSBd4qxH1qHrCold0A-V5HczPfKM5gN-TZnk0ZNG5yF9pywdUAY0TA-b5Hnk0APGujYzrjf0UgfqnW01rNtknjDLg1DsnH-xn1msnfKopHYs0ZFY5HR1PfK-pyfqnHfdn-tznH04PfKBpHYznjwxnHRd0AdW5H7xPWn1rjc3rHDdg1m1Pjndn1mdrNts0Z7spyfqn0Kkmv-b5H00ThIYmyTqn0KEIhsqnH03rHmVuZGxnH04nWcVndtknH0knzdbX-tknH01nBYzndtknH0YnadbX-tknHfsPadbX-tknHfkniYkg1DkPWT3Qywlg1DkPWT4QHIxnHDLPHbVuZGxnHcsrHfVnNtknWDVuZGxnHczQHPxnHcznW6VnNtknWnzPadbX-tknWTsPidbX-tknWT4PaYdg1DzrHfdQywlg1DzrHRzQH7xnHnkrjbVuZGxnHnkrHbVnNtkn1ckriYkg1D1n1T3QH7xnHndn1cVnNtkn1R4nBdbX-tkn1mzPzdbX-tkn1m1nzdbX-tkn1mLraYkg1D1PW6kQywlg1D1PWbzQywlg1D1P1RzQHFxnHnLPW0VnNtkn1T3PaYkg1D1rjR3Qywlg1D1rjTsQywlg1D1rHDkQywlg1D3P19nQHDsnj01g1R1PadbX-t3PW0VnsK9mWYsg100ugFM5H00TZ0qn0K8IM0qna3snj0snj0sn0KVIZ0qn0KbuAqs5H00ThCqn0KbugmqTAn0uMfqn0KspjYs0Aq15H00mMTqnH00UMfqn0K1XWY0IZN15H6LnH6vP1nkPj04rjRYnWfvnjR0ThNkIjYkPH0knjf4njn3nHTY0ZPGujdbnHT4PH9-nj0snj0sujc10AP1UHYknRn1wbDkf16zPW7DfHuj0A7W5HD0TA3qn0KkUgfqn0KkUgnqn0KlIjYs0AdWgvuzUvYqn7tsg1Kxn0Kbmy4dmhNxTAk9Uh-bT1Ysg1Kxn7ts0ZK9I7qhUA7M5H00uZwGujYs0ANYpyfqQHD0mgPsmvnqn0KdTA-8mvnqn0KkUymqnHm0uhPdIjYs0AulpjYs0Au9IjYs0ZGsUZN15H00mywhUA7M5HD0UAuW5H00mLFW5HmdnWRL&amp;ck=3450.2.0.0.0.375.182.0&amp;shh=www.baidu.com&amp;sht=95943715_hao_pg" \t "https://www.baidu.com/_blank" </w:instrText>
      </w:r>
      <w:r>
        <w:fldChar w:fldCharType="separate"/>
      </w:r>
      <w:r>
        <w:rPr>
          <w:rFonts w:ascii="Times New Roman" w:hAnsi="Times New Roman"/>
          <w:b w:val="0"/>
          <w:sz w:val="22"/>
          <w:szCs w:val="21"/>
          <w:lang w:eastAsia="en-US"/>
        </w:rPr>
        <w:t>TESCAN</w:t>
      </w:r>
      <w:r>
        <w:rPr>
          <w:rFonts w:ascii="Times New Roman" w:hAnsi="Times New Roman"/>
          <w:b w:val="0"/>
          <w:sz w:val="22"/>
          <w:szCs w:val="21"/>
          <w:lang w:eastAsia="en-US"/>
        </w:rPr>
        <w:fldChar w:fldCharType="end"/>
      </w:r>
      <w:r>
        <w:rPr>
          <w:rFonts w:ascii="Times New Roman" w:hAnsi="Times New Roman"/>
          <w:b w:val="0"/>
          <w:sz w:val="22"/>
          <w:szCs w:val="21"/>
          <w:lang w:eastAsia="en-US"/>
        </w:rPr>
        <w:t>) was performed. Samples were air-dried prior to imaging and mounted on aluminum stubs using conductive carbon tape. The stubs were then sputter-coated with approximately 10 nm of gold</w:t>
      </w:r>
      <w:r>
        <w:rPr>
          <w:rFonts w:ascii="Times New Roman" w:hAnsi="Times New Roman"/>
          <w:b w:val="0"/>
          <w:sz w:val="22"/>
          <w:szCs w:val="21"/>
        </w:rPr>
        <w:t xml:space="preserve"> </w:t>
      </w:r>
      <w:r>
        <w:rPr>
          <w:rFonts w:ascii="Times New Roman" w:hAnsi="Times New Roman"/>
          <w:b w:val="0"/>
          <w:sz w:val="22"/>
          <w:szCs w:val="21"/>
          <w:lang w:eastAsia="en-US"/>
        </w:rPr>
        <w:t>sputter coater</w:t>
      </w:r>
      <w:r>
        <w:rPr>
          <w:rFonts w:ascii="Times New Roman" w:hAnsi="Times New Roman"/>
          <w:b w:val="0"/>
          <w:sz w:val="22"/>
          <w:szCs w:val="21"/>
        </w:rPr>
        <w:t xml:space="preserve"> (</w:t>
      </w:r>
      <w:r>
        <w:rPr>
          <w:rFonts w:ascii="Times New Roman" w:hAnsi="Times New Roman"/>
          <w:b w:val="0"/>
          <w:sz w:val="22"/>
          <w:szCs w:val="21"/>
          <w:lang w:eastAsia="en-US"/>
        </w:rPr>
        <w:t>SBC-12</w:t>
      </w:r>
      <w:r>
        <w:rPr>
          <w:rFonts w:ascii="Times New Roman" w:hAnsi="Times New Roman"/>
          <w:b w:val="0"/>
          <w:sz w:val="22"/>
          <w:szCs w:val="21"/>
        </w:rPr>
        <w:t>,</w:t>
      </w:r>
      <w:r>
        <w:rPr>
          <w:rFonts w:ascii="Times New Roman" w:hAnsi="Times New Roman"/>
          <w:b w:val="0"/>
          <w:sz w:val="22"/>
          <w:szCs w:val="21"/>
          <w:lang w:eastAsia="en-US"/>
        </w:rPr>
        <w:t>KYKY Technology Co., Ltd</w:t>
      </w:r>
      <w:r>
        <w:rPr>
          <w:rFonts w:ascii="Times New Roman" w:hAnsi="Times New Roman"/>
          <w:b w:val="0"/>
          <w:sz w:val="22"/>
          <w:szCs w:val="21"/>
        </w:rPr>
        <w:t>, Beijing, China)</w:t>
      </w:r>
      <w:r>
        <w:rPr>
          <w:rFonts w:ascii="Times New Roman" w:hAnsi="Times New Roman"/>
          <w:b w:val="0"/>
          <w:sz w:val="22"/>
          <w:szCs w:val="21"/>
          <w:lang w:eastAsia="en-US"/>
        </w:rPr>
        <w:t>. The imaging was performed with a beam accelerating voltage of 10 kV.</w:t>
      </w:r>
    </w:p>
    <w:p>
      <w:pPr>
        <w:spacing w:line="264" w:lineRule="auto"/>
        <w:jc w:val="left"/>
        <w:rPr>
          <w:rFonts w:ascii="Times New Roman" w:hAnsi="Times New Roman"/>
          <w:i/>
          <w:iCs/>
          <w:sz w:val="22"/>
          <w:szCs w:val="22"/>
        </w:rPr>
      </w:pPr>
      <w:r>
        <w:rPr>
          <w:rFonts w:ascii="Times New Roman" w:hAnsi="Times New Roman"/>
          <w:i/>
          <w:iCs/>
          <w:sz w:val="22"/>
          <w:szCs w:val="22"/>
        </w:rPr>
        <w:t>1.</w:t>
      </w:r>
      <w:r>
        <w:rPr>
          <w:rFonts w:hint="eastAsia" w:ascii="Times New Roman" w:hAnsi="Times New Roman"/>
          <w:i/>
          <w:iCs/>
          <w:sz w:val="22"/>
          <w:szCs w:val="22"/>
        </w:rPr>
        <w:t>5</w:t>
      </w:r>
      <w:r>
        <w:rPr>
          <w:rFonts w:ascii="Times New Roman" w:hAnsi="Times New Roman"/>
          <w:i/>
          <w:iCs/>
          <w:sz w:val="22"/>
          <w:szCs w:val="22"/>
        </w:rPr>
        <w:t xml:space="preserve"> </w:t>
      </w:r>
      <w:r>
        <w:rPr>
          <w:rFonts w:hint="eastAsia" w:ascii="Times New Roman" w:hAnsi="Times New Roman"/>
          <w:i/>
          <w:iCs/>
          <w:sz w:val="22"/>
          <w:szCs w:val="22"/>
        </w:rPr>
        <w:t>A</w:t>
      </w:r>
      <w:r>
        <w:rPr>
          <w:rFonts w:ascii="Times New Roman" w:hAnsi="Times New Roman"/>
          <w:i/>
          <w:iCs/>
          <w:sz w:val="22"/>
          <w:szCs w:val="22"/>
        </w:rPr>
        <w:t xml:space="preserve">tomic force microscope </w:t>
      </w:r>
      <w:r>
        <w:rPr>
          <w:rFonts w:hint="eastAsia" w:ascii="Times New Roman" w:hAnsi="Times New Roman"/>
          <w:i/>
          <w:iCs/>
          <w:sz w:val="22"/>
          <w:szCs w:val="22"/>
        </w:rPr>
        <w:t>(AFM)</w:t>
      </w:r>
    </w:p>
    <w:p>
      <w:pPr>
        <w:pStyle w:val="2"/>
        <w:spacing w:after="0" w:line="264" w:lineRule="auto"/>
        <w:ind w:firstLine="440" w:firstLineChars="200"/>
        <w:rPr>
          <w:rFonts w:ascii="Times New Roman" w:hAnsi="Times New Roman" w:eastAsia="宋体" w:cs="宋体"/>
          <w:bCs/>
          <w:kern w:val="0"/>
          <w:sz w:val="22"/>
          <w:szCs w:val="21"/>
          <w:lang w:bidi="ar"/>
        </w:rPr>
      </w:pPr>
      <w:r>
        <w:rPr>
          <w:rFonts w:ascii="Times New Roman" w:hAnsi="Times New Roman" w:eastAsia="宋体" w:cs="宋体"/>
          <w:bCs/>
          <w:kern w:val="0"/>
          <w:sz w:val="22"/>
          <w:szCs w:val="21"/>
          <w:lang w:bidi="ar"/>
        </w:rPr>
        <w:t xml:space="preserve">Three-dimensional morphology characterization </w:t>
      </w:r>
      <w:r>
        <w:rPr>
          <w:rFonts w:hint="eastAsia" w:ascii="Times New Roman" w:hAnsi="Times New Roman" w:eastAsia="宋体" w:cs="宋体"/>
          <w:bCs/>
          <w:kern w:val="0"/>
          <w:sz w:val="22"/>
          <w:szCs w:val="21"/>
          <w:lang w:bidi="ar"/>
        </w:rPr>
        <w:t>of cellulose samples</w:t>
      </w:r>
      <w:r>
        <w:rPr>
          <w:rFonts w:ascii="Times New Roman" w:hAnsi="Times New Roman" w:eastAsia="宋体" w:cs="宋体"/>
          <w:bCs/>
          <w:kern w:val="0"/>
          <w:sz w:val="22"/>
          <w:szCs w:val="21"/>
          <w:lang w:bidi="ar"/>
        </w:rPr>
        <w:t xml:space="preserve"> were conducted by atomic force microscope (AFM, Bruker, Germany). </w:t>
      </w:r>
      <w:r>
        <w:rPr>
          <w:rFonts w:hint="eastAsia" w:ascii="Times New Roman" w:hAnsi="Times New Roman" w:eastAsia="宋体" w:cs="宋体"/>
          <w:bCs/>
          <w:kern w:val="0"/>
          <w:sz w:val="22"/>
          <w:szCs w:val="21"/>
          <w:lang w:bidi="ar"/>
        </w:rPr>
        <w:t xml:space="preserve">The cellulose samples </w:t>
      </w:r>
      <w:r>
        <w:rPr>
          <w:rFonts w:ascii="Times New Roman" w:hAnsi="Times New Roman"/>
          <w:bCs/>
          <w:sz w:val="24"/>
        </w:rPr>
        <w:t>suspensions</w:t>
      </w:r>
      <w:r>
        <w:rPr>
          <w:rFonts w:hint="eastAsia" w:ascii="Times New Roman" w:hAnsi="Times New Roman"/>
          <w:bCs/>
          <w:sz w:val="24"/>
        </w:rPr>
        <w:t xml:space="preserve"> </w:t>
      </w:r>
      <w:r>
        <w:rPr>
          <w:rFonts w:ascii="Times New Roman" w:hAnsi="Times New Roman" w:cs="Times New Roman"/>
          <w:bCs/>
          <w:sz w:val="22"/>
          <w:szCs w:val="22"/>
        </w:rPr>
        <w:t>(</w:t>
      </w:r>
      <w:r>
        <w:rPr>
          <w:rFonts w:ascii="Times New Roman" w:hAnsi="Times New Roman" w:cs="Times New Roman"/>
          <w:kern w:val="0"/>
          <w:sz w:val="22"/>
          <w:szCs w:val="22"/>
        </w:rPr>
        <w:t>concentration</w:t>
      </w:r>
      <w:r>
        <w:rPr>
          <w:rFonts w:ascii="Times New Roman" w:hAnsi="Times New Roman" w:cs="Times New Roman"/>
          <w:bCs/>
          <w:sz w:val="22"/>
          <w:szCs w:val="22"/>
        </w:rPr>
        <w:t xml:space="preserve"> 1wt%)</w:t>
      </w:r>
      <w:r>
        <w:rPr>
          <w:rFonts w:hint="eastAsia" w:ascii="Times New Roman" w:hAnsi="Times New Roman" w:cs="Times New Roman"/>
          <w:bCs/>
          <w:sz w:val="22"/>
          <w:szCs w:val="22"/>
        </w:rPr>
        <w:t xml:space="preserve"> </w:t>
      </w:r>
      <w:r>
        <w:rPr>
          <w:rFonts w:ascii="Times New Roman" w:hAnsi="Times New Roman" w:eastAsia="宋体" w:cs="宋体"/>
          <w:bCs/>
          <w:kern w:val="0"/>
          <w:sz w:val="22"/>
          <w:szCs w:val="21"/>
          <w:lang w:bidi="ar"/>
        </w:rPr>
        <w:t>were ultrasonicated in ethanol solution for 4 h, then dropped on a single-sided polished silicon wafer (10 mm×10 mm), dried in an oven for 1 h, and then taken out. The morphologies of the three fillers were characterized by tapping mode of RTESP-300 (300 kHz, 40 N/m) probe</w:t>
      </w:r>
      <w:r>
        <w:rPr>
          <w:rFonts w:hint="eastAsia" w:ascii="Times New Roman" w:hAnsi="Times New Roman" w:eastAsia="宋体" w:cs="宋体"/>
          <w:bCs/>
          <w:kern w:val="0"/>
          <w:sz w:val="22"/>
          <w:szCs w:val="21"/>
          <w:lang w:bidi="ar"/>
        </w:rPr>
        <w:t>.</w:t>
      </w:r>
    </w:p>
    <w:p>
      <w:pPr>
        <w:pStyle w:val="2"/>
        <w:rPr>
          <w:rFonts w:ascii="Times New Roman" w:hAnsi="Times New Roman"/>
          <w:i/>
          <w:iCs/>
          <w:sz w:val="22"/>
          <w:szCs w:val="22"/>
        </w:rPr>
      </w:pPr>
      <w:r>
        <w:rPr>
          <w:rFonts w:hint="eastAsia" w:ascii="Times New Roman" w:hAnsi="Times New Roman"/>
          <w:i/>
          <w:iCs/>
          <w:sz w:val="22"/>
          <w:szCs w:val="22"/>
        </w:rPr>
        <w:t>1.6 Preparation of cellulose paper</w:t>
      </w:r>
    </w:p>
    <w:p>
      <w:pPr>
        <w:pStyle w:val="2"/>
        <w:ind w:firstLine="440" w:firstLineChars="200"/>
        <w:rPr>
          <w:rFonts w:ascii="Times New Roman" w:hAnsi="Times New Roman" w:cs="Times New Roman"/>
          <w:sz w:val="22"/>
          <w:szCs w:val="22"/>
        </w:rPr>
      </w:pPr>
      <w:r>
        <w:rPr>
          <w:rFonts w:ascii="Times New Roman" w:hAnsi="Times New Roman" w:cs="Times New Roman"/>
          <w:sz w:val="22"/>
          <w:szCs w:val="22"/>
        </w:rPr>
        <w:t xml:space="preserve">The different volumes of the cellulose pulp were adjusted to 20 mL with water and then completely mixed by ultrasonic treatment with a power of 300 W for 5 min. To prevent cellulose loss during the membrane production process, a sintered glass filter with a nanofiltration membrane (D = 4 cm, 0.45 μm PE) and then suctioned under 0.05 MPa vacuum to prepare cellulose composite papers according to </w:t>
      </w:r>
      <w:r>
        <w:rPr>
          <w:rFonts w:hint="eastAsia" w:ascii="Times New Roman" w:hAnsi="Times New Roman" w:cs="Times New Roman"/>
          <w:sz w:val="22"/>
          <w:szCs w:val="22"/>
        </w:rPr>
        <w:t>3</w:t>
      </w:r>
      <w:r>
        <w:rPr>
          <w:rFonts w:ascii="Times New Roman" w:hAnsi="Times New Roman" w:cs="Times New Roman"/>
          <w:sz w:val="22"/>
          <w:szCs w:val="22"/>
        </w:rPr>
        <w:t>0g/m</w:t>
      </w:r>
      <w:r>
        <w:rPr>
          <w:rFonts w:ascii="Times New Roman" w:hAnsi="Times New Roman" w:cs="Times New Roman"/>
          <w:sz w:val="22"/>
          <w:szCs w:val="22"/>
          <w:vertAlign w:val="superscript"/>
        </w:rPr>
        <w:t>2</w:t>
      </w:r>
      <w:r>
        <w:rPr>
          <w:rFonts w:ascii="Times New Roman" w:hAnsi="Times New Roman" w:cs="Times New Roman"/>
          <w:sz w:val="22"/>
          <w:szCs w:val="22"/>
        </w:rPr>
        <w:t>.</w:t>
      </w:r>
    </w:p>
    <w:p>
      <w:pPr>
        <w:pStyle w:val="2"/>
        <w:rPr>
          <w:rFonts w:ascii="Times New Roman" w:hAnsi="Times New Roman"/>
          <w:i/>
          <w:iCs/>
          <w:sz w:val="22"/>
          <w:szCs w:val="22"/>
        </w:rPr>
      </w:pPr>
      <w:r>
        <w:rPr>
          <w:rFonts w:hint="eastAsia" w:ascii="Times New Roman" w:hAnsi="Times New Roman"/>
          <w:i/>
          <w:iCs/>
          <w:sz w:val="22"/>
          <w:szCs w:val="22"/>
        </w:rPr>
        <w:t xml:space="preserve">1.7 Tensile test </w:t>
      </w:r>
    </w:p>
    <w:p>
      <w:pPr>
        <w:pStyle w:val="2"/>
        <w:ind w:firstLine="440" w:firstLineChars="200"/>
        <w:rPr>
          <w:rFonts w:ascii="Times New Roman" w:hAnsi="Times New Roman" w:cs="Times New Roman"/>
          <w:sz w:val="22"/>
          <w:szCs w:val="22"/>
        </w:rPr>
      </w:pPr>
      <w:r>
        <w:rPr>
          <w:rFonts w:ascii="Times New Roman" w:hAnsi="Times New Roman" w:cs="Times New Roman"/>
          <w:sz w:val="22"/>
          <w:szCs w:val="22"/>
        </w:rPr>
        <w:t>Tensile strength of the</w:t>
      </w:r>
      <w:r>
        <w:rPr>
          <w:rFonts w:hint="eastAsia" w:ascii="Times New Roman" w:hAnsi="Times New Roman" w:cs="Times New Roman"/>
          <w:sz w:val="22"/>
          <w:szCs w:val="22"/>
        </w:rPr>
        <w:t xml:space="preserve"> cellulose</w:t>
      </w:r>
      <w:r>
        <w:rPr>
          <w:rFonts w:ascii="Times New Roman" w:hAnsi="Times New Roman" w:cs="Times New Roman"/>
          <w:sz w:val="22"/>
          <w:szCs w:val="22"/>
        </w:rPr>
        <w:t xml:space="preserve"> </w:t>
      </w:r>
      <w:r>
        <w:rPr>
          <w:rFonts w:hint="eastAsia" w:ascii="Times New Roman" w:hAnsi="Times New Roman" w:cs="Times New Roman"/>
          <w:sz w:val="22"/>
          <w:szCs w:val="22"/>
        </w:rPr>
        <w:t xml:space="preserve">paper </w:t>
      </w:r>
      <w:r>
        <w:rPr>
          <w:rFonts w:ascii="Times New Roman" w:hAnsi="Times New Roman" w:cs="Times New Roman"/>
          <w:sz w:val="22"/>
          <w:szCs w:val="22"/>
        </w:rPr>
        <w:t xml:space="preserve">was examined by an </w:t>
      </w:r>
      <w:r>
        <w:rPr>
          <w:rFonts w:hint="eastAsia" w:ascii="Times New Roman" w:hAnsi="Times New Roman" w:cs="Times New Roman"/>
          <w:sz w:val="22"/>
          <w:szCs w:val="22"/>
        </w:rPr>
        <w:t>(</w:t>
      </w:r>
      <w:r>
        <w:rPr>
          <w:rFonts w:ascii="Times New Roman" w:hAnsi="Times New Roman" w:cs="Times New Roman"/>
          <w:sz w:val="22"/>
          <w:szCs w:val="22"/>
        </w:rPr>
        <w:t>C24.104</w:t>
      </w:r>
      <w:r>
        <w:rPr>
          <w:rFonts w:hint="eastAsia" w:ascii="Times New Roman" w:hAnsi="Times New Roman" w:cs="Times New Roman"/>
          <w:sz w:val="22"/>
          <w:szCs w:val="22"/>
        </w:rPr>
        <w:t xml:space="preserve">, Xinsansi </w:t>
      </w:r>
      <w:r>
        <w:rPr>
          <w:rFonts w:ascii="Times New Roman" w:hAnsi="Times New Roman"/>
          <w:sz w:val="22"/>
          <w:szCs w:val="21"/>
          <w:lang w:eastAsia="en-US"/>
        </w:rPr>
        <w:t>Co., Ltd</w:t>
      </w:r>
      <w:r>
        <w:rPr>
          <w:rFonts w:ascii="Times New Roman" w:hAnsi="Times New Roman"/>
          <w:sz w:val="22"/>
          <w:szCs w:val="21"/>
        </w:rPr>
        <w:t>,</w:t>
      </w:r>
      <w:r>
        <w:rPr>
          <w:rFonts w:hint="eastAsia" w:ascii="Times New Roman" w:hAnsi="Times New Roman"/>
          <w:sz w:val="22"/>
          <w:szCs w:val="21"/>
        </w:rPr>
        <w:t xml:space="preserve"> Shanghai, China</w:t>
      </w:r>
      <w:r>
        <w:rPr>
          <w:rFonts w:hint="eastAsia" w:ascii="Times New Roman" w:hAnsi="Times New Roman" w:cs="Times New Roman"/>
          <w:sz w:val="22"/>
          <w:szCs w:val="22"/>
        </w:rPr>
        <w:t xml:space="preserve">) </w:t>
      </w:r>
      <w:r>
        <w:rPr>
          <w:rFonts w:ascii="Times New Roman" w:hAnsi="Times New Roman" w:cs="Times New Roman"/>
          <w:sz w:val="22"/>
          <w:szCs w:val="22"/>
        </w:rPr>
        <w:t>testing machine following the TAPPI standard method (TAPPI T497). The tensile test experiment was carried out under a temperature of 25 °C with a relative humidity (RH) of 50 %. The initial distance between the two clamps was set to 20 mm and the cross</w:t>
      </w:r>
      <w:r>
        <w:rPr>
          <w:rFonts w:hint="eastAsia" w:ascii="Times New Roman" w:hAnsi="Times New Roman" w:cs="Times New Roman"/>
          <w:sz w:val="22"/>
          <w:szCs w:val="22"/>
        </w:rPr>
        <w:t xml:space="preserve"> </w:t>
      </w:r>
      <w:r>
        <w:rPr>
          <w:rFonts w:ascii="Times New Roman" w:hAnsi="Times New Roman" w:cs="Times New Roman"/>
          <w:sz w:val="22"/>
          <w:szCs w:val="22"/>
        </w:rPr>
        <w:t xml:space="preserve">head speed was maintained at 5 mm/min. The </w:t>
      </w:r>
      <w:r>
        <w:rPr>
          <w:rFonts w:hint="eastAsia" w:ascii="Times New Roman" w:hAnsi="Times New Roman" w:cs="Times New Roman"/>
          <w:sz w:val="22"/>
          <w:szCs w:val="22"/>
        </w:rPr>
        <w:t>cellulose</w:t>
      </w:r>
      <w:r>
        <w:rPr>
          <w:rFonts w:ascii="Times New Roman" w:hAnsi="Times New Roman" w:cs="Times New Roman"/>
          <w:sz w:val="22"/>
          <w:szCs w:val="22"/>
        </w:rPr>
        <w:t xml:space="preserve"> </w:t>
      </w:r>
      <w:r>
        <w:rPr>
          <w:rFonts w:hint="eastAsia" w:ascii="Times New Roman" w:hAnsi="Times New Roman" w:cs="Times New Roman"/>
          <w:sz w:val="22"/>
          <w:szCs w:val="22"/>
        </w:rPr>
        <w:t xml:space="preserve">paper </w:t>
      </w:r>
      <w:r>
        <w:rPr>
          <w:rFonts w:ascii="Times New Roman" w:hAnsi="Times New Roman" w:cs="Times New Roman"/>
          <w:sz w:val="22"/>
          <w:szCs w:val="22"/>
        </w:rPr>
        <w:t xml:space="preserve">were cut into 1 cm × 5 cm segments. Before testing, the </w:t>
      </w:r>
      <w:r>
        <w:rPr>
          <w:rFonts w:hint="eastAsia" w:ascii="Times New Roman" w:hAnsi="Times New Roman" w:cs="Times New Roman"/>
          <w:sz w:val="22"/>
          <w:szCs w:val="22"/>
        </w:rPr>
        <w:t>paper</w:t>
      </w:r>
      <w:r>
        <w:rPr>
          <w:rFonts w:ascii="Times New Roman" w:hAnsi="Times New Roman" w:cs="Times New Roman"/>
          <w:sz w:val="22"/>
          <w:szCs w:val="22"/>
        </w:rPr>
        <w:t xml:space="preserve"> were placed at the conditions of 50 % RH and 25 °C for 24 h. Five measurements were made for each CNP sample and the data averaged to obtain a mean value</w:t>
      </w:r>
      <w:r>
        <w:rPr>
          <w:rFonts w:hint="eastAsia" w:ascii="Times New Roman" w:hAnsi="Times New Roman" w:cs="Times New Roman"/>
          <w:sz w:val="22"/>
          <w:szCs w:val="22"/>
        </w:rPr>
        <w:t>.</w:t>
      </w:r>
    </w:p>
    <w:p>
      <w:pPr>
        <w:pStyle w:val="2"/>
        <w:rPr>
          <w:rFonts w:ascii="Times New Roman" w:hAnsi="Times New Roman"/>
          <w:i/>
          <w:iCs/>
          <w:sz w:val="22"/>
          <w:szCs w:val="22"/>
        </w:rPr>
      </w:pPr>
      <w:r>
        <w:rPr>
          <w:rFonts w:hint="eastAsia" w:ascii="Times New Roman" w:hAnsi="Times New Roman"/>
          <w:i/>
          <w:iCs/>
          <w:sz w:val="22"/>
          <w:szCs w:val="22"/>
        </w:rPr>
        <w:t xml:space="preserve">1.8 </w:t>
      </w:r>
      <w:r>
        <w:rPr>
          <w:rFonts w:ascii="Times New Roman" w:hAnsi="Times New Roman"/>
          <w:i/>
          <w:iCs/>
          <w:sz w:val="22"/>
          <w:szCs w:val="22"/>
        </w:rPr>
        <w:t xml:space="preserve">Vertical light transmittance of the cellulose samples paper </w:t>
      </w:r>
      <w:r>
        <w:rPr>
          <w:rFonts w:hint="eastAsia" w:ascii="Times New Roman" w:hAnsi="Times New Roman"/>
          <w:i/>
          <w:iCs/>
          <w:sz w:val="22"/>
          <w:szCs w:val="22"/>
        </w:rPr>
        <w:t xml:space="preserve"> </w:t>
      </w:r>
    </w:p>
    <w:p>
      <w:pPr>
        <w:widowControl/>
        <w:ind w:firstLine="440" w:firstLineChars="200"/>
        <w:rPr>
          <w:rFonts w:ascii="Times New Roman" w:hAnsi="Times New Roman" w:cs="Times New Roman"/>
          <w:sz w:val="22"/>
          <w:szCs w:val="22"/>
        </w:rPr>
      </w:pPr>
      <w:r>
        <w:rPr>
          <w:rFonts w:ascii="Times New Roman" w:hAnsi="Times New Roman" w:cs="Times New Roman"/>
          <w:sz w:val="22"/>
          <w:szCs w:val="22"/>
        </w:rPr>
        <w:t xml:space="preserve">The vertical light transmittance of the </w:t>
      </w:r>
      <w:r>
        <w:rPr>
          <w:rFonts w:hint="eastAsia" w:ascii="Times New Roman" w:hAnsi="Times New Roman" w:cs="Times New Roman"/>
          <w:sz w:val="22"/>
          <w:szCs w:val="22"/>
        </w:rPr>
        <w:t xml:space="preserve">cellulose </w:t>
      </w:r>
      <w:r>
        <w:rPr>
          <w:rFonts w:ascii="Times New Roman" w:hAnsi="Times New Roman" w:cs="Times New Roman"/>
          <w:sz w:val="22"/>
          <w:szCs w:val="22"/>
        </w:rPr>
        <w:t xml:space="preserve">films are analyzed by a UV/Vis spectroscopic instrument (UV8453, Agilent, USA). In detail, the clean and smooth composite film was placed vertically in the middle of the light path. Then, Irradiated the film by the light at the wavelength range of </w:t>
      </w:r>
      <w:r>
        <w:rPr>
          <w:rFonts w:hint="eastAsia" w:ascii="Times New Roman" w:hAnsi="Times New Roman" w:cs="Times New Roman"/>
          <w:sz w:val="22"/>
          <w:szCs w:val="22"/>
        </w:rPr>
        <w:t>4</w:t>
      </w:r>
      <w:r>
        <w:rPr>
          <w:rFonts w:ascii="Times New Roman" w:hAnsi="Times New Roman" w:cs="Times New Roman"/>
          <w:sz w:val="22"/>
          <w:szCs w:val="22"/>
        </w:rPr>
        <w:t>00</w:t>
      </w:r>
      <w:r>
        <w:rPr>
          <w:rFonts w:hint="eastAsia" w:ascii="Times New Roman" w:hAnsi="Times New Roman" w:cs="Times New Roman"/>
          <w:sz w:val="22"/>
          <w:szCs w:val="22"/>
        </w:rPr>
        <w:t>-9</w:t>
      </w:r>
      <w:r>
        <w:rPr>
          <w:rFonts w:ascii="Times New Roman" w:hAnsi="Times New Roman" w:cs="Times New Roman"/>
          <w:sz w:val="22"/>
          <w:szCs w:val="22"/>
        </w:rPr>
        <w:t>00 nm and recorded the decrement signature of vertical light transmitted intensity (i.e., absorbance).</w:t>
      </w:r>
    </w:p>
    <w:p>
      <w:pPr>
        <w:pStyle w:val="2"/>
      </w:pPr>
    </w:p>
    <w:p>
      <w:pPr>
        <w:pStyle w:val="2"/>
        <w:numPr>
          <w:ilvl w:val="0"/>
          <w:numId w:val="2"/>
        </w:numPr>
        <w:rPr>
          <w:rFonts w:ascii="Times New Roman" w:hAnsi="Times New Roman" w:eastAsia="楷体" w:cs="Times New Roman"/>
          <w:b/>
          <w:bCs/>
          <w:sz w:val="24"/>
          <w:szCs w:val="32"/>
        </w:rPr>
      </w:pPr>
      <w:r>
        <w:rPr>
          <w:rFonts w:ascii="Times New Roman" w:hAnsi="Times New Roman" w:eastAsia="楷体" w:cs="Times New Roman"/>
          <w:b/>
          <w:bCs/>
          <w:sz w:val="24"/>
          <w:szCs w:val="32"/>
        </w:rPr>
        <w:t>Figure and Table captures.</w:t>
      </w:r>
    </w:p>
    <w:p>
      <w:pPr>
        <w:pStyle w:val="2"/>
        <w:jc w:val="center"/>
      </w:pPr>
      <w:r>
        <w:drawing>
          <wp:inline distT="0" distB="0" distL="114300" distR="114300">
            <wp:extent cx="3375660" cy="2834640"/>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3375660" cy="2834640"/>
                    </a:xfrm>
                    <a:prstGeom prst="rect">
                      <a:avLst/>
                    </a:prstGeom>
                    <a:noFill/>
                    <a:ln>
                      <a:noFill/>
                    </a:ln>
                  </pic:spPr>
                </pic:pic>
              </a:graphicData>
            </a:graphic>
          </wp:inline>
        </w:drawing>
      </w:r>
    </w:p>
    <w:p>
      <w:pPr>
        <w:pStyle w:val="2"/>
        <w:ind w:firstLine="440" w:firstLineChars="200"/>
        <w:jc w:val="center"/>
        <w:rPr>
          <w:rFonts w:ascii="Times New Roman" w:hAnsi="Times New Roman" w:cs="Times New Roman"/>
          <w:sz w:val="22"/>
          <w:szCs w:val="22"/>
        </w:rPr>
      </w:pPr>
      <w:r>
        <w:rPr>
          <w:rFonts w:hint="eastAsia" w:ascii="Times New Roman" w:hAnsi="Times New Roman" w:cs="Times New Roman"/>
          <w:sz w:val="22"/>
          <w:szCs w:val="22"/>
        </w:rPr>
        <w:t>Fig.S1 the SEM images of the 3# cellulose samples</w:t>
      </w:r>
    </w:p>
    <w:p>
      <w:pPr>
        <w:pStyle w:val="2"/>
        <w:ind w:firstLine="440" w:firstLineChars="200"/>
        <w:jc w:val="center"/>
        <w:rPr>
          <w:rFonts w:ascii="Times New Roman" w:hAnsi="Times New Roman" w:cs="Times New Roman"/>
          <w:sz w:val="22"/>
          <w:szCs w:val="22"/>
        </w:rPr>
      </w:pPr>
      <w:r>
        <w:rPr>
          <w:rFonts w:hint="eastAsia" w:ascii="Times New Roman" w:hAnsi="Times New Roman" w:cs="Times New Roman"/>
          <w:sz w:val="22"/>
          <w:szCs w:val="22"/>
        </w:rPr>
        <w:drawing>
          <wp:inline distT="0" distB="0" distL="114300" distR="114300">
            <wp:extent cx="3535680" cy="247650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535680" cy="2476500"/>
                    </a:xfrm>
                    <a:prstGeom prst="rect">
                      <a:avLst/>
                    </a:prstGeom>
                    <a:noFill/>
                    <a:ln>
                      <a:noFill/>
                    </a:ln>
                  </pic:spPr>
                </pic:pic>
              </a:graphicData>
            </a:graphic>
          </wp:inline>
        </w:drawing>
      </w:r>
    </w:p>
    <w:p>
      <w:pPr>
        <w:pStyle w:val="2"/>
        <w:ind w:firstLine="440" w:firstLineChars="200"/>
        <w:jc w:val="center"/>
        <w:rPr>
          <w:rFonts w:ascii="Times New Roman" w:hAnsi="Times New Roman" w:cs="Times New Roman"/>
          <w:sz w:val="22"/>
          <w:szCs w:val="22"/>
        </w:rPr>
      </w:pPr>
      <w:r>
        <w:rPr>
          <w:rFonts w:hint="eastAsia" w:ascii="Times New Roman" w:hAnsi="Times New Roman" w:cs="Times New Roman"/>
          <w:sz w:val="22"/>
          <w:szCs w:val="22"/>
        </w:rPr>
        <w:t>Fig. S2 the photograph of the pulp cellulose samples</w:t>
      </w:r>
    </w:p>
    <w:p>
      <w:pPr>
        <w:pStyle w:val="2"/>
        <w:numPr>
          <w:ilvl w:val="0"/>
          <w:numId w:val="2"/>
        </w:numPr>
        <w:rPr>
          <w:rFonts w:ascii="Times New Roman" w:hAnsi="Times New Roman" w:eastAsia="楷体" w:cs="Times New Roman"/>
          <w:b/>
          <w:bCs/>
          <w:sz w:val="24"/>
          <w:szCs w:val="32"/>
        </w:rPr>
      </w:pPr>
      <w:r>
        <w:rPr>
          <w:rFonts w:ascii="Times New Roman" w:hAnsi="Times New Roman" w:eastAsia="楷体" w:cs="Times New Roman"/>
          <w:b/>
          <w:bCs/>
          <w:sz w:val="24"/>
          <w:szCs w:val="32"/>
        </w:rPr>
        <w:t>Cost estimate of preparation micro/nano cellulose</w:t>
      </w:r>
    </w:p>
    <w:p>
      <w:pPr>
        <w:rPr>
          <w:rFonts w:ascii="Times New Roman" w:hAnsi="Times New Roman" w:cs="Times New Roman"/>
          <w:sz w:val="22"/>
          <w:szCs w:val="22"/>
        </w:rPr>
      </w:pPr>
      <w:r>
        <w:rPr>
          <w:rFonts w:hint="cs" w:ascii="Times New Roman" w:hAnsi="Times New Roman" w:cs="Times New Roman"/>
          <w:sz w:val="22"/>
          <w:szCs w:val="22"/>
        </w:rPr>
        <w:t>T</w:t>
      </w:r>
      <w:r>
        <w:rPr>
          <w:rFonts w:hint="eastAsia" w:ascii="Times New Roman" w:hAnsi="Times New Roman" w:cs="Times New Roman"/>
          <w:sz w:val="22"/>
          <w:szCs w:val="22"/>
        </w:rPr>
        <w:t>ab</w:t>
      </w:r>
      <w:r>
        <w:rPr>
          <w:rFonts w:ascii="Times New Roman" w:hAnsi="Times New Roman" w:cs="Times New Roman"/>
          <w:sz w:val="22"/>
          <w:szCs w:val="22"/>
        </w:rPr>
        <w:t>le S1. Theoretical calculation of energy consumption and cost during mild alkaline pretreatment and micro-nano bubbles process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74"/>
        <w:gridCol w:w="2074"/>
        <w:gridCol w:w="2074"/>
        <w:gridCol w:w="2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4" w:type="dxa"/>
            <w:tcBorders>
              <w:top w:val="single" w:color="auto" w:sz="12" w:space="0"/>
              <w:bottom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P</w:t>
            </w:r>
            <w:r>
              <w:rPr>
                <w:rFonts w:ascii="Times New Roman" w:hAnsi="Times New Roman" w:cs="Times New Roman"/>
                <w:sz w:val="22"/>
                <w:szCs w:val="22"/>
              </w:rPr>
              <w:t>rocessing section</w:t>
            </w:r>
          </w:p>
        </w:tc>
        <w:tc>
          <w:tcPr>
            <w:tcW w:w="2074" w:type="dxa"/>
            <w:tcBorders>
              <w:top w:val="single" w:color="auto" w:sz="12" w:space="0"/>
              <w:bottom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E</w:t>
            </w:r>
            <w:r>
              <w:rPr>
                <w:rFonts w:ascii="Times New Roman" w:hAnsi="Times New Roman" w:cs="Times New Roman"/>
                <w:sz w:val="22"/>
                <w:szCs w:val="22"/>
              </w:rPr>
              <w:t xml:space="preserve">nergy consumption (MJ/kg CNFs) </w:t>
            </w:r>
            <w:r>
              <w:rPr>
                <w:rFonts w:ascii="Times New Roman" w:hAnsi="Times New Roman" w:cs="Times New Roman"/>
                <w:sz w:val="22"/>
                <w:szCs w:val="22"/>
                <w:vertAlign w:val="superscript"/>
              </w:rPr>
              <w:t>c</w:t>
            </w:r>
          </w:p>
        </w:tc>
        <w:tc>
          <w:tcPr>
            <w:tcW w:w="2074" w:type="dxa"/>
            <w:tcBorders>
              <w:top w:val="single" w:color="auto" w:sz="12" w:space="0"/>
              <w:bottom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C</w:t>
            </w:r>
            <w:r>
              <w:rPr>
                <w:rFonts w:ascii="Times New Roman" w:hAnsi="Times New Roman" w:cs="Times New Roman"/>
                <w:sz w:val="22"/>
                <w:szCs w:val="22"/>
              </w:rPr>
              <w:t>hemical reagent (kg</w:t>
            </w:r>
            <w:r>
              <w:rPr>
                <w:rFonts w:hint="eastAsia" w:ascii="Times New Roman" w:hAnsi="Times New Roman" w:cs="Times New Roman"/>
                <w:sz w:val="22"/>
                <w:szCs w:val="22"/>
              </w:rPr>
              <w:t>)</w:t>
            </w:r>
          </w:p>
        </w:tc>
        <w:tc>
          <w:tcPr>
            <w:tcW w:w="2074" w:type="dxa"/>
            <w:tcBorders>
              <w:top w:val="single" w:color="auto" w:sz="12" w:space="0"/>
              <w:bottom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Cost</w:t>
            </w:r>
            <w:r>
              <w:rPr>
                <w:rFonts w:ascii="Times New Roman" w:hAnsi="Times New Roman" w:cs="Times New Roman"/>
                <w:sz w:val="22"/>
                <w:szCs w:val="22"/>
              </w:rPr>
              <w:t xml:space="preserve"> (USD/kg CNFs)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4" w:type="dxa"/>
            <w:tcBorders>
              <w:top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A</w:t>
            </w:r>
            <w:r>
              <w:rPr>
                <w:rFonts w:ascii="Times New Roman" w:hAnsi="Times New Roman" w:cs="Times New Roman"/>
                <w:sz w:val="22"/>
                <w:szCs w:val="22"/>
              </w:rPr>
              <w:t xml:space="preserve">lkali-pretreatment </w:t>
            </w:r>
            <w:r>
              <w:rPr>
                <w:rFonts w:ascii="Times New Roman" w:hAnsi="Times New Roman" w:cs="Times New Roman"/>
                <w:sz w:val="22"/>
                <w:szCs w:val="22"/>
                <w:vertAlign w:val="superscript"/>
              </w:rPr>
              <w:t>a</w:t>
            </w:r>
          </w:p>
        </w:tc>
        <w:tc>
          <w:tcPr>
            <w:tcW w:w="2074" w:type="dxa"/>
            <w:tcBorders>
              <w:top w:val="single" w:color="auto" w:sz="8" w:space="0"/>
            </w:tcBorders>
            <w:vAlign w:val="center"/>
          </w:tcPr>
          <w:p>
            <w:pPr>
              <w:jc w:val="center"/>
              <w:rPr>
                <w:rFonts w:ascii="Times New Roman" w:hAnsi="Times New Roman" w:cs="Times New Roman"/>
                <w:sz w:val="22"/>
                <w:szCs w:val="22"/>
              </w:rPr>
            </w:pPr>
            <w:r>
              <w:rPr>
                <w:rFonts w:ascii="Times New Roman" w:hAnsi="Times New Roman" w:cs="Times New Roman"/>
                <w:sz w:val="22"/>
                <w:szCs w:val="22"/>
              </w:rPr>
              <w:t>0.1</w:t>
            </w:r>
            <w:r>
              <w:rPr>
                <w:rFonts w:hint="eastAsia" w:ascii="Times New Roman" w:hAnsi="Times New Roman" w:cs="Times New Roman"/>
                <w:sz w:val="22"/>
                <w:szCs w:val="22"/>
              </w:rPr>
              <w:t>1</w:t>
            </w:r>
          </w:p>
        </w:tc>
        <w:tc>
          <w:tcPr>
            <w:tcW w:w="2074" w:type="dxa"/>
            <w:tcBorders>
              <w:top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0</w:t>
            </w:r>
            <w:r>
              <w:rPr>
                <w:rFonts w:ascii="Times New Roman" w:hAnsi="Times New Roman" w:cs="Times New Roman"/>
                <w:sz w:val="22"/>
                <w:szCs w:val="22"/>
              </w:rPr>
              <w:t>.0005</w:t>
            </w:r>
          </w:p>
        </w:tc>
        <w:tc>
          <w:tcPr>
            <w:tcW w:w="2074" w:type="dxa"/>
            <w:tcBorders>
              <w:top w:val="single" w:color="auto" w:sz="8"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0</w:t>
            </w:r>
            <w:r>
              <w:rPr>
                <w:rFonts w:ascii="Times New Roman" w:hAnsi="Times New Roman" w:cs="Times New Roman"/>
                <w:sz w:val="22"/>
                <w:szCs w:val="22"/>
              </w:rPr>
              <w:t>.008</w:t>
            </w:r>
            <w:r>
              <w:rPr>
                <w:rFonts w:hint="eastAsia" w:ascii="Times New Roman" w:hAnsi="Times New Roman" w:cs="Times New Roman"/>
                <w:sz w:val="22"/>
                <w:szCs w:val="22"/>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4" w:type="dxa"/>
            <w:tcBorders>
              <w:bottom w:val="single" w:color="auto" w:sz="12"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M</w:t>
            </w:r>
            <w:r>
              <w:rPr>
                <w:rFonts w:ascii="Times New Roman" w:hAnsi="Times New Roman" w:cs="Times New Roman"/>
                <w:sz w:val="22"/>
                <w:szCs w:val="22"/>
              </w:rPr>
              <w:t xml:space="preserve">NB treatment </w:t>
            </w:r>
            <w:r>
              <w:rPr>
                <w:rFonts w:ascii="Times New Roman" w:hAnsi="Times New Roman" w:cs="Times New Roman"/>
                <w:sz w:val="22"/>
                <w:szCs w:val="22"/>
                <w:vertAlign w:val="superscript"/>
              </w:rPr>
              <w:t>b</w:t>
            </w:r>
          </w:p>
        </w:tc>
        <w:tc>
          <w:tcPr>
            <w:tcW w:w="2074" w:type="dxa"/>
            <w:tcBorders>
              <w:bottom w:val="single" w:color="auto" w:sz="12" w:space="0"/>
            </w:tcBorders>
            <w:vAlign w:val="center"/>
          </w:tcPr>
          <w:p>
            <w:pPr>
              <w:jc w:val="center"/>
              <w:rPr>
                <w:rFonts w:ascii="Times New Roman" w:hAnsi="Times New Roman" w:cs="Times New Roman"/>
                <w:sz w:val="22"/>
                <w:szCs w:val="22"/>
              </w:rPr>
            </w:pPr>
            <w:r>
              <w:rPr>
                <w:rFonts w:ascii="Times New Roman" w:hAnsi="Times New Roman" w:cs="Times New Roman"/>
                <w:sz w:val="22"/>
                <w:szCs w:val="22"/>
              </w:rPr>
              <w:t>1.38</w:t>
            </w:r>
          </w:p>
        </w:tc>
        <w:tc>
          <w:tcPr>
            <w:tcW w:w="2074" w:type="dxa"/>
            <w:tcBorders>
              <w:bottom w:val="single" w:color="auto" w:sz="12" w:space="0"/>
            </w:tcBorders>
            <w:vAlign w:val="center"/>
          </w:tcPr>
          <w:p>
            <w:pPr>
              <w:jc w:val="center"/>
              <w:rPr>
                <w:rFonts w:ascii="Times New Roman" w:hAnsi="Times New Roman" w:cs="Times New Roman"/>
                <w:sz w:val="22"/>
                <w:szCs w:val="22"/>
              </w:rPr>
            </w:pPr>
            <w:r>
              <w:rPr>
                <w:rFonts w:ascii="Times New Roman" w:hAnsi="Times New Roman" w:cs="Times New Roman"/>
                <w:sz w:val="22"/>
                <w:szCs w:val="22"/>
              </w:rPr>
              <w:t>0.0069</w:t>
            </w:r>
            <w:r>
              <w:rPr>
                <w:rFonts w:ascii="Times New Roman" w:hAnsi="Times New Roman" w:cs="Times New Roman"/>
                <w:sz w:val="22"/>
                <w:szCs w:val="22"/>
                <w:vertAlign w:val="superscript"/>
              </w:rPr>
              <w:t>d</w:t>
            </w:r>
          </w:p>
        </w:tc>
        <w:tc>
          <w:tcPr>
            <w:tcW w:w="2074" w:type="dxa"/>
            <w:tcBorders>
              <w:bottom w:val="single" w:color="auto" w:sz="12" w:space="0"/>
            </w:tcBorders>
            <w:vAlign w:val="center"/>
          </w:tcPr>
          <w:p>
            <w:pPr>
              <w:jc w:val="center"/>
              <w:rPr>
                <w:rFonts w:ascii="Times New Roman" w:hAnsi="Times New Roman" w:cs="Times New Roman"/>
                <w:sz w:val="22"/>
                <w:szCs w:val="22"/>
              </w:rPr>
            </w:pPr>
            <w:r>
              <w:rPr>
                <w:rFonts w:hint="eastAsia" w:ascii="Times New Roman" w:hAnsi="Times New Roman" w:cs="Times New Roman"/>
                <w:sz w:val="22"/>
                <w:szCs w:val="22"/>
              </w:rPr>
              <w:t>0</w:t>
            </w:r>
            <w:r>
              <w:rPr>
                <w:rFonts w:ascii="Times New Roman" w:hAnsi="Times New Roman" w:cs="Times New Roman"/>
                <w:sz w:val="22"/>
                <w:szCs w:val="22"/>
              </w:rPr>
              <w:t>.043</w:t>
            </w:r>
          </w:p>
        </w:tc>
      </w:tr>
    </w:tbl>
    <w:p>
      <w:pPr>
        <w:rPr>
          <w:rFonts w:ascii="Times New Roman" w:hAnsi="Times New Roman" w:eastAsia="宋体" w:cs="Times New Roman"/>
          <w:bCs/>
          <w:kern w:val="0"/>
          <w:sz w:val="22"/>
          <w:szCs w:val="22"/>
        </w:rPr>
      </w:pPr>
      <w:r>
        <w:rPr>
          <w:rFonts w:ascii="Times New Roman" w:hAnsi="Times New Roman" w:eastAsia="宋体" w:cs="Times New Roman"/>
          <w:bCs/>
          <w:kern w:val="0"/>
          <w:sz w:val="22"/>
          <w:szCs w:val="22"/>
          <w:vertAlign w:val="superscript"/>
        </w:rPr>
        <w:t>a</w:t>
      </w:r>
      <w:r>
        <w:rPr>
          <w:rFonts w:ascii="Times New Roman" w:hAnsi="Times New Roman" w:eastAsia="宋体" w:cs="Times New Roman"/>
          <w:bCs/>
          <w:kern w:val="0"/>
          <w:sz w:val="22"/>
          <w:szCs w:val="22"/>
        </w:rPr>
        <w:t xml:space="preserve"> The energy consumption was calculated on the basis of 1kg bagasse, under the reaction condition at</w:t>
      </w:r>
      <w:r>
        <w:rPr>
          <w:rFonts w:ascii="Times New Roman" w:hAnsi="Times New Roman" w:cs="Times New Roman"/>
          <w:sz w:val="22"/>
          <w:szCs w:val="22"/>
        </w:rPr>
        <w:t xml:space="preserve"> </w:t>
      </w:r>
      <w:r>
        <w:rPr>
          <w:rFonts w:ascii="Times New Roman" w:hAnsi="Times New Roman" w:eastAsia="宋体" w:cs="Times New Roman"/>
          <w:bCs/>
          <w:kern w:val="0"/>
          <w:sz w:val="22"/>
          <w:szCs w:val="22"/>
        </w:rPr>
        <w:t>110 ºC, 1h 10%wt alkali concentration</w:t>
      </w:r>
    </w:p>
    <w:p>
      <w:pPr>
        <w:rPr>
          <w:rFonts w:ascii="Times New Roman" w:hAnsi="Times New Roman" w:eastAsia="宋体" w:cs="Times New Roman"/>
          <w:bCs/>
          <w:kern w:val="0"/>
          <w:sz w:val="22"/>
          <w:szCs w:val="22"/>
        </w:rPr>
      </w:pPr>
      <w:r>
        <w:rPr>
          <w:rFonts w:ascii="Times New Roman" w:hAnsi="Times New Roman" w:cs="Times New Roman"/>
          <w:sz w:val="22"/>
          <w:szCs w:val="22"/>
          <w:vertAlign w:val="superscript"/>
        </w:rPr>
        <w:t xml:space="preserve">b </w:t>
      </w:r>
      <w:r>
        <w:rPr>
          <w:rFonts w:ascii="Times New Roman" w:hAnsi="Times New Roman" w:eastAsia="宋体" w:cs="Times New Roman"/>
          <w:bCs/>
          <w:kern w:val="0"/>
          <w:sz w:val="22"/>
          <w:szCs w:val="22"/>
        </w:rPr>
        <w:t>The energy consumption was calculated on the basis of 73%CNFs, under the reaction condition at</w:t>
      </w:r>
      <w:r>
        <w:rPr>
          <w:rFonts w:ascii="Times New Roman" w:hAnsi="Times New Roman" w:cs="Times New Roman"/>
          <w:sz w:val="22"/>
          <w:szCs w:val="22"/>
        </w:rPr>
        <w:t xml:space="preserve"> </w:t>
      </w:r>
      <w:r>
        <w:rPr>
          <w:rFonts w:ascii="Times New Roman" w:hAnsi="Times New Roman" w:eastAsia="宋体" w:cs="Times New Roman"/>
          <w:bCs/>
          <w:kern w:val="0"/>
          <w:sz w:val="22"/>
          <w:szCs w:val="22"/>
        </w:rPr>
        <w:t>4h MNB treatment</w:t>
      </w:r>
    </w:p>
    <w:p>
      <w:pPr>
        <w:rPr>
          <w:rFonts w:ascii="Times New Roman" w:hAnsi="Times New Roman" w:eastAsia="宋体" w:cs="Times New Roman"/>
          <w:bCs/>
          <w:kern w:val="0"/>
          <w:sz w:val="22"/>
          <w:szCs w:val="22"/>
        </w:rPr>
      </w:pPr>
      <w:r>
        <w:rPr>
          <w:rFonts w:ascii="Times New Roman" w:hAnsi="Times New Roman" w:eastAsia="宋体" w:cs="Times New Roman"/>
          <w:bCs/>
          <w:kern w:val="0"/>
          <w:sz w:val="22"/>
          <w:szCs w:val="22"/>
          <w:vertAlign w:val="superscript"/>
        </w:rPr>
        <w:t>c</w:t>
      </w:r>
      <w:r>
        <w:rPr>
          <w:rFonts w:ascii="Times New Roman" w:hAnsi="Times New Roman" w:eastAsia="宋体" w:cs="Times New Roman"/>
          <w:bCs/>
          <w:kern w:val="0"/>
          <w:sz w:val="22"/>
          <w:szCs w:val="22"/>
        </w:rPr>
        <w:t xml:space="preserve"> Energy consumption was calculated by the maximum power of mechanical, oil bath pot power is 30W；MNB power is 96W；for commercial power cost 0.154USD/kWh.</w:t>
      </w:r>
    </w:p>
    <w:p>
      <w:pPr>
        <w:rPr>
          <w:rFonts w:ascii="Times New Roman" w:hAnsi="Times New Roman" w:eastAsia="宋体" w:cs="Times New Roman"/>
          <w:bCs/>
          <w:kern w:val="0"/>
          <w:sz w:val="22"/>
          <w:szCs w:val="22"/>
        </w:rPr>
      </w:pPr>
      <w:r>
        <w:rPr>
          <w:rFonts w:ascii="Times New Roman" w:hAnsi="Times New Roman" w:eastAsia="宋体" w:cs="Times New Roman"/>
          <w:bCs/>
          <w:kern w:val="0"/>
          <w:sz w:val="22"/>
          <w:szCs w:val="22"/>
          <w:vertAlign w:val="superscript"/>
        </w:rPr>
        <w:t>d</w:t>
      </w:r>
      <w:r>
        <w:rPr>
          <w:rFonts w:ascii="Times New Roman" w:hAnsi="Times New Roman" w:eastAsia="宋体" w:cs="Times New Roman"/>
          <w:bCs/>
          <w:kern w:val="0"/>
          <w:sz w:val="22"/>
          <w:szCs w:val="22"/>
        </w:rPr>
        <w:t xml:space="preserve"> Chemical reagent was calculated by O</w:t>
      </w:r>
      <w:r>
        <w:rPr>
          <w:rFonts w:ascii="Times New Roman" w:hAnsi="Times New Roman" w:eastAsia="宋体" w:cs="Times New Roman"/>
          <w:bCs/>
          <w:kern w:val="0"/>
          <w:sz w:val="22"/>
          <w:szCs w:val="22"/>
          <w:vertAlign w:val="subscript"/>
        </w:rPr>
        <w:t>2</w:t>
      </w:r>
      <w:r>
        <w:rPr>
          <w:rFonts w:ascii="Times New Roman" w:hAnsi="Times New Roman" w:eastAsia="宋体" w:cs="Times New Roman"/>
          <w:bCs/>
          <w:kern w:val="0"/>
          <w:sz w:val="22"/>
          <w:szCs w:val="22"/>
        </w:rPr>
        <w:t xml:space="preserve"> quality, the flow rate and density of O</w:t>
      </w:r>
      <w:r>
        <w:rPr>
          <w:rFonts w:ascii="Times New Roman" w:hAnsi="Times New Roman" w:eastAsia="宋体" w:cs="Times New Roman"/>
          <w:bCs/>
          <w:kern w:val="0"/>
          <w:sz w:val="22"/>
          <w:szCs w:val="22"/>
          <w:vertAlign w:val="subscript"/>
        </w:rPr>
        <w:t>2</w:t>
      </w:r>
      <w:r>
        <w:rPr>
          <w:rFonts w:ascii="Times New Roman" w:hAnsi="Times New Roman" w:eastAsia="宋体" w:cs="Times New Roman"/>
          <w:bCs/>
          <w:kern w:val="0"/>
          <w:sz w:val="22"/>
          <w:szCs w:val="22"/>
        </w:rPr>
        <w:t xml:space="preserve"> are 20ml/min and 1.429g/L, respectively; for </w:t>
      </w:r>
      <w:r>
        <w:fldChar w:fldCharType="begin"/>
      </w:r>
      <w:r>
        <w:instrText xml:space="preserve"> HYPERLINK "javascript:;" </w:instrText>
      </w:r>
      <w:r>
        <w:fldChar w:fldCharType="separate"/>
      </w:r>
      <w:r>
        <w:rPr>
          <w:rFonts w:ascii="Times New Roman" w:hAnsi="Times New Roman" w:eastAsia="宋体" w:cs="Times New Roman"/>
          <w:bCs/>
          <w:kern w:val="0"/>
          <w:sz w:val="22"/>
          <w:szCs w:val="22"/>
        </w:rPr>
        <w:t>tonnage oxygen</w:t>
      </w:r>
      <w:r>
        <w:rPr>
          <w:rFonts w:ascii="Times New Roman" w:hAnsi="Times New Roman" w:eastAsia="宋体" w:cs="Times New Roman"/>
          <w:bCs/>
          <w:kern w:val="0"/>
          <w:sz w:val="22"/>
          <w:szCs w:val="22"/>
        </w:rPr>
        <w:fldChar w:fldCharType="end"/>
      </w:r>
      <w:r>
        <w:rPr>
          <w:rFonts w:ascii="Times New Roman" w:hAnsi="Times New Roman" w:eastAsia="宋体" w:cs="Times New Roman"/>
          <w:bCs/>
          <w:kern w:val="0"/>
          <w:sz w:val="22"/>
          <w:szCs w:val="22"/>
        </w:rPr>
        <w:t xml:space="preserve"> cost 57.682USD/ton.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3E1AFB"/>
    <w:multiLevelType w:val="singleLevel"/>
    <w:tmpl w:val="F83E1AFB"/>
    <w:lvl w:ilvl="0" w:tentative="0">
      <w:start w:val="1"/>
      <w:numFmt w:val="decimal"/>
      <w:lvlText w:val="%1."/>
      <w:lvlJc w:val="left"/>
      <w:pPr>
        <w:tabs>
          <w:tab w:val="left" w:pos="312"/>
        </w:tabs>
      </w:pPr>
    </w:lvl>
  </w:abstractNum>
  <w:abstractNum w:abstractNumId="1">
    <w:nsid w:val="7FA4AF12"/>
    <w:multiLevelType w:val="singleLevel"/>
    <w:tmpl w:val="7FA4AF1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 w:name="KSO_WPS_MARK_KEY" w:val="6dc6a88d-24ae-41c2-b67f-3580d79ec850"/>
  </w:docVars>
  <w:rsids>
    <w:rsidRoot w:val="09803F2B"/>
    <w:rsid w:val="00097FA4"/>
    <w:rsid w:val="00272E17"/>
    <w:rsid w:val="00380614"/>
    <w:rsid w:val="00811FCC"/>
    <w:rsid w:val="00B076CD"/>
    <w:rsid w:val="00EA1B27"/>
    <w:rsid w:val="00FB2564"/>
    <w:rsid w:val="00FC49A6"/>
    <w:rsid w:val="07280305"/>
    <w:rsid w:val="09803F2B"/>
    <w:rsid w:val="154D2A40"/>
    <w:rsid w:val="1F4F5CCB"/>
    <w:rsid w:val="2217065D"/>
    <w:rsid w:val="23DD221D"/>
    <w:rsid w:val="25A8619C"/>
    <w:rsid w:val="29A8113A"/>
    <w:rsid w:val="3651316F"/>
    <w:rsid w:val="3A504CA1"/>
    <w:rsid w:val="42165853"/>
    <w:rsid w:val="43761230"/>
    <w:rsid w:val="4A473618"/>
    <w:rsid w:val="4E426C1E"/>
    <w:rsid w:val="519A07DF"/>
    <w:rsid w:val="53F0788B"/>
    <w:rsid w:val="57165E9B"/>
    <w:rsid w:val="5BF136F2"/>
    <w:rsid w:val="6263077A"/>
    <w:rsid w:val="76F67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Arial Unicode MS" w:asciiTheme="minorHAnsi" w:hAnsiTheme="minorHAnsi" w:cstheme="minorBidi"/>
      <w:kern w:val="2"/>
      <w:sz w:val="21"/>
      <w:szCs w:val="24"/>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 w:type="character" w:customStyle="1" w:styleId="10">
    <w:name w:val="页眉 字符"/>
    <w:basedOn w:val="8"/>
    <w:link w:val="5"/>
    <w:qFormat/>
    <w:uiPriority w:val="0"/>
    <w:rPr>
      <w:rFonts w:eastAsia="Arial Unicode MS" w:asciiTheme="minorHAnsi" w:hAnsiTheme="minorHAnsi" w:cstheme="minorBidi"/>
      <w:kern w:val="2"/>
      <w:sz w:val="18"/>
      <w:szCs w:val="18"/>
    </w:rPr>
  </w:style>
  <w:style w:type="character" w:customStyle="1" w:styleId="11">
    <w:name w:val="页脚 字符"/>
    <w:basedOn w:val="8"/>
    <w:link w:val="4"/>
    <w:qFormat/>
    <w:uiPriority w:val="0"/>
    <w:rPr>
      <w:rFonts w:eastAsia="Arial Unicode MS" w:asciiTheme="minorHAnsi" w:hAnsiTheme="minorHAnsi" w:cstheme="minorBidi"/>
      <w:kern w:val="2"/>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1167</Words>
  <Characters>6655</Characters>
  <Lines>55</Lines>
  <Paragraphs>15</Paragraphs>
  <TotalTime>1</TotalTime>
  <ScaleCrop>false</ScaleCrop>
  <LinksUpToDate>false</LinksUpToDate>
  <CharactersWithSpaces>7807</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2022-08-30T00:34:00Z</dcterms:created>
  <dc:creator>流年</dc:creator>
  <cp:lastModifiedBy>张立龙</cp:lastModifiedBy>
  <dcterms:modified xsi:type="dcterms:W3CDTF">2023-03-19T03:41:43Z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91742A5476864F2586249DB925253149</vt:lpwstr>
  </property>
</Properties>
</file>