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08625" cy="8237855"/>
            <wp:effectExtent l="0" t="0" r="8255" b="6985"/>
            <wp:docPr id="7" name="图片 7" descr="Figure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823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6767830"/>
            <wp:effectExtent l="0" t="0" r="4445" b="13970"/>
            <wp:docPr id="8" name="图片 8" descr="Figure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65405</wp:posOffset>
                </wp:positionV>
                <wp:extent cx="5689600" cy="16510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2655" y="8112125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Figure.S2 Subgroup analysis on </w:t>
                            </w: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association of (A) stress urine incontinence (B) urge urine incontinence (C) mixed urine incontinence and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bisphenol A</w:t>
                            </w: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5.15pt;height:130pt;width:448pt;z-index:251659264;mso-width-relative:page;mso-height-relative:page;" filled="f" stroked="f" coordsize="21600,21600" o:gfxdata="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J4kGX/bAAAACgEAAA8AAAAAAAAAAQAgAAAAIgAA&#10;AGRycy9kb3ducmV2LnhtbFBLAQIUABQAAAAIAIdO4kBECPSVsAIAAFoFAAAOAAAAAAAAAAEAIAAA&#10;ACoBAABkcnMvZTJvRG9jLnhtbFBLBQYAAAAABgAGAFkBAABMBg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Figure.S2 Subgroup analysis on </w:t>
                      </w: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association of (A) stress urine incontinence (B) urge urine incontinence (C) mixed urine incontinence and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bisphenol A</w:t>
                      </w: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6767830"/>
            <wp:effectExtent l="0" t="0" r="3175" b="13970"/>
            <wp:docPr id="10" name="图片 10" descr="Figure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65405</wp:posOffset>
                </wp:positionV>
                <wp:extent cx="5689600" cy="16510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Figure.S</w:t>
                            </w:r>
                            <w:r>
                              <w:rPr>
                                <w:rFonts w:hint="eastAsia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3</w:t>
                            </w: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Subgroup analysis on association of (A) stress urine incontinence (B) urge urine incontinence (C) mixed urine incontinence and </w:t>
                            </w:r>
                            <w:r>
                              <w:rPr>
                                <w:rFonts w:hint="eastAsia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Triclosan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5.15pt;height:130pt;width:448pt;z-index:251660288;mso-width-relative:page;mso-height-relative:page;" filled="f" stroked="f" coordsize="21600,21600" o:gfxdata="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4kGX/bAAAACgEAAA8AAAAAAAAAAQAgAAAAIgAAAGRy&#10;cy9kb3ducmV2LnhtbFBLAQIUABQAAAAIAIdO4kB16nXV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Figure.S</w:t>
                      </w:r>
                      <w:r>
                        <w:rPr>
                          <w:rFonts w:hint="eastAsia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3</w:t>
                      </w: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Subgroup analysis on association of (A) stress urine incontinence (B) urge urine incontinence (C) mixed urine incontinence and </w:t>
                      </w:r>
                      <w:r>
                        <w:rPr>
                          <w:rFonts w:hint="eastAsia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Triclosan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6751955"/>
            <wp:effectExtent l="0" t="0" r="1270" b="14605"/>
            <wp:docPr id="12" name="图片 12" descr="Figure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5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65405</wp:posOffset>
                </wp:positionV>
                <wp:extent cx="5689600" cy="16510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Figure.S</w:t>
                            </w:r>
                            <w:r>
                              <w:rPr>
                                <w:rFonts w:hint="eastAsia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4</w:t>
                            </w: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Subgroup analysis on association of (A) stress urine incontinence (B) urge urine incontinence (C) mixed urine incontinence and </w:t>
                            </w:r>
                            <w:r>
                              <w:rPr>
                                <w:rFonts w:hint="eastAsia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butylparaben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5.15pt;height:130pt;width:448pt;z-index:251661312;mso-width-relative:page;mso-height-relative:page;" filled="f" stroked="f" coordsize="21600,21600" o:gfxdata="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JBl/2wAAAAoBAAAPAAAAAAAAAAEAIAAAACIAAABk&#10;cnMvZG93bnJldi54bWxQSwECFAAUAAAACACHTuJAVI/YD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Figure.S</w:t>
                      </w:r>
                      <w:r>
                        <w:rPr>
                          <w:rFonts w:hint="eastAsia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4</w:t>
                      </w: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Subgroup analysis on association of (A) stress urine incontinence (B) urge urine incontinence (C) mixed urine incontinence and </w:t>
                      </w:r>
                      <w:r>
                        <w:rPr>
                          <w:rFonts w:hint="eastAsia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butylparaben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767830"/>
            <wp:effectExtent l="0" t="0" r="4445" b="13970"/>
            <wp:docPr id="14" name="图片 14" descr="Figure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.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65405</wp:posOffset>
                </wp:positionV>
                <wp:extent cx="5689600" cy="16510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Figure.S</w:t>
                            </w:r>
                            <w:r>
                              <w:rPr>
                                <w:rFonts w:hint="eastAsia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5</w:t>
                            </w: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Subgroup analysis on association of (A) stress urine incontinence (B) urge urine incontinence (C) mixed urine incontinence and </w:t>
                            </w:r>
                            <w:r>
                              <w:rPr>
                                <w:rFonts w:hint="default" w:ascii="Cambria" w:hAnsi="Cambria" w:eastAsia="宋体" w:cs="Cambria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ethylparaben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5.15pt;height:130pt;width:448pt;z-index:251662336;mso-width-relative:page;mso-height-relative:page;" filled="f" stroked="f" coordsize="21600,21600" o:gfxdata="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JBl/2wAAAAoBAAAPAAAAAAAAAAEAIAAAACIAAABk&#10;cnMvZG93bnJldi54bWxQSwECFAAUAAAACACHTuJAdiZeu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Figure.S</w:t>
                      </w:r>
                      <w:r>
                        <w:rPr>
                          <w:rFonts w:hint="eastAsia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5</w:t>
                      </w: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Subgroup analysis on association of (A) stress urine incontinence (B) urge urine incontinence (C) mixed urine incontinence and </w:t>
                      </w:r>
                      <w:r>
                        <w:rPr>
                          <w:rFonts w:hint="default" w:ascii="Cambria" w:hAnsi="Cambria" w:eastAsia="宋体" w:cs="Cambria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ethylparaben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767830"/>
            <wp:effectExtent l="0" t="0" r="4445" b="13970"/>
            <wp:docPr id="16" name="图片 16" descr="Figure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.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263525</wp:posOffset>
                </wp:positionV>
                <wp:extent cx="5689600" cy="16510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Figure.S</w:t>
                            </w:r>
                            <w:r>
                              <w:rPr>
                                <w:rFonts w:hint="eastAsia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6</w:t>
                            </w: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Subgroup analysis on association of (A) stress urine incontinence (B) urge urine incontinence (C) mixed urine incontinence and </w:t>
                            </w:r>
                            <w:r>
                              <w:rPr>
                                <w:rFonts w:hint="eastAsia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m</w:t>
                            </w:r>
                            <w:r>
                              <w:rPr>
                                <w:rFonts w:hint="default" w:ascii="Cambria" w:hAnsi="Cambria" w:eastAsia="宋体" w:cs="Cambria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ethylparaben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20.75pt;height:130pt;width:448pt;z-index:251663360;mso-width-relative:page;mso-height-relative:page;" filled="f" stroked="f" coordsize="21600,21600" o:gfxdata="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Vb7b9wAAAAKAQAADwAAAAAAAAABACAAAAAiAAAA&#10;ZHJzL2Rvd25yZXYueG1sUEsBAhQAFAAAAAgAh07iQFdD82E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Figure.S</w:t>
                      </w:r>
                      <w:r>
                        <w:rPr>
                          <w:rFonts w:hint="eastAsia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6</w:t>
                      </w: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Subgroup analysis on association of (A) stress urine incontinence (B) urge urine incontinence (C) mixed urine incontinence and </w:t>
                      </w:r>
                      <w:r>
                        <w:rPr>
                          <w:rFonts w:hint="eastAsia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m</w:t>
                      </w:r>
                      <w:r>
                        <w:rPr>
                          <w:rFonts w:hint="default" w:ascii="Cambria" w:hAnsi="Cambria" w:eastAsia="宋体" w:cs="Cambria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ethylparaben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767830"/>
            <wp:effectExtent l="0" t="0" r="4445" b="13970"/>
            <wp:docPr id="18" name="图片 18" descr="Figure.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.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mbria" w:hAnsi="Cambria" w:eastAsia="Cambria" w:cs="Cambria"/>
          <w:sz w:val="2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mbria Math" w:hAnsi="Cambria Math" w:eastAsia="Cambria" w:cs="Cambria Math"/>
          <w:b w:val="0"/>
          <w:bCs w:val="0"/>
          <w:kern w:val="2"/>
          <w:sz w:val="22"/>
          <w:szCs w:val="22"/>
          <w:lang w:val="en-US" w:eastAsia="zh-CN" w:bidi="ar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-132715</wp:posOffset>
                </wp:positionV>
                <wp:extent cx="5689600" cy="16510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Figure.S</w:t>
                            </w:r>
                            <w:r>
                              <w:rPr>
                                <w:rFonts w:hint="eastAsia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7</w:t>
                            </w:r>
                            <w:r>
                              <w:rPr>
                                <w:rFonts w:hint="default" w:ascii="Cambria Math" w:hAnsi="Cambria Math" w:eastAsia="Georg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Subgroup analysis on association of (A) stress urine incontinence (B) urge urine incontinence (C) mixed urine incontinence and </w:t>
                            </w:r>
                            <w:r>
                              <w:rPr>
                                <w:rFonts w:hint="eastAsia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prop</w:t>
                            </w:r>
                            <w:r>
                              <w:rPr>
                                <w:rFonts w:hint="default" w:ascii="Cambria" w:hAnsi="Cambria" w:eastAsia="宋体" w:cs="Cambria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ylparaben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exposure among general population ≥ 20 years of age; NHANES 2007–2016.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Cambria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N=number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hint="default" w:ascii="Cambria Math" w:hAnsi="Cambria Math" w:eastAsia="宋体" w:cs="Cambria Math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he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dots represent O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dds 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atio</w:t>
                            </w:r>
                            <w:r>
                              <w:rPr>
                                <w:rFonts w:hint="default" w:ascii="Cambria Math" w:hAnsi="Cambria Math" w:eastAsia="Segoe UI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</w:rPr>
                              <w:t>, and the black line segments represent 95% confidence intervals</w:t>
                            </w:r>
                            <w:r>
                              <w:rPr>
                                <w:rFonts w:hint="default" w:ascii="Cambria Math" w:hAnsi="Cambria Math" w:eastAsia="宋体" w:cs="Cambria Math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in Forrest Plot.</w:t>
                            </w:r>
                          </w:p>
                          <w:p>
                            <w:pPr>
                              <w:rPr>
                                <w:rFonts w:hint="default" w:ascii="Cambria Math" w:hAnsi="Cambria Math" w:cs="Cambria Math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5pt;margin-top:-10.45pt;height:130pt;width:448pt;z-index:251664384;mso-width-relative:page;mso-height-relative:page;" filled="f" stroked="f" coordsize="21600,21600" o:gfxdata="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yMXgbdAAAACwEAAA8AAAAAAAAAAQAgAAAAIgAA&#10;AGRycy9kb3ducmV2LnhtbFBLAQIUABQAAAAIAIdO4kBzciIJ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Figure.S</w:t>
                      </w:r>
                      <w:r>
                        <w:rPr>
                          <w:rFonts w:hint="eastAsia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7</w:t>
                      </w:r>
                      <w:r>
                        <w:rPr>
                          <w:rFonts w:hint="default" w:ascii="Cambria Math" w:hAnsi="Cambria Math" w:eastAsia="Georg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Subgroup analysis on association of (A) stress urine incontinence (B) urge urine incontinence (C) mixed urine incontinence and </w:t>
                      </w:r>
                      <w:r>
                        <w:rPr>
                          <w:rFonts w:hint="eastAsia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prop</w:t>
                      </w:r>
                      <w:r>
                        <w:rPr>
                          <w:rFonts w:hint="default" w:ascii="Cambria" w:hAnsi="Cambria" w:eastAsia="宋体" w:cs="Cambria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ylparaben</w:t>
                      </w:r>
                      <w:r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 xml:space="preserve"> exposure among general population ≥ 20 years of age; NHANES 2007–2016.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Cambria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N=number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hint="default" w:ascii="Cambria Math" w:hAnsi="Cambria Math" w:eastAsia="宋体" w:cs="Cambria Math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dots represent O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dds 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>atio</w:t>
                      </w:r>
                      <w:r>
                        <w:rPr>
                          <w:rFonts w:hint="default" w:ascii="Cambria Math" w:hAnsi="Cambria Math" w:eastAsia="Segoe UI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</w:rPr>
                        <w:t>, and the black line segments represent 95% confidence intervals</w:t>
                      </w:r>
                      <w:r>
                        <w:rPr>
                          <w:rFonts w:hint="default" w:ascii="Cambria Math" w:hAnsi="Cambria Math" w:eastAsia="宋体" w:cs="Cambria Math"/>
                          <w:i w:val="0"/>
                          <w:iCs w:val="0"/>
                          <w:caps w:val="0"/>
                          <w:color w:val="2A2B2E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in Forrest Plot.</w:t>
                      </w:r>
                    </w:p>
                    <w:p>
                      <w:pPr>
                        <w:rPr>
                          <w:rFonts w:hint="default" w:ascii="Cambria Math" w:hAnsi="Cambria Math" w:cs="Cambria Math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ZjlmNmZkMTA2MDEzNTQzZWRiYThmODg1MDEyNmUifQ=="/>
  </w:docVars>
  <w:rsids>
    <w:rsidRoot w:val="00000000"/>
    <w:rsid w:val="18586639"/>
    <w:rsid w:val="1D6F55EA"/>
    <w:rsid w:val="657131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</Words>
  <Characters>682</Characters>
  <Lines>0</Lines>
  <Paragraphs>0</Paragraphs>
  <TotalTime>0</TotalTime>
  <ScaleCrop>false</ScaleCrop>
  <LinksUpToDate>false</LinksUpToDate>
  <CharactersWithSpaces>785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江</cp:lastModifiedBy>
  <dcterms:modified xsi:type="dcterms:W3CDTF">2023-03-04T16:24:16Z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9B14D2DAC4B64B58AD5440B01677E34B</vt:lpwstr>
  </property>
</Properties>
</file>