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A1092" w14:textId="2D7C70A2" w:rsidR="007F522D" w:rsidRPr="00BC73EB" w:rsidRDefault="007F522D" w:rsidP="007F522D">
      <w:pPr>
        <w:jc w:val="center"/>
        <w:rPr>
          <w:rFonts w:ascii="Times New Roman" w:hAnsi="Times New Roman" w:cs="Times New Roman"/>
        </w:rPr>
      </w:pPr>
      <w:r w:rsidRPr="00BC73EB">
        <w:rPr>
          <w:rFonts w:ascii="Times New Roman" w:hAnsi="Times New Roman" w:cs="Times New Roman"/>
          <w:b/>
          <w:bCs/>
        </w:rPr>
        <w:t xml:space="preserve">Table S1. </w:t>
      </w:r>
      <w:r w:rsidRPr="00BC73EB">
        <w:rPr>
          <w:rFonts w:ascii="Times New Roman" w:hAnsi="Times New Roman" w:cs="Times New Roman"/>
        </w:rPr>
        <w:t>The top 10 cited publications</w:t>
      </w:r>
    </w:p>
    <w:tbl>
      <w:tblPr>
        <w:tblStyle w:val="a7"/>
        <w:tblpPr w:leftFromText="180" w:rightFromText="180" w:vertAnchor="text" w:horzAnchor="margin" w:tblpXSpec="center" w:tblpY="259"/>
        <w:tblW w:w="862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446"/>
        <w:gridCol w:w="1966"/>
        <w:gridCol w:w="1780"/>
        <w:gridCol w:w="928"/>
        <w:gridCol w:w="814"/>
      </w:tblGrid>
      <w:tr w:rsidR="007F522D" w:rsidRPr="00BC73EB" w14:paraId="2C55DFE1" w14:textId="77777777" w:rsidTr="009A6C42">
        <w:tc>
          <w:tcPr>
            <w:tcW w:w="690" w:type="dxa"/>
            <w:tcBorders>
              <w:bottom w:val="single" w:sz="4" w:space="0" w:color="auto"/>
              <w:right w:val="nil"/>
            </w:tcBorders>
            <w:vAlign w:val="center"/>
          </w:tcPr>
          <w:p w14:paraId="472A86D5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24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837265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Journals</w:t>
            </w:r>
          </w:p>
        </w:tc>
        <w:tc>
          <w:tcPr>
            <w:tcW w:w="20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C85E70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Year, Journal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DBCF0C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First author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A2C976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Total citations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17A65C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TC per Year</w:t>
            </w:r>
          </w:p>
        </w:tc>
      </w:tr>
      <w:tr w:rsidR="007F522D" w:rsidRPr="00BC73EB" w14:paraId="0BC9E0E5" w14:textId="77777777" w:rsidTr="009A6C42">
        <w:tc>
          <w:tcPr>
            <w:tcW w:w="690" w:type="dxa"/>
            <w:tcBorders>
              <w:bottom w:val="nil"/>
              <w:right w:val="nil"/>
            </w:tcBorders>
            <w:vAlign w:val="center"/>
          </w:tcPr>
          <w:p w14:paraId="757A8703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8" w:type="dxa"/>
            <w:tcBorders>
              <w:left w:val="nil"/>
              <w:bottom w:val="nil"/>
              <w:right w:val="nil"/>
            </w:tcBorders>
            <w:vAlign w:val="center"/>
          </w:tcPr>
          <w:p w14:paraId="789A7AD8" w14:textId="77777777" w:rsidR="007F522D" w:rsidRPr="00BC73EB" w:rsidRDefault="007F522D" w:rsidP="009A6C42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0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Understanding the tumor immune microenvironment (TIME) for effective therapy</w:t>
            </w:r>
          </w:p>
          <w:p w14:paraId="59679AF1" w14:textId="77777777" w:rsidR="007F522D" w:rsidRPr="00BC73EB" w:rsidRDefault="007F522D" w:rsidP="009A6C42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left w:val="nil"/>
              <w:bottom w:val="nil"/>
              <w:right w:val="nil"/>
            </w:tcBorders>
            <w:vAlign w:val="center"/>
          </w:tcPr>
          <w:p w14:paraId="76AFEDBC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2018, NAT MED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vAlign w:val="center"/>
          </w:tcPr>
          <w:p w14:paraId="56402B7F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BINNEWIES M</w:t>
            </w:r>
          </w:p>
        </w:tc>
        <w:tc>
          <w:tcPr>
            <w:tcW w:w="816" w:type="dxa"/>
            <w:tcBorders>
              <w:left w:val="nil"/>
              <w:bottom w:val="nil"/>
              <w:right w:val="nil"/>
            </w:tcBorders>
            <w:vAlign w:val="center"/>
          </w:tcPr>
          <w:p w14:paraId="76D19E0B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1789</w:t>
            </w:r>
          </w:p>
        </w:tc>
        <w:tc>
          <w:tcPr>
            <w:tcW w:w="816" w:type="dxa"/>
            <w:tcBorders>
              <w:left w:val="nil"/>
              <w:bottom w:val="nil"/>
              <w:right w:val="nil"/>
            </w:tcBorders>
            <w:vAlign w:val="center"/>
          </w:tcPr>
          <w:p w14:paraId="62A91650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298.17</w:t>
            </w:r>
          </w:p>
        </w:tc>
      </w:tr>
      <w:tr w:rsidR="007F522D" w:rsidRPr="00BC73EB" w14:paraId="5AFB315A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5AC55EE5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66FC0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Association of PD-1, PD-1 ligands, and other features of the tumor immune microenvironment with response to anti-PD-1 therapy</w:t>
            </w:r>
          </w:p>
          <w:p w14:paraId="1D89FC8F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AB54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2014, CLIN CANCER RES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B83E5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TAUBE JM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F9B84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010C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167</w:t>
            </w:r>
          </w:p>
        </w:tc>
      </w:tr>
      <w:tr w:rsidR="007F522D" w:rsidRPr="00BC73EB" w14:paraId="35BAF5B3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71A13D9B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636F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 xml:space="preserve">Fusobacterium </w:t>
            </w:r>
            <w:proofErr w:type="spellStart"/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nucleatum</w:t>
            </w:r>
            <w:proofErr w:type="spellEnd"/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 xml:space="preserve"> potentiates intestinal tumorigenesis and modulates the tumor-immune microenvironment</w:t>
            </w:r>
          </w:p>
          <w:p w14:paraId="1C848A8B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BB95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2013, CELL HOST MICROBE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08BD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KOSTIC AD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C0AAF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1213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2B51D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110.27</w:t>
            </w:r>
          </w:p>
        </w:tc>
      </w:tr>
      <w:tr w:rsidR="007F522D" w:rsidRPr="00BC73EB" w14:paraId="2C3507AE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60709789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55DC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Irradiation and anti-PD-L1 treatment synergistically promote antitumor immunity in mice</w:t>
            </w:r>
          </w:p>
          <w:p w14:paraId="6F54B2C2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B484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2014, J CLIN INVEST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DF20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DENG L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BD127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1203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88D3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120.3</w:t>
            </w:r>
          </w:p>
        </w:tc>
      </w:tr>
      <w:tr w:rsidR="007F522D" w:rsidRPr="00BC73EB" w14:paraId="026D15C8" w14:textId="77777777" w:rsidTr="009A6C42">
        <w:trPr>
          <w:trHeight w:val="1892"/>
        </w:trPr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09746FF6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EA5C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Leukocyte complexity predicts breast cancer survival and functionally regulates response to chemotherapy</w:t>
            </w:r>
          </w:p>
          <w:p w14:paraId="0BE6BBE5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E5F5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2011, CANCER DISCOV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B076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DENARDO DG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6B26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1143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40D6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87.92</w:t>
            </w:r>
          </w:p>
        </w:tc>
      </w:tr>
      <w:tr w:rsidR="007F522D" w:rsidRPr="00BC73EB" w14:paraId="1B183FB8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2DE955F0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2A3D4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 xml:space="preserve">Adaptive resistance to therapeutic PD-1 blockade is associated </w:t>
            </w: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lastRenderedPageBreak/>
              <w:t>with upregulation of alternative immune checkpoints</w:t>
            </w:r>
          </w:p>
          <w:p w14:paraId="73A3E7B9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956C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lastRenderedPageBreak/>
              <w:t>2016, NAT COMMUN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3BC2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KOYAMA 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34E21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1ADD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107.13</w:t>
            </w:r>
          </w:p>
        </w:tc>
      </w:tr>
      <w:tr w:rsidR="007F522D" w:rsidRPr="00BC73EB" w14:paraId="01D54A4B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0C512880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78E4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Organoid Modeling of the Tumor Immune Microenvironment</w:t>
            </w:r>
          </w:p>
          <w:p w14:paraId="21A973C2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A467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2018, CELL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F5D6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NEAL JT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D44F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D8BB4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80.17</w:t>
            </w:r>
          </w:p>
        </w:tc>
      </w:tr>
      <w:tr w:rsidR="007F522D" w:rsidRPr="00BC73EB" w14:paraId="0A43593E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6E8FC0D0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D3CB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Overcoming resistance to checkpoint blockade therapy by targeting PI3Kγ in myeloid cells</w:t>
            </w:r>
          </w:p>
          <w:p w14:paraId="349DD043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B790D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2016, NATURE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FB1FA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DE HENAU 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9DE2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CDAE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58.38</w:t>
            </w:r>
          </w:p>
        </w:tc>
      </w:tr>
      <w:tr w:rsidR="007F522D" w:rsidRPr="00BC73EB" w14:paraId="08006B2D" w14:textId="77777777" w:rsidTr="009A6C42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54C34882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8AC7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TLR7/8-agonist-loaded nanoparticles promote the polarization of tumor-associated macrophages to enhance cancer immunotherapy</w:t>
            </w:r>
          </w:p>
          <w:p w14:paraId="35F5CF2F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FE37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2018, NAT BIOMED ENG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4A0A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73EB">
              <w:rPr>
                <w:rFonts w:ascii="Times New Roman" w:hAnsi="Times New Roman" w:cs="Times New Roman"/>
              </w:rPr>
              <w:t>RODELL CB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7351B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D0D9E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73EB">
              <w:rPr>
                <w:rFonts w:ascii="Times New Roman" w:hAnsi="Times New Roman" w:cs="Times New Roman"/>
              </w:rPr>
              <w:t>71.17</w:t>
            </w:r>
          </w:p>
        </w:tc>
      </w:tr>
      <w:tr w:rsidR="007F522D" w:rsidRPr="00BC73EB" w14:paraId="7B613237" w14:textId="77777777" w:rsidTr="009A6C42">
        <w:tc>
          <w:tcPr>
            <w:tcW w:w="690" w:type="dxa"/>
            <w:tcBorders>
              <w:top w:val="nil"/>
              <w:right w:val="nil"/>
            </w:tcBorders>
            <w:vAlign w:val="center"/>
          </w:tcPr>
          <w:p w14:paraId="131C4BBB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8" w:type="dxa"/>
            <w:tcBorders>
              <w:top w:val="nil"/>
              <w:left w:val="nil"/>
              <w:right w:val="nil"/>
            </w:tcBorders>
            <w:vAlign w:val="center"/>
          </w:tcPr>
          <w:p w14:paraId="3F92091E" w14:textId="77777777" w:rsidR="007F522D" w:rsidRPr="00BC73EB" w:rsidRDefault="007F522D" w:rsidP="009A6C42">
            <w:pPr>
              <w:pStyle w:val="1"/>
              <w:shd w:val="clear" w:color="auto" w:fill="FFFFFF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</w:pPr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 xml:space="preserve">Tumor immune microenvironment characterization in clear cell renal cell carcinoma identifies prognostic and </w:t>
            </w:r>
            <w:proofErr w:type="spellStart"/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>immunotherapeutically</w:t>
            </w:r>
            <w:proofErr w:type="spellEnd"/>
            <w:r w:rsidRPr="00BC73EB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2"/>
              </w:rPr>
              <w:t xml:space="preserve"> relevant messenger RNA signatures</w:t>
            </w:r>
          </w:p>
        </w:tc>
        <w:tc>
          <w:tcPr>
            <w:tcW w:w="2053" w:type="dxa"/>
            <w:tcBorders>
              <w:top w:val="nil"/>
              <w:left w:val="nil"/>
              <w:right w:val="nil"/>
            </w:tcBorders>
            <w:vAlign w:val="center"/>
          </w:tcPr>
          <w:p w14:paraId="6074A8FA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2016, GENOME BIOL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vAlign w:val="center"/>
          </w:tcPr>
          <w:p w14:paraId="768359EE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SENBABAOGLU Y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vAlign w:val="center"/>
          </w:tcPr>
          <w:p w14:paraId="281DFADF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vAlign w:val="center"/>
          </w:tcPr>
          <w:p w14:paraId="212DF6C9" w14:textId="77777777" w:rsidR="007F522D" w:rsidRPr="00BC73EB" w:rsidRDefault="007F522D" w:rsidP="009A6C42">
            <w:pPr>
              <w:jc w:val="center"/>
              <w:rPr>
                <w:rFonts w:ascii="Times New Roman" w:hAnsi="Times New Roman" w:cs="Times New Roman"/>
              </w:rPr>
            </w:pPr>
            <w:r w:rsidRPr="00BC73EB">
              <w:rPr>
                <w:rFonts w:ascii="Times New Roman" w:hAnsi="Times New Roman" w:cs="Times New Roman"/>
              </w:rPr>
              <w:t>52.75</w:t>
            </w:r>
          </w:p>
        </w:tc>
      </w:tr>
    </w:tbl>
    <w:p w14:paraId="597AEE41" w14:textId="77777777" w:rsidR="00E27213" w:rsidRPr="00BC73EB" w:rsidRDefault="00E27213">
      <w:pPr>
        <w:rPr>
          <w:rFonts w:ascii="Times New Roman" w:hAnsi="Times New Roman" w:cs="Times New Roman"/>
        </w:rPr>
      </w:pPr>
    </w:p>
    <w:sectPr w:rsidR="00E27213" w:rsidRPr="00BC7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C1FD" w14:textId="77777777" w:rsidR="007F522D" w:rsidRDefault="007F522D" w:rsidP="007F522D">
      <w:r>
        <w:separator/>
      </w:r>
    </w:p>
  </w:endnote>
  <w:endnote w:type="continuationSeparator" w:id="0">
    <w:p w14:paraId="06BFDEA8" w14:textId="77777777" w:rsidR="007F522D" w:rsidRDefault="007F522D" w:rsidP="007F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F85E" w14:textId="77777777" w:rsidR="007F522D" w:rsidRDefault="007F522D" w:rsidP="007F522D">
      <w:r>
        <w:separator/>
      </w:r>
    </w:p>
  </w:footnote>
  <w:footnote w:type="continuationSeparator" w:id="0">
    <w:p w14:paraId="44802D6C" w14:textId="77777777" w:rsidR="007F522D" w:rsidRDefault="007F522D" w:rsidP="007F5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13"/>
    <w:rsid w:val="00126313"/>
    <w:rsid w:val="007F522D"/>
    <w:rsid w:val="00BC73EB"/>
    <w:rsid w:val="00E2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38F47"/>
  <w15:chartTrackingRefBased/>
  <w15:docId w15:val="{CC81D9A8-ABAD-4596-8227-707F9F11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22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F522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2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22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F522D"/>
    <w:rPr>
      <w:rFonts w:ascii="宋体" w:eastAsia="宋体" w:hAnsi="宋体" w:cs="宋体"/>
      <w:b/>
      <w:bCs/>
      <w:kern w:val="36"/>
      <w:sz w:val="48"/>
      <w:szCs w:val="48"/>
    </w:rPr>
  </w:style>
  <w:style w:type="table" w:styleId="a7">
    <w:name w:val="Table Grid"/>
    <w:basedOn w:val="a1"/>
    <w:uiPriority w:val="39"/>
    <w:rsid w:val="007F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尧戈</dc:creator>
  <cp:keywords/>
  <dc:description/>
  <cp:lastModifiedBy>刘 尧戈</cp:lastModifiedBy>
  <cp:revision>3</cp:revision>
  <dcterms:created xsi:type="dcterms:W3CDTF">2023-02-05T15:29:00Z</dcterms:created>
  <dcterms:modified xsi:type="dcterms:W3CDTF">2023-02-06T14:16:00Z</dcterms:modified>
</cp:coreProperties>
</file>