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DA1EB6" w14:textId="4FAD5457" w:rsidR="006516E4" w:rsidRDefault="006516E4">
      <w:pPr>
        <w:rPr>
          <w:rFonts w:ascii="Times New Roman" w:hAnsi="Times New Roman" w:cs="Times New Roman"/>
          <w:b/>
          <w:bCs/>
          <w:sz w:val="32"/>
          <w:szCs w:val="36"/>
        </w:rPr>
      </w:pPr>
      <w:r w:rsidRPr="006516E4">
        <w:rPr>
          <w:rFonts w:ascii="Times New Roman" w:hAnsi="Times New Roman" w:cs="Times New Roman"/>
          <w:b/>
          <w:bCs/>
          <w:sz w:val="32"/>
          <w:szCs w:val="36"/>
        </w:rPr>
        <w:t>Supplementary 1</w:t>
      </w:r>
    </w:p>
    <w:p w14:paraId="47896259" w14:textId="0B986D7D" w:rsidR="006516E4" w:rsidRPr="006516E4" w:rsidRDefault="006516E4">
      <w:pPr>
        <w:rPr>
          <w:rFonts w:ascii="Times New Roman" w:hAnsi="Times New Roman" w:cs="Times New Roman"/>
          <w:sz w:val="28"/>
          <w:szCs w:val="32"/>
        </w:rPr>
      </w:pPr>
      <w:r w:rsidRPr="006516E4">
        <w:rPr>
          <w:rFonts w:ascii="Times New Roman" w:hAnsi="Times New Roman" w:cs="Times New Roman"/>
          <w:sz w:val="28"/>
          <w:szCs w:val="32"/>
        </w:rPr>
        <w:t>Filte</w:t>
      </w:r>
      <w:r w:rsidR="00786A14">
        <w:rPr>
          <w:rFonts w:ascii="Times New Roman" w:hAnsi="Times New Roman" w:cs="Times New Roman"/>
          <w:sz w:val="28"/>
          <w:szCs w:val="32"/>
        </w:rPr>
        <w:t>r</w:t>
      </w:r>
      <w:r w:rsidRPr="006516E4">
        <w:rPr>
          <w:rFonts w:ascii="Times New Roman" w:hAnsi="Times New Roman" w:cs="Times New Roman"/>
          <w:sz w:val="28"/>
          <w:szCs w:val="32"/>
        </w:rPr>
        <w:t>ing strategy of variants identified via whole genome sequencing. (A) single nucleotide variants/indels; (B) structural variants; (C) copy number variants.</w:t>
      </w:r>
    </w:p>
    <w:p w14:paraId="0CDA9E1C" w14:textId="1C2A7BBF" w:rsidR="001B169B" w:rsidRDefault="006516E4">
      <w:r>
        <w:rPr>
          <w:noProof/>
        </w:rPr>
        <w:drawing>
          <wp:inline distT="0" distB="0" distL="0" distR="0" wp14:anchorId="233533BC" wp14:editId="3D5CF456">
            <wp:extent cx="9022080" cy="3364878"/>
            <wp:effectExtent l="0" t="0" r="762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8081" cy="3367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169B" w:rsidSect="006516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81C4AC" w14:textId="77777777" w:rsidR="00CA3BB9" w:rsidRDefault="00CA3BB9" w:rsidP="006516E4">
      <w:r>
        <w:separator/>
      </w:r>
    </w:p>
  </w:endnote>
  <w:endnote w:type="continuationSeparator" w:id="0">
    <w:p w14:paraId="0959AC4F" w14:textId="77777777" w:rsidR="00CA3BB9" w:rsidRDefault="00CA3BB9" w:rsidP="00651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3C0892" w14:textId="77777777" w:rsidR="00CA3BB9" w:rsidRDefault="00CA3BB9" w:rsidP="006516E4">
      <w:r>
        <w:separator/>
      </w:r>
    </w:p>
  </w:footnote>
  <w:footnote w:type="continuationSeparator" w:id="0">
    <w:p w14:paraId="1E5DED4C" w14:textId="77777777" w:rsidR="00CA3BB9" w:rsidRDefault="00CA3BB9" w:rsidP="006516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0B5"/>
    <w:rsid w:val="001208CE"/>
    <w:rsid w:val="001B169B"/>
    <w:rsid w:val="003E64D2"/>
    <w:rsid w:val="004457D9"/>
    <w:rsid w:val="006369F2"/>
    <w:rsid w:val="006516E4"/>
    <w:rsid w:val="00786A14"/>
    <w:rsid w:val="00870C49"/>
    <w:rsid w:val="008C4B35"/>
    <w:rsid w:val="00CA3BB9"/>
    <w:rsid w:val="00D3519A"/>
    <w:rsid w:val="00D46ED9"/>
    <w:rsid w:val="00EF50B5"/>
    <w:rsid w:val="00F1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64A3B"/>
  <w15:chartTrackingRefBased/>
  <w15:docId w15:val="{09A9495C-29CF-497C-A9B4-89A316A4B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1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16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1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16E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516E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516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5EFA7A-F5C8-0646-9530-7ED4FE2DE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天威 钱</dc:creator>
  <cp:keywords/>
  <dc:description/>
  <cp:lastModifiedBy>天威 钱</cp:lastModifiedBy>
  <cp:revision>4</cp:revision>
  <dcterms:created xsi:type="dcterms:W3CDTF">2020-11-05T00:53:00Z</dcterms:created>
  <dcterms:modified xsi:type="dcterms:W3CDTF">2020-11-12T01:11:00Z</dcterms:modified>
</cp:coreProperties>
</file>